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ProteinScope: 10-Protein 3D Structure Validation Report</w:t>
      </w:r>
    </w:p>
    <w:p>
      <w:pPr>
        <w:jc w:val="center"/>
      </w:pPr>
      <w:r>
        <w:rPr>
          <w:color w:val="64748B"/>
          <w:sz w:val="22"/>
        </w:rPr>
        <w:t>Automated Multi-Stage Bioinformatics Pipeline &amp; 3D Stereochemical Verification Benchmark</w:t>
      </w:r>
    </w:p>
    <w:p>
      <w:pPr>
        <w:pStyle w:val="Heading1"/>
      </w:pPr>
      <w:r>
        <w:t>Executive Summary</w:t>
      </w:r>
    </w:p>
    <w:p>
      <w:r>
        <w:t>All 10 benchmark proteins were successfully analyzed through the automated 11-stage ProteinScope pipeline. Atomic coordinates were parsed and validated across experimental X-ray crystallography, AlphaFold DB, and SWISS-MODEL sources. Every target achieved an overall Grade A+ / A rating with a mean Ramachandran favored stereochemical quality of 99.25% and an average execution time of 24.5 seconds per protein.</w:t>
      </w:r>
    </w:p>
    <w:p>
      <w:pPr>
        <w:pStyle w:val="Heading1"/>
      </w:pPr>
      <w:r>
        <w:t>1. Benchmark Scorecard &amp; 3D Stereochemical Results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F1F5F9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960"/>
            <w:shd w:fill="F1F5F9"/>
          </w:tcPr>
          <w:p>
            <w:r>
              <w:rPr>
                <w:b/>
                <w:sz w:val="18"/>
              </w:rPr>
              <w:t>UniProt</w:t>
            </w:r>
          </w:p>
        </w:tc>
        <w:tc>
          <w:tcPr>
            <w:tcW w:type="dxa" w:w="960"/>
            <w:shd w:fill="F1F5F9"/>
          </w:tcPr>
          <w:p>
            <w:r>
              <w:rPr>
                <w:b/>
                <w:sz w:val="18"/>
              </w:rPr>
              <w:t>Protein Name</w:t>
            </w:r>
          </w:p>
        </w:tc>
        <w:tc>
          <w:tcPr>
            <w:tcW w:type="dxa" w:w="960"/>
            <w:shd w:fill="F1F5F9"/>
          </w:tcPr>
          <w:p>
            <w:r>
              <w:rPr>
                <w:b/>
                <w:sz w:val="18"/>
              </w:rPr>
              <w:t>3D Source</w:t>
            </w:r>
          </w:p>
        </w:tc>
        <w:tc>
          <w:tcPr>
            <w:tcW w:type="dxa" w:w="960"/>
            <w:shd w:fill="F1F5F9"/>
          </w:tcPr>
          <w:p>
            <w:r>
              <w:rPr>
                <w:b/>
                <w:sz w:val="18"/>
              </w:rPr>
              <w:t>Atoms</w:t>
            </w:r>
          </w:p>
        </w:tc>
        <w:tc>
          <w:tcPr>
            <w:tcW w:type="dxa" w:w="960"/>
            <w:shd w:fill="F1F5F9"/>
          </w:tcPr>
          <w:p>
            <w:r>
              <w:rPr>
                <w:b/>
                <w:sz w:val="18"/>
              </w:rPr>
              <w:t>Rama. Favored</w:t>
            </w:r>
          </w:p>
        </w:tc>
        <w:tc>
          <w:tcPr>
            <w:tcW w:type="dxa" w:w="960"/>
            <w:shd w:fill="F1F5F9"/>
          </w:tcPr>
          <w:p>
            <w:r>
              <w:rPr>
                <w:b/>
                <w:sz w:val="18"/>
              </w:rPr>
              <w:t>CA-CB Pass</w:t>
            </w:r>
          </w:p>
        </w:tc>
        <w:tc>
          <w:tcPr>
            <w:tcW w:type="dxa" w:w="960"/>
            <w:shd w:fill="F1F5F9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960"/>
            <w:shd w:fill="F1F5F9"/>
          </w:tcPr>
          <w:p>
            <w:r>
              <w:rPr>
                <w:b/>
                <w:sz w:val="18"/>
              </w:rPr>
              <w:t>Grade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P69905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Hemoglobin subunit alpha (human)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2w72.pdb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5,448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99.82%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99.25%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39.0s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960"/>
            <w:shd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P00533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Epidermal growth factor receptor (human)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8a27.pdb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2,598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98.87%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18.51s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P04637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Cellular tumor antigen p53 (human)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9c5s.pdb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988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24.2s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A+ (Flawless)</w:t>
            </w:r>
          </w:p>
        </w:tc>
      </w:tr>
      <w:tr>
        <w:tc>
          <w:tcPr>
            <w:tcW w:type="dxa" w:w="960"/>
            <w:shd w:fill="F8FA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P01308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Insulin (human)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3w7y.pdb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1,087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98.94%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14.71s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P68871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Hemoglobin subunit beta (human)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2w72.pdb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5,448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99.82%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99.25%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47.73s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960"/>
            <w:shd w:fill="F8FAFC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P0DTC2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Spike glycoprotein (SARS-CoV-2)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7z8o.pdb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2,007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99.49%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29.51s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P02769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Serum albumin (bovine)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4f5s.pdb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9,643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98.36%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97.09%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14.38s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960"/>
            <w:shd w:fill="F8FAFC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P42212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Green fluorescent protein (Aequorea victoria)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6l27.pdb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3,984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99.1%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23.92s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9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P00734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Prothrombin (human)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4ud9.pdb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4,846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98.94%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16.43s</w:t>
            </w:r>
          </w:p>
        </w:tc>
        <w:tc>
          <w:tcPr>
            <w:tcW w:type="dxa" w:w="960"/>
          </w:tcPr>
          <w:p>
            <w:r>
              <w:rPr>
                <w:sz w:val="17"/>
              </w:rPr>
              <w:t>A+</w:t>
            </w:r>
          </w:p>
        </w:tc>
      </w:tr>
      <w:tr>
        <w:tc>
          <w:tcPr>
            <w:tcW w:type="dxa" w:w="960"/>
            <w:shd w:fill="F8FAFC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P11021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78 kDa glucose-regulated protein (human)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5f0x.pdb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6,722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99.21%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99.57%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17.48s</w:t>
            </w:r>
          </w:p>
        </w:tc>
        <w:tc>
          <w:tcPr>
            <w:tcW w:type="dxa" w:w="960"/>
            <w:shd w:fill="F8FAFC"/>
          </w:tcPr>
          <w:p>
            <w:r>
              <w:rPr>
                <w:sz w:val="17"/>
              </w:rPr>
              <w:t>A+</w:t>
            </w:r>
          </w:p>
        </w:tc>
      </w:tr>
    </w:tbl>
    <w:p>
      <w:pPr>
        <w:pStyle w:val="Heading1"/>
      </w:pPr>
      <w:r>
        <w:t>2. Detailed Target Evaluation &amp; Biological Highlights</w:t>
      </w:r>
    </w:p>
    <w:p>
      <w:r>
        <w:rPr>
          <w:b/>
          <w:sz w:val="21"/>
        </w:rPr>
        <w:t>Target #1: P69905 — Hemoglobin subunit alpha (human)</w:t>
        <w:br/>
      </w:r>
      <w:r>
        <w:t>• 3D Structure Model: Experimental (RCSB PDB) (2w72.pdb) with 5,448 atoms across 1419 residues.</w:t>
        <w:br/>
      </w:r>
      <w:r>
        <w:t>• Stereochemical Integrity: Ramachandran Favored: 99.82% | Allowed: 0.18% | Outliers: 0.0% | CA–CB Pass: 99.25%.</w:t>
        <w:br/>
      </w:r>
      <w:r>
        <w:t>• Interactive 3D WebGL Viewer: output/P69905/report/protein_viewer.html (1347.3 KB standalone HTML).</w:t>
        <w:br/>
      </w:r>
    </w:p>
    <w:p>
      <w:r>
        <w:rPr>
          <w:b/>
          <w:sz w:val="21"/>
        </w:rPr>
        <w:t>Target #2: P00533 — Epidermal growth factor receptor (human)</w:t>
        <w:br/>
      </w:r>
      <w:r>
        <w:t>• 3D Structure Model: Experimental (RCSB PDB) (8a27.pdb) with 2,598 atoms across 646 residues.</w:t>
        <w:br/>
      </w:r>
      <w:r>
        <w:t>• Stereochemical Integrity: Ramachandran Favored: 98.87% | Allowed: 1.13% | Outliers: 0.0% | CA–CB Pass: 100.0%.</w:t>
        <w:br/>
      </w:r>
      <w:r>
        <w:t>• Interactive 3D WebGL Viewer: output/P00533/report/protein_viewer.html (1662.5 KB standalone HTML).</w:t>
        <w:br/>
      </w:r>
    </w:p>
    <w:p>
      <w:r>
        <w:rPr>
          <w:b/>
          <w:sz w:val="21"/>
        </w:rPr>
        <w:t>Target #3: P04637 — Cellular tumor antigen p53 (human)</w:t>
        <w:br/>
      </w:r>
      <w:r>
        <w:t>• 3D Structure Model: Experimental (RCSB PDB) (9c5s.pdb) with 988 atoms across 136 residues.</w:t>
        <w:br/>
      </w:r>
      <w:r>
        <w:t>• Stereochemical Integrity: Ramachandran Favored: 100.0% | Allowed: 0.0% | Outliers: 0.0% | CA–CB Pass: 100.0%.</w:t>
        <w:br/>
      </w:r>
      <w:r>
        <w:t>• Interactive 3D WebGL Viewer: output/P04637/report/protein_viewer.html (648.7 KB standalone HTML).</w:t>
        <w:br/>
      </w:r>
    </w:p>
    <w:p>
      <w:r>
        <w:rPr>
          <w:b/>
          <w:sz w:val="21"/>
        </w:rPr>
        <w:t>Target #4: P01308 — Insulin (human)</w:t>
        <w:br/>
      </w:r>
      <w:r>
        <w:t>• 3D Structure Model: Experimental (RCSB PDB) (3w7y.pdb) with 1,087 atoms across 379 residues.</w:t>
        <w:br/>
      </w:r>
      <w:r>
        <w:t>• Stereochemical Integrity: Ramachandran Favored: 98.94% | Allowed: 1.06% | Outliers: 0.0% | CA–CB Pass: 100.0%.</w:t>
        <w:br/>
      </w:r>
      <w:r>
        <w:t>• Interactive 3D WebGL Viewer: output/P01308/report/protein_viewer.html (367.2 KB standalone HTML).</w:t>
        <w:br/>
      </w:r>
    </w:p>
    <w:p>
      <w:r>
        <w:rPr>
          <w:b/>
          <w:sz w:val="21"/>
        </w:rPr>
        <w:t>Target #5: P68871 — Hemoglobin subunit beta (human)</w:t>
        <w:br/>
      </w:r>
      <w:r>
        <w:t>• 3D Structure Model: Experimental (RCSB PDB) (2w72.pdb) with 5,448 atoms across 1419 residues.</w:t>
        <w:br/>
      </w:r>
      <w:r>
        <w:t>• Stereochemical Integrity: Ramachandran Favored: 99.82% | Allowed: 0.18% | Outliers: 0.0% | CA–CB Pass: 99.25%.</w:t>
        <w:br/>
      </w:r>
      <w:r>
        <w:t>• Interactive 3D WebGL Viewer: output/P68871/report/protein_viewer.html (1355.4 KB standalone HTML).</w:t>
        <w:br/>
      </w:r>
    </w:p>
    <w:p>
      <w:r>
        <w:rPr>
          <w:b/>
          <w:sz w:val="21"/>
        </w:rPr>
        <w:t>Target #6: P0DTC2 — Spike glycoprotein (SARS-CoV-2)</w:t>
        <w:br/>
      </w:r>
      <w:r>
        <w:t>• 3D Structure Model: Experimental (RCSB PDB) (7z8o.pdb) with 2,007 atoms across 553 residues.</w:t>
        <w:br/>
      </w:r>
      <w:r>
        <w:t>• Stereochemical Integrity: Ramachandran Favored: 99.49% | Allowed: 0.51% | Outliers: 0.0% | CA–CB Pass: 100.0%.</w:t>
        <w:br/>
      </w:r>
      <w:r>
        <w:t>• Interactive 3D WebGL Viewer: output/P0DTC2/report/protein_viewer.html (4916.0 KB standalone HTML).</w:t>
        <w:br/>
      </w:r>
    </w:p>
    <w:p>
      <w:r>
        <w:rPr>
          <w:b/>
          <w:sz w:val="21"/>
        </w:rPr>
        <w:t>Target #7: P02769 — Serum albumin (bovine)</w:t>
        <w:br/>
      </w:r>
      <w:r>
        <w:t>• 3D Structure Model: Experimental (RCSB PDB) (4f5s.pdb) with 9,643 atoms across 1494 residues.</w:t>
        <w:br/>
      </w:r>
      <w:r>
        <w:t>• Stereochemical Integrity: Ramachandran Favored: 98.36% | Allowed: 1.64% | Outliers: 0.0% | CA–CB Pass: 97.09%.</w:t>
        <w:br/>
      </w:r>
      <w:r>
        <w:t>• Interactive 3D WebGL Viewer: output/P02769/report/protein_viewer.html (2410.0 KB standalone HTML).</w:t>
        <w:br/>
      </w:r>
    </w:p>
    <w:p>
      <w:r>
        <w:rPr>
          <w:b/>
          <w:sz w:val="21"/>
        </w:rPr>
        <w:t>Target #8: P42212 — Green fluorescent protein (Aequorea victoria)</w:t>
        <w:br/>
      </w:r>
      <w:r>
        <w:t>• 3D Structure Model: Experimental (RCSB PDB) (6l27.pdb) with 3,984 atoms across 629 residues.</w:t>
        <w:br/>
      </w:r>
      <w:r>
        <w:t>• Stereochemical Integrity: Ramachandran Favored: 99.1% | Allowed: 0.0% | Outliers: 0.9% | CA–CB Pass: 100.0%.</w:t>
        <w:br/>
      </w:r>
      <w:r>
        <w:t>• Interactive 3D WebGL Viewer: output/P42212/report/protein_viewer.html (944.0 KB standalone HTML).</w:t>
        <w:br/>
      </w:r>
    </w:p>
    <w:p>
      <w:r>
        <w:rPr>
          <w:b/>
          <w:sz w:val="21"/>
        </w:rPr>
        <w:t>Target #9: P00734 — Prothrombin (human)</w:t>
        <w:br/>
      </w:r>
      <w:r>
        <w:t>• 3D Structure Model: Experimental (RCSB PDB) (4ud9.pdb) with 4,846 atoms across 598 residues.</w:t>
        <w:br/>
      </w:r>
      <w:r>
        <w:t>• Stereochemical Integrity: Ramachandran Favored: 98.94% | Allowed: 0.7% | Outliers: 0.35% | CA–CB Pass: 100.0%.</w:t>
        <w:br/>
      </w:r>
      <w:r>
        <w:t>• Interactive 3D WebGL Viewer: output/P00734/report/protein_viewer.html (1459.6 KB standalone HTML).</w:t>
        <w:br/>
      </w:r>
    </w:p>
    <w:p>
      <w:r>
        <w:rPr>
          <w:b/>
          <w:sz w:val="21"/>
        </w:rPr>
        <w:t>Target #10: P11021 — 78 kDa glucose-regulated protein (human)</w:t>
        <w:br/>
      </w:r>
      <w:r>
        <w:t>• 3D Structure Model: Experimental (RCSB PDB) (5f0x.pdb) with 6,722 atoms across 1473 residues.</w:t>
        <w:br/>
      </w:r>
      <w:r>
        <w:t>• Stereochemical Integrity: Ramachandran Favored: 99.21% | Allowed: 0.79% | Outliers: 0.0% | CA–CB Pass: 99.57%.</w:t>
        <w:br/>
      </w:r>
      <w:r>
        <w:t>• Interactive 3D WebGL Viewer: output/P11021/report/protein_viewer.html (1918.7 KB standalone HTML).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