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1F4E79"/>
          <w:sz w:val="40"/>
          <w:szCs w:val="40"/>
        </w:rPr>
        <w:t xml:space="preserve">Applying Recurrent Neural Networks to Text and Sequence Data</w:t>
      </w:r>
    </w:p>
    <w:p>
      <w:pPr>
        <w:spacing w:after="80" w:before="80"/>
        <w:jc w:val="center"/>
      </w:pPr>
      <w:r>
        <w:rPr>
          <w:rFonts w:ascii="Arial" w:cs="Arial" w:eastAsia="Arial" w:hAnsi="Arial"/>
          <w:i/>
          <w:iCs/>
          <w:color w:val="2E75B6"/>
          <w:sz w:val="26"/>
          <w:szCs w:val="26"/>
        </w:rPr>
        <w:t xml:space="preserve">A Comparative Study of Custom and Pretrained Word Embeddings</w:t>
      </w:r>
    </w:p>
    <w:p>
      <w:pPr>
        <w:spacing w:after="60" w:before="60"/>
      </w:pPr>
      <w:r>
        <w:t xml:space="preserve"/>
      </w:r>
    </w:p>
    <w:p>
      <w:pPr>
        <w:spacing w:after="40" w:before="80"/>
        <w:jc w:val="center"/>
      </w:pPr>
      <w:r>
        <w:rPr>
          <w:rFonts w:ascii="Arial" w:cs="Arial" w:eastAsia="Arial" w:hAnsi="Arial"/>
          <w:b/>
          <w:bCs/>
          <w:sz w:val="24"/>
          <w:szCs w:val="24"/>
        </w:rPr>
        <w:t xml:space="preserve">Assignment 4</w:t>
      </w:r>
    </w:p>
    <w:p>
      <w:pPr>
        <w:spacing w:after="40" w:before="40"/>
        <w:jc w:val="center"/>
      </w:pPr>
      <w:r>
        <w:rPr>
          <w:rFonts w:ascii="Arial" w:cs="Arial" w:eastAsia="Arial" w:hAnsi="Arial"/>
          <w:sz w:val="22"/>
          <w:szCs w:val="22"/>
        </w:rPr>
        <w:t xml:space="preserve">BA-64061-001 Advanced Machine Learning</w:t>
      </w:r>
    </w:p>
    <w:p>
      <w:pPr>
        <w:spacing w:after="40" w:before="40"/>
        <w:jc w:val="center"/>
      </w:pPr>
      <w:r>
        <w:rPr>
          <w:rFonts w:ascii="Arial" w:cs="Arial" w:eastAsia="Arial" w:hAnsi="Arial"/>
          <w:sz w:val="22"/>
          <w:szCs w:val="22"/>
        </w:rPr>
        <w:t xml:space="preserve">Instructor: Chaojiang (CJ) Wu, Ph.D.</w:t>
      </w:r>
    </w:p>
    <w:p>
      <w:pPr>
        <w:spacing w:after="60" w:before="60"/>
      </w:pPr>
      <w:r>
        <w:t xml:space="preserve"/>
      </w:r>
    </w:p>
    <w:p>
      <w:pPr>
        <w:spacing w:after="40" w:before="80"/>
        <w:jc w:val="center"/>
      </w:pPr>
      <w:r>
        <w:rPr>
          <w:rFonts w:ascii="Arial" w:cs="Arial" w:eastAsia="Arial" w:hAnsi="Arial"/>
          <w:b/>
          <w:bCs/>
          <w:sz w:val="24"/>
          <w:szCs w:val="24"/>
        </w:rPr>
        <w:t xml:space="preserve">Sai Bharath Goud Pudari</w:t>
      </w:r>
    </w:p>
    <w:p>
      <w:pPr>
        <w:spacing w:after="20" w:before="20"/>
        <w:jc w:val="center"/>
      </w:pPr>
      <w:r>
        <w:rPr>
          <w:rFonts w:ascii="Arial" w:cs="Arial" w:eastAsia="Arial" w:hAnsi="Arial"/>
          <w:color w:val="2E75B6"/>
          <w:sz w:val="22"/>
          <w:szCs w:val="22"/>
        </w:rPr>
        <w:t xml:space="preserve">spudari@kent.edu</w:t>
      </w:r>
    </w:p>
    <w:p>
      <w:pPr>
        <w:spacing w:after="20" w:before="20"/>
        <w:jc w:val="center"/>
      </w:pPr>
      <w:r>
        <w:rPr>
          <w:rFonts w:ascii="Arial" w:cs="Arial" w:eastAsia="Arial" w:hAnsi="Arial"/>
          <w:sz w:val="22"/>
          <w:szCs w:val="22"/>
        </w:rPr>
        <w:t xml:space="preserve">Student ID: 811354970</w:t>
      </w:r>
    </w:p>
    <w:p>
      <w:pPr>
        <w:spacing w:after="20" w:before="20"/>
        <w:jc w:val="center"/>
      </w:pPr>
      <w:r>
        <w:rPr>
          <w:rFonts w:ascii="Arial" w:cs="Arial" w:eastAsia="Arial" w:hAnsi="Arial"/>
          <w:sz w:val="22"/>
          <w:szCs w:val="22"/>
        </w:rPr>
        <w:t xml:space="preserve">April 18, 2026</w:t>
      </w:r>
    </w:p>
    <w:p>
      <w:pPr>
        <w:spacing w:after="60" w:before="60"/>
      </w:pPr>
      <w:r>
        <w:t xml:space="preserve"/>
      </w:r>
    </w:p>
    <w:p>
      <w:pPr>
        <w:spacing w:after="60" w:before="60"/>
      </w:pPr>
      <w:r>
        <w:t xml:space="preserve"/>
      </w:r>
    </w:p>
    <w:p>
      <w:pPr>
        <w:pStyle w:val="Heading1"/>
        <w:spacing w:after="120" w:before="360"/>
      </w:pPr>
      <w:r>
        <w:rPr>
          <w:rFonts w:ascii="Arial" w:cs="Arial" w:eastAsia="Arial" w:hAnsi="Arial"/>
          <w:b/>
          <w:bCs/>
          <w:color w:val="1F4E79"/>
          <w:sz w:val="32"/>
          <w:szCs w:val="32"/>
        </w:rPr>
        <w:t xml:space="preserve">I. Purpose</w:t>
      </w:r>
    </w:p>
    <w:p>
      <w:pPr>
        <w:spacing w:after="80" w:before="80" w:line="276"/>
        <w:jc w:val="both"/>
      </w:pPr>
      <w:r>
        <w:rPr>
          <w:rFonts w:ascii="Arial" w:cs="Arial" w:eastAsia="Arial" w:hAnsi="Arial"/>
          <w:sz w:val="22"/>
          <w:szCs w:val="22"/>
        </w:rPr>
        <w:t xml:space="preserve">This assignment investigates the application of Recurrent Neural Networks (RNNs) to natural language processing tasks, with a specific focus on sentiment classification of movie reviews. The work is structured around three primary objectives: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Sentiment Analysis with RNNs: To construct and train RNN-based models on the IMDB movie reviews dataset for binary sentiment classification (positive or negative). This objective demonstrates the capacity of RNNs, specifically Bidirectional Long Short-Term Memory (BiLSTM) networks, to capture sequential and contextual dependencies in natural language.</w:t>
      </w:r>
    </w:p>
    <w:p>
      <w:pPr>
        <w:pStyle w:val="ListParagraph"/>
        <w:numPr>
          <w:ilvl w:val="0"/>
          <w:numId w:val="2"/>
        </w:numPr>
        <w:spacing w:after="60" w:before="60"/>
      </w:pPr>
      <w:r>
        <w:rPr>
          <w:rFonts w:ascii="Arial" w:cs="Arial" w:eastAsia="Arial" w:hAnsi="Arial"/>
          <w:sz w:val="22"/>
          <w:szCs w:val="22"/>
        </w:rPr>
        <w:t xml:space="preserve">Performance Optimization Under Data Scarcity: To explore and implement strategies that enhance model generalization when the volume of available labeled training data is limited. The experiments systematically vary training sample sizes to evaluate the robustness of each modeling approach under constrained data conditions.</w:t>
      </w:r>
    </w:p>
    <w:p>
      <w:pPr>
        <w:pStyle w:val="ListParagraph"/>
        <w:numPr>
          <w:ilvl w:val="0"/>
          <w:numId w:val="2"/>
        </w:numPr>
        <w:spacing w:after="60" w:before="60"/>
      </w:pPr>
      <w:r>
        <w:rPr>
          <w:rFonts w:ascii="Arial" w:cs="Arial" w:eastAsia="Arial" w:hAnsi="Arial"/>
          <w:sz w:val="22"/>
          <w:szCs w:val="22"/>
        </w:rPr>
        <w:t xml:space="preserve">Comparative Evaluation of Word Embedding Methods: To empirically compare two distinct word representation strategies within the RNN framework: (i) a custom-trained embedding layer learned from scratch on the task-specific dataset, and (ii) pretrained GloVe (Global Vectors for Word Representation) embeddings that encode semantic knowledge derived from large, diverse text corpora.</w:t>
      </w:r>
    </w:p>
    <w:p>
      <w:pPr>
        <w:spacing w:after="60" w:before="60"/>
      </w:pPr>
      <w:r>
        <w:t xml:space="preserve"/>
      </w:r>
    </w:p>
    <w:p>
      <w:pPr>
        <w:pStyle w:val="Heading1"/>
        <w:spacing w:after="120" w:before="360"/>
      </w:pPr>
      <w:r>
        <w:rPr>
          <w:rFonts w:ascii="Arial" w:cs="Arial" w:eastAsia="Arial" w:hAnsi="Arial"/>
          <w:b/>
          <w:bCs/>
          <w:color w:val="1F4E79"/>
          <w:sz w:val="32"/>
          <w:szCs w:val="32"/>
        </w:rPr>
        <w:t xml:space="preserve">II. Dataset Overview</w:t>
      </w:r>
    </w:p>
    <w:p>
      <w:pPr>
        <w:spacing w:after="80" w:before="80" w:line="276"/>
        <w:jc w:val="both"/>
      </w:pPr>
      <w:r>
        <w:rPr>
          <w:rFonts w:ascii="Arial" w:cs="Arial" w:eastAsia="Arial" w:hAnsi="Arial"/>
          <w:sz w:val="22"/>
          <w:szCs w:val="22"/>
        </w:rPr>
        <w:t xml:space="preserve">All experiments were conducted using the IMDB Large Movie Review Dataset, a widely-adopted benchmark corpus for binary sentiment analysis. The dataset contains 50,000 movie reviews partitioned into 25,000 training and 25,000 test samples, with balanced positive and negative class distributions. The following preprocessing decisions were applied consistently across all experiments: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Sequence truncation: Reviews exceeding 150 tokens were truncated to 150 words to enforce a uniform maximum sequence length and reduce computational overhead.</w:t>
      </w:r>
    </w:p>
    <w:p>
      <w:pPr>
        <w:pStyle w:val="ListParagraph"/>
        <w:numPr>
          <w:ilvl w:val="0"/>
          <w:numId w:val="2"/>
        </w:numPr>
        <w:spacing w:after="60" w:before="60"/>
      </w:pPr>
      <w:r>
        <w:rPr>
          <w:rFonts w:ascii="Arial" w:cs="Arial" w:eastAsia="Arial" w:hAnsi="Arial"/>
          <w:sz w:val="22"/>
          <w:szCs w:val="22"/>
        </w:rPr>
        <w:t xml:space="preserve">Vocabulary restriction: Only the top 10,000 most frequent tokens in the training corpus were retained in the vocabulary. Out-of-vocabulary terms were mapped to a dedicated unknown token.</w:t>
      </w:r>
    </w:p>
    <w:p>
      <w:pPr>
        <w:pStyle w:val="ListParagraph"/>
        <w:numPr>
          <w:ilvl w:val="0"/>
          <w:numId w:val="2"/>
        </w:numPr>
        <w:spacing w:after="60" w:before="60"/>
      </w:pPr>
      <w:r>
        <w:rPr>
          <w:rFonts w:ascii="Arial" w:cs="Arial" w:eastAsia="Arial" w:hAnsi="Arial"/>
          <w:sz w:val="22"/>
          <w:szCs w:val="22"/>
        </w:rPr>
        <w:t xml:space="preserve">Training data limitation: The baseline training set was intentionally restricted to 100 samples to simulate a low-data scenario and motivate the use of pretrained embeddings.</w:t>
      </w:r>
    </w:p>
    <w:p>
      <w:pPr>
        <w:pStyle w:val="ListParagraph"/>
        <w:numPr>
          <w:ilvl w:val="0"/>
          <w:numId w:val="2"/>
        </w:numPr>
        <w:spacing w:after="60" w:before="60"/>
      </w:pPr>
      <w:r>
        <w:rPr>
          <w:rFonts w:ascii="Arial" w:cs="Arial" w:eastAsia="Arial" w:hAnsi="Arial"/>
          <w:sz w:val="22"/>
          <w:szCs w:val="22"/>
        </w:rPr>
        <w:t xml:space="preserve">Validation set: 10,000 samples were reserved for validation, enabling stable and reliable estimates of generalization performance throughout training.</w:t>
      </w:r>
    </w:p>
    <w:p>
      <w:pPr>
        <w:pStyle w:val="ListParagraph"/>
        <w:numPr>
          <w:ilvl w:val="0"/>
          <w:numId w:val="2"/>
        </w:numPr>
        <w:spacing w:after="60" w:before="60"/>
      </w:pPr>
      <w:r>
        <w:rPr>
          <w:rFonts w:ascii="Arial" w:cs="Arial" w:eastAsia="Arial" w:hAnsi="Arial"/>
          <w:sz w:val="22"/>
          <w:szCs w:val="22"/>
        </w:rPr>
        <w:t xml:space="preserve">Batch size: A batch size of 32 was used for all training runs.</w:t>
      </w:r>
    </w:p>
    <w:p>
      <w:pPr>
        <w:spacing w:after="60" w:before="60"/>
      </w:pPr>
      <w:r>
        <w:t xml:space="preserve"/>
      </w:r>
    </w:p>
    <w:p>
      <w:pPr>
        <w:spacing w:after="80" w:before="80" w:line="276"/>
        <w:jc w:val="both"/>
      </w:pPr>
      <w:r>
        <w:rPr>
          <w:rFonts w:ascii="Arial" w:cs="Arial" w:eastAsia="Arial" w:hAnsi="Arial"/>
          <w:sz w:val="22"/>
          <w:szCs w:val="22"/>
        </w:rPr>
        <w:t xml:space="preserve">The dataset was downloaded from the Stanford AI Lab repository and loaded using the Keras text_dataset_from_directory utility. A 20% split of the training data was reserved for validation by randomly shuffling files and relocating them to a dedicated validation directory prior to training.</w:t>
      </w:r>
    </w:p>
    <w:p>
      <w:pPr>
        <w:spacing w:after="60" w:before="60"/>
      </w:pPr>
      <w:r>
        <w:t xml:space="preserve"/>
      </w:r>
    </w:p>
    <w:p>
      <w:pPr>
        <w:pStyle w:val="Heading1"/>
        <w:spacing w:after="120" w:before="360"/>
      </w:pPr>
      <w:r>
        <w:rPr>
          <w:rFonts w:ascii="Arial" w:cs="Arial" w:eastAsia="Arial" w:hAnsi="Arial"/>
          <w:b/>
          <w:bCs/>
          <w:color w:val="1F4E79"/>
          <w:sz w:val="32"/>
          <w:szCs w:val="32"/>
        </w:rPr>
        <w:t xml:space="preserve">III. Model Architectures</w:t>
      </w:r>
    </w:p>
    <w:p>
      <w:pPr>
        <w:spacing w:after="80" w:before="80" w:line="276"/>
        <w:jc w:val="both"/>
      </w:pPr>
      <w:r>
        <w:rPr>
          <w:rFonts w:ascii="Arial" w:cs="Arial" w:eastAsia="Arial" w:hAnsi="Arial"/>
          <w:sz w:val="22"/>
          <w:szCs w:val="22"/>
        </w:rPr>
        <w:t xml:space="preserve">Two model variants were designed and evaluated, differing exclusively in their word embedding strategy while sharing an identical downstream architecture. This controlled design isolates the effect of the embedding approach on model performance.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3.1 Custom Embedding Model</w:t>
      </w:r>
    </w:p>
    <w:p>
      <w:pPr>
        <w:spacing w:after="80" w:before="80" w:line="276"/>
        <w:jc w:val="both"/>
      </w:pPr>
      <w:r>
        <w:rPr>
          <w:rFonts w:ascii="Arial" w:cs="Arial" w:eastAsia="Arial" w:hAnsi="Arial"/>
          <w:sz w:val="22"/>
          <w:szCs w:val="22"/>
        </w:rPr>
        <w:t xml:space="preserve">The first model employs a randomly initialized, trainable embedding layer that learns word representations directly from the task-specific training data. The full architecture is described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 (Type)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 Shape</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Input (InputLayer)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(None, None)</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Embedding (Embedding)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(None, None, 128)</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1,280,000</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Bidirectional LSTM (Bidirectional)</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(None, 64)</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41,216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Dropout (Dropout)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(None, 64)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Dense (Dense)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(None, 1)</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Total Parameters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1,321,281</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Trainable Parameters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1,321,281</w:t>
            </w:r>
          </w:p>
        </w:tc>
      </w:tr>
    </w:tbl>
    <w:p>
      <w:pPr>
        <w:spacing w:after="60" w:before="60"/>
      </w:pPr>
      <w:r>
        <w:t xml:space="preserve"/>
      </w:r>
    </w:p>
    <w:p>
      <w:pPr>
        <w:spacing w:after="80" w:before="80" w:line="276"/>
        <w:jc w:val="both"/>
      </w:pPr>
      <w:r>
        <w:rPr>
          <w:rFonts w:ascii="Arial" w:cs="Arial" w:eastAsia="Arial" w:hAnsi="Arial"/>
          <w:sz w:val="22"/>
          <w:szCs w:val="22"/>
        </w:rPr>
        <w:t xml:space="preserve">The embedding layer maps each token index to a 128-dimensional dense vector. These vectors are subsequently processed by a Bidirectional LSTM layer with 32 units in each direction, yielding a 64-dimensional concatenated representation. A Dropout layer with a rate of 0.2 is applied following the LSTM to mitigate overfitting. The final Dense layer with a sigmoid activation function produces a scalar probability for binary classification. The model was compiled using the RMSprop optimizer with binary cross-entropy loss.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3.2 Pretrained GloVe Embedding Model</w:t>
      </w:r>
    </w:p>
    <w:p>
      <w:pPr>
        <w:spacing w:after="80" w:before="80" w:line="276"/>
        <w:jc w:val="both"/>
      </w:pPr>
      <w:r>
        <w:rPr>
          <w:rFonts w:ascii="Arial" w:cs="Arial" w:eastAsia="Arial" w:hAnsi="Arial"/>
          <w:sz w:val="22"/>
          <w:szCs w:val="22"/>
        </w:rPr>
        <w:t xml:space="preserve">The second model substitutes the trainable embedding layer with a non-trainable layer initialized using 100-dimensional GloVe vectors (glove.6B.100d) trained on six billion tokens from Wikipedia and Gigaword. The embedding weights remain fixed throughout training, ensuring that only the downstream BiLSTM and Dense layers are updated.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 (Type)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 Shape</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Input (InputLayer)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(None, None)</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Embedding / GloVe (Embedding)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(None, None, 100)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1,000,000</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NotEqual (NotEqual)</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(None, None)</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Bidirectional LSTM (Bidirectional)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(None, 64)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34,048</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Dropout (Dropout)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(None, 64)</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Dense (Dense)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(None, 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65</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Total Parameters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1,034,113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Trainable Parameters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34,113</w:t>
            </w:r>
          </w:p>
        </w:tc>
      </w:tr>
    </w:tbl>
    <w:p>
      <w:pPr>
        <w:spacing w:after="60" w:before="60"/>
      </w:pPr>
      <w:r>
        <w:t xml:space="preserve"/>
      </w:r>
    </w:p>
    <w:p>
      <w:pPr>
        <w:spacing w:after="80" w:before="80" w:line="276"/>
        <w:jc w:val="both"/>
      </w:pPr>
      <w:r>
        <w:rPr>
          <w:rFonts w:ascii="Arial" w:cs="Arial" w:eastAsia="Arial" w:hAnsi="Arial"/>
          <w:sz w:val="22"/>
          <w:szCs w:val="22"/>
        </w:rPr>
        <w:t xml:space="preserve">A key distinction between the two architectures is the reduction in trainable parameters. Because the GloVe embedding matrix (1,000,000 parameters) is frozen, only 34,113 parameters are updated during backpropagation. This substantially reduces the risk of overfitting in low-data regimes, as the model relies on the rich semantic priors encoded in the pretrained vectors rather than attempting to learn word representations from a limited number of examples. The masking of zero-padded positions (mask_zero=True) further improves the accuracy of sequence modeling by excluding padding tokens from LSTM computations.</w:t>
      </w:r>
    </w:p>
    <w:p>
      <w:pPr>
        <w:spacing w:after="60" w:before="60"/>
      </w:pPr>
      <w:r>
        <w:t xml:space="preserve"/>
      </w:r>
    </w:p>
    <w:p>
      <w:pPr>
        <w:pStyle w:val="Heading1"/>
        <w:spacing w:after="120" w:before="360"/>
      </w:pPr>
      <w:r>
        <w:rPr>
          <w:rFonts w:ascii="Arial" w:cs="Arial" w:eastAsia="Arial" w:hAnsi="Arial"/>
          <w:b/>
          <w:bCs/>
          <w:color w:val="1F4E79"/>
          <w:sz w:val="32"/>
          <w:szCs w:val="32"/>
        </w:rPr>
        <w:t xml:space="preserve">IV. Training Procedure</w:t>
      </w:r>
    </w:p>
    <w:p>
      <w:pPr>
        <w:spacing w:after="80" w:before="80" w:line="276"/>
        <w:jc w:val="both"/>
      </w:pPr>
      <w:r>
        <w:rPr>
          <w:rFonts w:ascii="Arial" w:cs="Arial" w:eastAsia="Arial" w:hAnsi="Arial"/>
          <w:sz w:val="22"/>
          <w:szCs w:val="22"/>
        </w:rPr>
        <w:t xml:space="preserve">Both models were trained using identical hyperparameters and optimization settings to ensure a fair comparison. The training configuration is summarized as follows: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Optimizer: RMSprop</w:t>
      </w:r>
    </w:p>
    <w:p>
      <w:pPr>
        <w:pStyle w:val="ListParagraph"/>
        <w:numPr>
          <w:ilvl w:val="0"/>
          <w:numId w:val="2"/>
        </w:numPr>
        <w:spacing w:after="60" w:before="60"/>
      </w:pPr>
      <w:r>
        <w:rPr>
          <w:rFonts w:ascii="Arial" w:cs="Arial" w:eastAsia="Arial" w:hAnsi="Arial"/>
          <w:sz w:val="22"/>
          <w:szCs w:val="22"/>
        </w:rPr>
        <w:t xml:space="preserve">Loss function: Binary cross-entropy</w:t>
      </w:r>
    </w:p>
    <w:p>
      <w:pPr>
        <w:pStyle w:val="ListParagraph"/>
        <w:numPr>
          <w:ilvl w:val="0"/>
          <w:numId w:val="2"/>
        </w:numPr>
        <w:spacing w:after="60" w:before="60"/>
      </w:pPr>
      <w:r>
        <w:rPr>
          <w:rFonts w:ascii="Arial" w:cs="Arial" w:eastAsia="Arial" w:hAnsi="Arial"/>
          <w:sz w:val="22"/>
          <w:szCs w:val="22"/>
        </w:rPr>
        <w:t xml:space="preserve">Evaluation metric: Accuracy</w:t>
      </w:r>
    </w:p>
    <w:p>
      <w:pPr>
        <w:pStyle w:val="ListParagraph"/>
        <w:numPr>
          <w:ilvl w:val="0"/>
          <w:numId w:val="2"/>
        </w:numPr>
        <w:spacing w:after="60" w:before="60"/>
      </w:pPr>
      <w:r>
        <w:rPr>
          <w:rFonts w:ascii="Arial" w:cs="Arial" w:eastAsia="Arial" w:hAnsi="Arial"/>
          <w:sz w:val="22"/>
          <w:szCs w:val="22"/>
        </w:rPr>
        <w:t xml:space="preserve">Number of epochs: 10</w:t>
      </w:r>
    </w:p>
    <w:p>
      <w:pPr>
        <w:pStyle w:val="ListParagraph"/>
        <w:numPr>
          <w:ilvl w:val="0"/>
          <w:numId w:val="2"/>
        </w:numPr>
        <w:spacing w:after="60" w:before="60"/>
      </w:pPr>
      <w:r>
        <w:rPr>
          <w:rFonts w:ascii="Arial" w:cs="Arial" w:eastAsia="Arial" w:hAnsi="Arial"/>
          <w:sz w:val="22"/>
          <w:szCs w:val="22"/>
        </w:rPr>
        <w:t xml:space="preserve">Batch size: 32</w:t>
      </w:r>
    </w:p>
    <w:p>
      <w:pPr>
        <w:pStyle w:val="ListParagraph"/>
        <w:numPr>
          <w:ilvl w:val="0"/>
          <w:numId w:val="2"/>
        </w:numPr>
        <w:spacing w:after="60" w:before="60"/>
      </w:pPr>
      <w:r>
        <w:rPr>
          <w:rFonts w:ascii="Arial" w:cs="Arial" w:eastAsia="Arial" w:hAnsi="Arial"/>
          <w:sz w:val="22"/>
          <w:szCs w:val="22"/>
        </w:rPr>
        <w:t xml:space="preserve">Callback: ModelCheckpoint with save_best_only=True, preserving the model weights that achieved the lowest validation loss</w:t>
      </w:r>
    </w:p>
    <w:p>
      <w:pPr>
        <w:spacing w:after="60" w:before="60"/>
      </w:pPr>
      <w:r>
        <w:t xml:space="preserve"/>
      </w:r>
    </w:p>
    <w:p>
      <w:pPr>
        <w:spacing w:after="80" w:before="80" w:line="276"/>
        <w:jc w:val="both"/>
      </w:pPr>
      <w:r>
        <w:rPr>
          <w:rFonts w:ascii="Arial" w:cs="Arial" w:eastAsia="Arial" w:hAnsi="Arial"/>
          <w:sz w:val="22"/>
          <w:szCs w:val="22"/>
        </w:rPr>
        <w:t xml:space="preserve">Text vectorization was performed using the Keras TextVectorization layer configured with a maximum vocabulary size of 10,000 tokens, integer output mode, and a sequence length of 150. The vectorization layer was adapted on the unlabeled training text prior to tokenizing both training and validation datasets. Training samples were restricted to the first 100 batches (int_train_ds.take(100)) while validation was performed on up to 10,000 samples (int_val_ds.take(10000)) to enable efficient epoch-level evaluation.</w:t>
      </w:r>
    </w:p>
    <w:p>
      <w:pPr>
        <w:spacing w:after="60" w:before="60"/>
      </w:pPr>
      <w:r>
        <w:t xml:space="preserve"/>
      </w:r>
    </w:p>
    <w:p>
      <w:pPr>
        <w:pStyle w:val="Heading1"/>
        <w:spacing w:after="120" w:before="360"/>
      </w:pPr>
      <w:r>
        <w:rPr>
          <w:rFonts w:ascii="Arial" w:cs="Arial" w:eastAsia="Arial" w:hAnsi="Arial"/>
          <w:b/>
          <w:bCs/>
          <w:color w:val="1F4E79"/>
          <w:sz w:val="32"/>
          <w:szCs w:val="32"/>
        </w:rPr>
        <w:t xml:space="preserve">V. Results and Evaluation</w:t>
      </w:r>
    </w:p>
    <w:p>
      <w:pPr>
        <w:pStyle w:val="Heading2"/>
        <w:spacing w:after="80" w:before="240"/>
      </w:pPr>
      <w:r>
        <w:rPr>
          <w:rFonts w:ascii="Arial" w:cs="Arial" w:eastAsia="Arial" w:hAnsi="Arial"/>
          <w:b/>
          <w:bCs/>
          <w:color w:val="2E75B6"/>
          <w:sz w:val="26"/>
          <w:szCs w:val="26"/>
        </w:rPr>
        <w:t xml:space="preserve">5.1 Training and Validation Accuracy and Loss</w:t>
      </w:r>
    </w:p>
    <w:p>
      <w:pPr>
        <w:spacing w:after="80" w:before="80" w:line="276"/>
        <w:jc w:val="both"/>
      </w:pPr>
      <w:r>
        <w:rPr>
          <w:rFonts w:ascii="Arial" w:cs="Arial" w:eastAsia="Arial" w:hAnsi="Arial"/>
          <w:sz w:val="22"/>
          <w:szCs w:val="22"/>
        </w:rPr>
        <w:t xml:space="preserve">Both models were trained for 10 epochs and their accuracy and loss trajectories were monitored throughout. The following tables summarize the epoch-by-epoch performance metrics for each model.</w:t>
      </w:r>
    </w:p>
    <w:p>
      <w:pPr>
        <w:spacing w:after="60" w:before="60"/>
      </w:pPr>
      <w:r>
        <w:t xml:space="preserve"/>
      </w:r>
    </w:p>
    <w:p>
      <w:pPr>
        <w:spacing w:after="60" w:before="200"/>
      </w:pPr>
      <w:r>
        <w:rPr>
          <w:rFonts w:ascii="Arial" w:cs="Arial" w:eastAsia="Arial" w:hAnsi="Arial"/>
          <w:b/>
          <w:bCs/>
          <w:color w:val="2F5496"/>
          <w:sz w:val="24"/>
          <w:szCs w:val="24"/>
        </w:rPr>
        <w:t xml:space="preserve">Custom Embedding Model — Training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72"/>
        <w:gridCol w:w="1872"/>
        <w:gridCol w:w="1872"/>
        <w:gridCol w:w="2244"/>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Epoch</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 Accuracy</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 Loss</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 Accuracy</w:t>
            </w:r>
          </w:p>
        </w:tc>
        <w:tc>
          <w:tcPr>
            <w:tcW w:type="dxa" w:w="224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 Loss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0.5359</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0.6900</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0.5226</w:t>
            </w:r>
          </w:p>
        </w:tc>
        <w:tc>
          <w:tcPr>
            <w:tcW w:type="dxa" w:w="224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0.6864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0.6816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0.6076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0.7162</w:t>
            </w:r>
          </w:p>
        </w:tc>
        <w:tc>
          <w:tcPr>
            <w:tcW w:type="dxa" w:w="22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0.5686</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0.7950</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0.4776</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0.7866</w:t>
            </w:r>
          </w:p>
        </w:tc>
        <w:tc>
          <w:tcPr>
            <w:tcW w:type="dxa" w:w="224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0.4758</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0.8478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0.3775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0.8014</w:t>
            </w:r>
          </w:p>
        </w:tc>
        <w:tc>
          <w:tcPr>
            <w:tcW w:type="dxa" w:w="22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0.4449</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0.8806</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0.3069</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0.7866</w:t>
            </w:r>
          </w:p>
        </w:tc>
        <w:tc>
          <w:tcPr>
            <w:tcW w:type="dxa" w:w="224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0.4521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0.9075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0.2578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0.8092</w:t>
            </w:r>
          </w:p>
        </w:tc>
        <w:tc>
          <w:tcPr>
            <w:tcW w:type="dxa" w:w="22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0.4565</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0.9287</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0.2141</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0.7792</w:t>
            </w:r>
          </w:p>
        </w:tc>
        <w:tc>
          <w:tcPr>
            <w:tcW w:type="dxa" w:w="224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0.4656</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0.9519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0.1509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0.7918</w:t>
            </w:r>
          </w:p>
        </w:tc>
        <w:tc>
          <w:tcPr>
            <w:tcW w:type="dxa" w:w="22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0.5109</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0.9506</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0.1431</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0.7624</w:t>
            </w:r>
          </w:p>
        </w:tc>
        <w:tc>
          <w:tcPr>
            <w:tcW w:type="dxa" w:w="224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0.6118</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0.9594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0.1194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0.7982</w:t>
            </w:r>
          </w:p>
        </w:tc>
        <w:tc>
          <w:tcPr>
            <w:tcW w:type="dxa" w:w="22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0.5401</w:t>
            </w:r>
          </w:p>
        </w:tc>
      </w:tr>
    </w:tbl>
    <w:p>
      <w:pPr>
        <w:spacing w:after="60" w:before="60"/>
      </w:pPr>
      <w:r>
        <w:t xml:space="preserve"/>
      </w:r>
    </w:p>
    <w:p>
      <w:pPr>
        <w:spacing w:after="60" w:before="200"/>
      </w:pPr>
      <w:r>
        <w:rPr>
          <w:rFonts w:ascii="Arial" w:cs="Arial" w:eastAsia="Arial" w:hAnsi="Arial"/>
          <w:b/>
          <w:bCs/>
          <w:color w:val="2F5496"/>
          <w:sz w:val="24"/>
          <w:szCs w:val="24"/>
        </w:rPr>
        <w:t xml:space="preserve">Pretrained GloVe Embedding Model — Training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72"/>
        <w:gridCol w:w="1872"/>
        <w:gridCol w:w="1872"/>
        <w:gridCol w:w="2244"/>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Epoch</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 Accuracy</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 Loss</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 Accuracy</w:t>
            </w:r>
          </w:p>
        </w:tc>
        <w:tc>
          <w:tcPr>
            <w:tcW w:type="dxa" w:w="224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 Loss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0.5928</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0.6692</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0.6100</w:t>
            </w:r>
          </w:p>
        </w:tc>
        <w:tc>
          <w:tcPr>
            <w:tcW w:type="dxa" w:w="224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0.6693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0.6725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0.6068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0.6768</w:t>
            </w:r>
          </w:p>
        </w:tc>
        <w:tc>
          <w:tcPr>
            <w:tcW w:type="dxa" w:w="22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0.5999</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0.7100</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0.5672</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0.7038</w:t>
            </w:r>
          </w:p>
        </w:tc>
        <w:tc>
          <w:tcPr>
            <w:tcW w:type="dxa" w:w="224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0.5662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0.7328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0.5351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0.6886</w:t>
            </w:r>
          </w:p>
        </w:tc>
        <w:tc>
          <w:tcPr>
            <w:tcW w:type="dxa" w:w="22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0.5941</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0.7553</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0.5170</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0.7584</w:t>
            </w:r>
          </w:p>
        </w:tc>
        <w:tc>
          <w:tcPr>
            <w:tcW w:type="dxa" w:w="224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0.5080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0.7791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0.4782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0.7676</w:t>
            </w:r>
          </w:p>
        </w:tc>
        <w:tc>
          <w:tcPr>
            <w:tcW w:type="dxa" w:w="22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0.4863</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0.7788</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0.4695</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0.7698</w:t>
            </w:r>
          </w:p>
        </w:tc>
        <w:tc>
          <w:tcPr>
            <w:tcW w:type="dxa" w:w="224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0.4765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0.7987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0.4371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0.7758</w:t>
            </w:r>
          </w:p>
        </w:tc>
        <w:tc>
          <w:tcPr>
            <w:tcW w:type="dxa" w:w="22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0.4684</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0.8047</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0.4286</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0.7902</w:t>
            </w:r>
          </w:p>
        </w:tc>
        <w:tc>
          <w:tcPr>
            <w:tcW w:type="dxa" w:w="224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0.4560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0.8184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0.4028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0.7798</w:t>
            </w:r>
          </w:p>
        </w:tc>
        <w:tc>
          <w:tcPr>
            <w:tcW w:type="dxa" w:w="22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0.4715</w:t>
            </w:r>
          </w:p>
        </w:tc>
      </w:tr>
    </w:tbl>
    <w:p>
      <w:pPr>
        <w:spacing w:after="60" w:before="60"/>
      </w:pPr>
      <w:r>
        <w:t xml:space="preserve"/>
      </w:r>
    </w:p>
    <w:p>
      <w:pPr>
        <w:spacing w:after="80" w:before="80" w:line="276"/>
        <w:jc w:val="both"/>
      </w:pPr>
      <w:r>
        <w:rPr>
          <w:rFonts w:ascii="Arial" w:cs="Arial" w:eastAsia="Arial" w:hAnsi="Arial"/>
          <w:sz w:val="22"/>
          <w:szCs w:val="22"/>
        </w:rPr>
        <w:t xml:space="preserve">The custom embedding model exhibits a pronounced divergence between training and validation accuracy, with training accuracy reaching 95.94% by epoch 10 while validation accuracy plateaus near 79–80%. This pattern is characteristic of overfitting, which is expected given the limited training set of 100 samples relative to the 1.28 million parameters in the embedding layer. Despite this overfitting, the model achieves a final validation accuracy of 79.82%, indicating that the Bidirectional LSTM architecture is capable of extracting useful sequential representations even from sparse training data.</w:t>
      </w:r>
    </w:p>
    <w:p>
      <w:pPr>
        <w:spacing w:after="60" w:before="60"/>
      </w:pPr>
      <w:r>
        <w:t xml:space="preserve"/>
      </w:r>
    </w:p>
    <w:p>
      <w:pPr>
        <w:spacing w:after="80" w:before="80" w:line="276"/>
        <w:jc w:val="both"/>
      </w:pPr>
      <w:r>
        <w:rPr>
          <w:rFonts w:ascii="Arial" w:cs="Arial" w:eastAsia="Arial" w:hAnsi="Arial"/>
          <w:sz w:val="22"/>
          <w:szCs w:val="22"/>
        </w:rPr>
        <w:t xml:space="preserve">The pretrained GloVe model demonstrates a more controlled training trajectory. Training accuracy increases more gradually (from 59.28% to 81.84%), and the gap between training and validation accuracy is substantially narrower. The final validation accuracy of 77.98% is marginally lower than the custom model's peak, though the pretrained model's learning curve is more stable and less susceptible to overfitting. The reduced number of trainable parameters (34,113 vs. 1,321,281) is the primary driver of this regularization effect.</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5.2 Final Validation Accuracy Comparison</w:t>
      </w:r>
    </w:p>
    <w:p>
      <w:pPr>
        <w:spacing w:after="80" w:before="80" w:line="276"/>
        <w:jc w:val="both"/>
      </w:pPr>
      <w:r>
        <w:rPr>
          <w:rFonts w:ascii="Arial" w:cs="Arial" w:eastAsia="Arial" w:hAnsi="Arial"/>
          <w:sz w:val="22"/>
          <w:szCs w:val="22"/>
        </w:rPr>
        <w:t xml:space="preserve">To contextualize the full-dataset results, the final validation accuracies from the 10-epoch baseline experiments are compared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Final Validation Accuracy</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Final Validation Loss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Custom Embedding</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79.82%</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0.5401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Pretrained GloVe Embedding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77.98%</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0.4715</w:t>
            </w:r>
          </w:p>
        </w:tc>
      </w:tr>
    </w:tbl>
    <w:p>
      <w:pPr>
        <w:spacing w:after="60" w:before="60"/>
      </w:pPr>
      <w:r>
        <w:t xml:space="preserve"/>
      </w:r>
    </w:p>
    <w:p>
      <w:pPr>
        <w:spacing w:after="80" w:before="80" w:line="276"/>
        <w:jc w:val="both"/>
      </w:pPr>
      <w:r>
        <w:rPr>
          <w:rFonts w:ascii="Arial" w:cs="Arial" w:eastAsia="Arial" w:hAnsi="Arial"/>
          <w:sz w:val="22"/>
          <w:szCs w:val="22"/>
        </w:rPr>
        <w:t xml:space="preserve">While the custom embedding model achieves a slightly higher final validation accuracy in the full baseline experiment, this result is sensitive to the specific checkpoint saved during training. The pretrained model exhibits lower validation loss, suggesting better-calibrated probability estimates. The final validation accuracy bar chart produced during experimentation (0.7836 for custom vs. 0.7912 for pretrained, using the best checkpoint) indicates that the pretrained model achieves superior generalization at the best checkpoint.</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5.3 Effect of Training Sample Size on Model Accuracy</w:t>
      </w:r>
    </w:p>
    <w:p>
      <w:pPr>
        <w:spacing w:after="80" w:before="80" w:line="276"/>
        <w:jc w:val="both"/>
      </w:pPr>
      <w:r>
        <w:rPr>
          <w:rFonts w:ascii="Arial" w:cs="Arial" w:eastAsia="Arial" w:hAnsi="Arial"/>
          <w:sz w:val="22"/>
          <w:szCs w:val="22"/>
        </w:rPr>
        <w:t xml:space="preserve">To systematically investigate the impact of training data volume on model performance, both models were retrained across four sample sizes: 100, 200, 500, and 1,000 examples. The final test accuracy at each sample size was recorded and is presented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40"/>
        <w:gridCol w:w="2600"/>
        <w:gridCol w:w="242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Sample Size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 Embedding Accuracy</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Pretrained Embedding Accuracy</w:t>
            </w:r>
          </w:p>
        </w:tc>
        <w:tc>
          <w:tcPr>
            <w:tcW w:type="dxa" w:w="24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Difference (Pretrained − Custom)</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0.7442</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0.7851</w:t>
            </w:r>
          </w:p>
        </w:tc>
        <w:tc>
          <w:tcPr>
            <w:tcW w:type="dxa" w:w="24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+0.0409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0.7613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0.7817</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+0.0204</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500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0.8072</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0.8182</w:t>
            </w:r>
          </w:p>
        </w:tc>
        <w:tc>
          <w:tcPr>
            <w:tcW w:type="dxa" w:w="24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+0.0110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0.8106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0.8190</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+0.0084</w:t>
            </w:r>
          </w:p>
        </w:tc>
      </w:tr>
    </w:tbl>
    <w:p>
      <w:pPr>
        <w:spacing w:after="60" w:before="60"/>
      </w:pPr>
      <w:r>
        <w:t xml:space="preserve"/>
      </w:r>
    </w:p>
    <w:p>
      <w:pPr>
        <w:pStyle w:val="Heading1"/>
        <w:spacing w:after="120" w:before="360"/>
      </w:pPr>
      <w:r>
        <w:rPr>
          <w:rFonts w:ascii="Arial" w:cs="Arial" w:eastAsia="Arial" w:hAnsi="Arial"/>
          <w:b/>
          <w:bCs/>
          <w:color w:val="1F4E79"/>
          <w:sz w:val="32"/>
          <w:szCs w:val="32"/>
        </w:rPr>
        <w:t xml:space="preserve">VI. Analysis of Results</w:t>
      </w:r>
    </w:p>
    <w:p>
      <w:pPr>
        <w:pStyle w:val="Heading2"/>
        <w:spacing w:after="80" w:before="240"/>
      </w:pPr>
      <w:r>
        <w:rPr>
          <w:rFonts w:ascii="Arial" w:cs="Arial" w:eastAsia="Arial" w:hAnsi="Arial"/>
          <w:b/>
          <w:bCs/>
          <w:color w:val="2E75B6"/>
          <w:sz w:val="26"/>
          <w:szCs w:val="26"/>
        </w:rPr>
        <w:t xml:space="preserve">6.1 Accuracy Gap Between Custom and Pretrained Models</w:t>
      </w:r>
    </w:p>
    <w:p>
      <w:pPr>
        <w:spacing w:after="80" w:before="80" w:line="276"/>
        <w:jc w:val="both"/>
      </w:pPr>
      <w:r>
        <w:rPr>
          <w:rFonts w:ascii="Arial" w:cs="Arial" w:eastAsia="Arial" w:hAnsi="Arial"/>
          <w:sz w:val="22"/>
          <w:szCs w:val="22"/>
        </w:rPr>
        <w:t xml:space="preserve">The results reveal a consistent but diminishing performance advantage in favor of pretrained GloVe embeddings across all training sample sizes. At 100 samples, the pretrained model outperforms the custom model by 4.09 percentage points (0.7851 vs. 0.7442). This gap contracts to 2.04 points at 200 samples, 1.10 points at 500 samples, and 0.84 points at 1,000 samples, indicating a clear convergence trend as training data volume increases.</w:t>
      </w:r>
    </w:p>
    <w:p>
      <w:pPr>
        <w:spacing w:after="60" w:before="60"/>
      </w:pPr>
      <w:r>
        <w:t xml:space="preserve"/>
      </w:r>
    </w:p>
    <w:p>
      <w:pPr>
        <w:spacing w:after="80" w:before="80" w:line="276"/>
        <w:jc w:val="both"/>
      </w:pPr>
      <w:r>
        <w:rPr>
          <w:rFonts w:ascii="Arial" w:cs="Arial" w:eastAsia="Arial" w:hAnsi="Arial"/>
          <w:sz w:val="22"/>
          <w:szCs w:val="22"/>
        </w:rPr>
        <w:t xml:space="preserve">This pattern is theoretically well-motivated. Pretrained GloVe embeddings encode rich syntactic and semantic associations learned from billions of tokens across diverse domains. When task-specific training data is scarce, these pretrained representations provide a strong inductive bias that enables the model to generalize beyond the limited observed examples. In contrast, the custom embedding layer must learn word representations from scratch, requiring substantially more examples to converge on meaningful distributed representations.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6.2 Improvement in Accuracy with Increased Sample Size</w:t>
      </w:r>
    </w:p>
    <w:p>
      <w:pPr>
        <w:spacing w:after="80" w:before="80" w:line="276"/>
        <w:jc w:val="both"/>
      </w:pPr>
      <w:r>
        <w:rPr>
          <w:rFonts w:ascii="Arial" w:cs="Arial" w:eastAsia="Arial" w:hAnsi="Arial"/>
          <w:sz w:val="22"/>
          <w:szCs w:val="22"/>
        </w:rPr>
        <w:t xml:space="preserve">Both models exhibit consistent accuracy improvements as the number of training samples increases, but the rate and magnitude of improvement differ between the two approaches: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Custom Embeddings: Accuracy improved from 0.7442 (100 samples) to 0.8106 (1,000 samples), representing an absolute gain of 6.64 percentage points. The improvement trajectory is steep and relatively uniform, suggesting that the custom model remains in a data-hungry regime throughout the range tested.</w:t>
      </w:r>
    </w:p>
    <w:p>
      <w:pPr>
        <w:pStyle w:val="ListParagraph"/>
        <w:numPr>
          <w:ilvl w:val="0"/>
          <w:numId w:val="2"/>
        </w:numPr>
        <w:spacing w:after="60" w:before="60"/>
      </w:pPr>
      <w:r>
        <w:rPr>
          <w:rFonts w:ascii="Arial" w:cs="Arial" w:eastAsia="Arial" w:hAnsi="Arial"/>
          <w:sz w:val="22"/>
          <w:szCs w:val="22"/>
        </w:rPr>
        <w:t xml:space="preserve">Pretrained Embeddings: Accuracy improved from 0.7851 (100 samples) to 0.8190 (1,000 samples), representing an absolute gain of 3.39 percentage points. The improvement is more modest and begins to plateau earlier, reflecting the fact that the model's strong initial performance already reflects the transferred semantic knowledge.</w:t>
      </w:r>
    </w:p>
    <w:p>
      <w:pPr>
        <w:spacing w:after="60" w:before="60"/>
      </w:pPr>
      <w:r>
        <w:t xml:space="preserve"/>
      </w:r>
    </w:p>
    <w:p>
      <w:pPr>
        <w:spacing w:after="80" w:before="80" w:line="276"/>
        <w:jc w:val="both"/>
      </w:pPr>
      <w:r>
        <w:rPr>
          <w:rFonts w:ascii="Arial" w:cs="Arial" w:eastAsia="Arial" w:hAnsi="Arial"/>
          <w:sz w:val="22"/>
          <w:szCs w:val="22"/>
        </w:rPr>
        <w:t xml:space="preserve">The more pronounced improvement trend for custom embeddings is consistent with the hypothesis that these models require substantially more data to learn meaningful word representations. As data availability increases, the custom model increasingly narrows the performance gap, suggesting that its ultimate ceiling may be competitive with or superior to the pretrained approach at larger data scales.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6.3 Diminishing Returns and the Plateauing Effect</w:t>
      </w:r>
    </w:p>
    <w:p>
      <w:pPr>
        <w:spacing w:after="80" w:before="80" w:line="276"/>
        <w:jc w:val="both"/>
      </w:pPr>
      <w:r>
        <w:rPr>
          <w:rFonts w:ascii="Arial" w:cs="Arial" w:eastAsia="Arial" w:hAnsi="Arial"/>
          <w:sz w:val="22"/>
          <w:szCs w:val="22"/>
        </w:rPr>
        <w:t xml:space="preserve">As the sample size approaches 1,000, accuracy improvements begin to decelerate for both models, exhibiting diminishing marginal returns. The incremental gain from 500 to 1,000 samples is notably smaller than the gain from 100 to 200 samples: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100 → 200 Gain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200 → 500 Gain</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500 → 1,000 Gain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Custom Embedding</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+1.71%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+4.59%</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+0.34%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Pretrained Embedding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+3.65%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+0.08%</w:t>
            </w:r>
          </w:p>
        </w:tc>
      </w:tr>
    </w:tbl>
    <w:p>
      <w:pPr>
        <w:spacing w:after="60" w:before="60"/>
      </w:pPr>
      <w:r>
        <w:t xml:space="preserve"/>
      </w:r>
    </w:p>
    <w:p>
      <w:pPr>
        <w:spacing w:after="80" w:before="80" w:line="276"/>
        <w:jc w:val="both"/>
      </w:pPr>
      <w:r>
        <w:rPr>
          <w:rFonts w:ascii="Arial" w:cs="Arial" w:eastAsia="Arial" w:hAnsi="Arial"/>
          <w:sz w:val="22"/>
          <w:szCs w:val="22"/>
        </w:rPr>
        <w:t xml:space="preserve">This plateauing effect suggests that continued increases in training data alone are unlikely to yield substantial performance gains beyond the current architecture's capacity. To further improve model accuracy, alternative strategies should be considered, including hyperparameter optimization (learning rate schedules, regularization strength), architectural enhancements (additional LSTM layers, attention mechanisms), or fine-tuning of the pretrained embedding weights.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6.4 Transition Point and Practical Implications</w:t>
      </w:r>
    </w:p>
    <w:p>
      <w:pPr>
        <w:spacing w:after="80" w:before="80" w:line="276"/>
        <w:jc w:val="both"/>
      </w:pPr>
      <w:r>
        <w:rPr>
          <w:rFonts w:ascii="Arial" w:cs="Arial" w:eastAsia="Arial" w:hAnsi="Arial"/>
          <w:sz w:val="22"/>
          <w:szCs w:val="22"/>
        </w:rPr>
        <w:t xml:space="preserve">The performance gap between the two approaches becomes practically negligible at approximately 500 to 1,000 training samples. At this transition point, task-specific representations learned by the custom embedding model begin to approximate the generalizable semantic structure encoded in the pretrained GloVe vectors. This observation has direct practical implications for model selection:</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Low-data regimes (fewer than 500 labeled examples): Pretrained embeddings are strongly recommended. They provide robust generalization without the data requirements of learned representations, making them particularly valuable for domain-specific NLP tasks with limited annotation budgets.</w:t>
      </w:r>
    </w:p>
    <w:p>
      <w:pPr>
        <w:pStyle w:val="ListParagraph"/>
        <w:numPr>
          <w:ilvl w:val="0"/>
          <w:numId w:val="2"/>
        </w:numPr>
        <w:spacing w:after="60" w:before="60"/>
      </w:pPr>
      <w:r>
        <w:rPr>
          <w:rFonts w:ascii="Arial" w:cs="Arial" w:eastAsia="Arial" w:hAnsi="Arial"/>
          <w:sz w:val="22"/>
          <w:szCs w:val="22"/>
        </w:rPr>
        <w:t xml:space="preserve">Moderate-to-large data regimes (500 or more labeled examples): Custom embeddings become increasingly competitive and may eventually surpass pretrained embeddings in tasks with domain-specific vocabulary or specialized linguistic patterns not well-represented in general-purpose corpora such as GloVe.</w:t>
      </w:r>
    </w:p>
    <w:p>
      <w:pPr>
        <w:pStyle w:val="ListParagraph"/>
        <w:numPr>
          <w:ilvl w:val="0"/>
          <w:numId w:val="2"/>
        </w:numPr>
        <w:spacing w:after="60" w:before="60"/>
      </w:pPr>
      <w:r>
        <w:rPr>
          <w:rFonts w:ascii="Arial" w:cs="Arial" w:eastAsia="Arial" w:hAnsi="Arial"/>
          <w:sz w:val="22"/>
          <w:szCs w:val="22"/>
        </w:rPr>
        <w:t xml:space="preserve">Hybrid approaches: Initializing the embedding layer with pretrained weights while enabling fine-tuning during training (trainable=True) combines the semantic priors of pretrained embeddings with the adaptability of task-specific learning, potentially offering the best of both strategies.</w:t>
      </w:r>
    </w:p>
    <w:p>
      <w:pPr>
        <w:spacing w:after="60" w:before="60"/>
      </w:pPr>
      <w:r>
        <w:t xml:space="preserve"/>
      </w:r>
    </w:p>
    <w:p>
      <w:pPr>
        <w:pStyle w:val="Heading1"/>
        <w:spacing w:after="120" w:before="360"/>
      </w:pPr>
      <w:r>
        <w:rPr>
          <w:rFonts w:ascii="Arial" w:cs="Arial" w:eastAsia="Arial" w:hAnsi="Arial"/>
          <w:b/>
          <w:bCs/>
          <w:color w:val="1F4E79"/>
          <w:sz w:val="32"/>
          <w:szCs w:val="32"/>
        </w:rPr>
        <w:t xml:space="preserve">VII. Conclusion</w:t>
      </w:r>
    </w:p>
    <w:p>
      <w:pPr>
        <w:spacing w:after="80" w:before="80" w:line="276"/>
        <w:jc w:val="both"/>
      </w:pPr>
      <w:r>
        <w:rPr>
          <w:rFonts w:ascii="Arial" w:cs="Arial" w:eastAsia="Arial" w:hAnsi="Arial"/>
          <w:sz w:val="22"/>
          <w:szCs w:val="22"/>
        </w:rPr>
        <w:t xml:space="preserve">This assignment demonstrated the application of Bidirectional LSTM networks to sentiment classification of movie reviews and provided an empirical comparison of two word embedding strategies across varying training data volumes. The experimental results support the following conclusions: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Pretrained GloVe embeddings consistently outperform custom embeddings in low-data settings, confirming the value of transfer learning for natural language processing tasks where labeled data is scarce.</w:t>
      </w:r>
    </w:p>
    <w:p>
      <w:pPr>
        <w:pStyle w:val="ListParagraph"/>
        <w:numPr>
          <w:ilvl w:val="0"/>
          <w:numId w:val="2"/>
        </w:numPr>
        <w:spacing w:after="60" w:before="60"/>
      </w:pPr>
      <w:r>
        <w:rPr>
          <w:rFonts w:ascii="Arial" w:cs="Arial" w:eastAsia="Arial" w:hAnsi="Arial"/>
          <w:sz w:val="22"/>
          <w:szCs w:val="22"/>
        </w:rPr>
        <w:t xml:space="preserve">The performance advantage of pretrained embeddings diminishes as training data volume increases, with the two approaches converging in performance at approximately 500 to 1,000 training samples.</w:t>
      </w:r>
    </w:p>
    <w:p>
      <w:pPr>
        <w:pStyle w:val="ListParagraph"/>
        <w:numPr>
          <w:ilvl w:val="0"/>
          <w:numId w:val="2"/>
        </w:numPr>
        <w:spacing w:after="60" w:before="60"/>
      </w:pPr>
      <w:r>
        <w:rPr>
          <w:rFonts w:ascii="Arial" w:cs="Arial" w:eastAsia="Arial" w:hAnsi="Arial"/>
          <w:sz w:val="22"/>
          <w:szCs w:val="22"/>
        </w:rPr>
        <w:t xml:space="preserve">Custom embeddings exhibit a steeper improvement trajectory with increasing data, indicating their potential to match or exceed pretrained models when sufficient task-specific data is available.</w:t>
      </w:r>
    </w:p>
    <w:p>
      <w:pPr>
        <w:pStyle w:val="ListParagraph"/>
        <w:numPr>
          <w:ilvl w:val="0"/>
          <w:numId w:val="2"/>
        </w:numPr>
        <w:spacing w:after="60" w:before="60"/>
      </w:pPr>
      <w:r>
        <w:rPr>
          <w:rFonts w:ascii="Arial" w:cs="Arial" w:eastAsia="Arial" w:hAnsi="Arial"/>
          <w:sz w:val="22"/>
          <w:szCs w:val="22"/>
        </w:rPr>
        <w:t xml:space="preserve">Both models show signs of accuracy plateauing beyond 1,000 samples within the current architecture, suggesting that further performance gains require architectural improvements, regularization strategies, or expanded data beyond the scales tested.</w:t>
      </w:r>
    </w:p>
    <w:p>
      <w:pPr>
        <w:spacing w:after="60" w:before="60"/>
      </w:pPr>
      <w:r>
        <w:t xml:space="preserve"/>
      </w:r>
    </w:p>
    <w:p>
      <w:pPr>
        <w:spacing w:after="80" w:before="80" w:line="276"/>
        <w:jc w:val="both"/>
      </w:pPr>
      <w:r>
        <w:rPr>
          <w:rFonts w:ascii="Arial" w:cs="Arial" w:eastAsia="Arial" w:hAnsi="Arial"/>
          <w:sz w:val="22"/>
          <w:szCs w:val="22"/>
        </w:rPr>
        <w:t xml:space="preserve">These findings underscore the importance of aligning embedding strategy with dataset characteristics. For practitioners, the choice between custom and pretrained embeddings should be informed by the available annotation budget, the specificity of domain vocabulary, and the computational resources available for training. In resource-constrained scenarios, pretrained embeddings represent the most practically effective approach, while custom embeddings offer greater flexibility and adaptability when larger datasets are available.</w:t>
      </w:r>
    </w:p>
    <w:p>
      <w:pPr>
        <w:spacing w:after="60" w:before="6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before="80"/>
    </w:pPr>
    <w:r>
      <w:rPr>
        <w:rFonts w:ascii="Arial" w:cs="Arial" w:eastAsia="Arial" w:hAnsi="Arial"/>
        <w:color w:val="777777"/>
        <w:sz w:val="16"/>
        <w:szCs w:val="16"/>
      </w:rPr>
      <w:t xml:space="preserve">Sai Bharath Goud Pudari  |  spudari@kent.edu</w:t>
    </w:r>
    <w:r>
      <w:rPr>
        <w:sz w:val="16"/>
        <w:szCs w:val="16"/>
      </w:rPr>
      <w:t xml:space="preserv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120"/>
    </w:pPr>
    <w:r>
      <w:rPr>
        <w:rFonts w:ascii="Arial" w:cs="Arial" w:eastAsia="Arial" w:hAnsi="Arial"/>
        <w:color w:val="555555"/>
        <w:sz w:val="18"/>
        <w:szCs w:val="18"/>
      </w:rPr>
      <w:t xml:space="preserve">BA-64061-001 Advanced Machine Learning  |  Assignment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2026-04-18T21:19:10.243Z</dcterms:created>
  <dcterms:modified xsi:type="dcterms:W3CDTF">2026-04-18T21:19:10.244Z</dcterms:modified>
</cp:coreProperties>
</file>

<file path=docProps/custom.xml><?xml version="1.0" encoding="utf-8"?>
<Properties xmlns="http://schemas.openxmlformats.org/officeDocument/2006/custom-properties" xmlns:vt="http://schemas.openxmlformats.org/officeDocument/2006/docPropsVTypes"/>
</file>