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5E038432" w14:textId="77777777" w:rsidR="00752064"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752064" w:rsidRPr="00752064">
        <w:t xml:space="preserve"> </w:t>
      </w:r>
      <w:r w:rsidR="00752064" w:rsidRPr="00752064">
        <w:rPr>
          <w:rFonts w:ascii="Times New Roman" w:hAnsi="Times New Roman" w:cs="Times New Roman"/>
          <w:b/>
          <w:bCs/>
          <w:sz w:val="28"/>
          <w:szCs w:val="28"/>
        </w:rPr>
        <w:t>DATA SCIENCE (24AD3107)</w:t>
      </w:r>
    </w:p>
    <w:p w14:paraId="2DA2BFC2" w14:textId="64D1C1C5" w:rsidR="00286D28" w:rsidRDefault="00286D28" w:rsidP="00752064">
      <w:pPr>
        <w:ind w:left="1440" w:firstLine="720"/>
        <w:rPr>
          <w:rFonts w:ascii="Times New Roman" w:hAnsi="Times New Roman" w:cs="Times New Roman"/>
          <w:b/>
          <w:bCs/>
          <w:sz w:val="28"/>
          <w:szCs w:val="28"/>
        </w:rPr>
      </w:pP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5DFE5E5" w:rsidR="00F7593F" w:rsidRDefault="00E00841" w:rsidP="00286D28">
            <w:pPr>
              <w:jc w:val="center"/>
              <w:rPr>
                <w:rFonts w:ascii="Times New Roman" w:hAnsi="Times New Roman" w:cs="Times New Roman"/>
                <w:b/>
                <w:bCs/>
                <w:sz w:val="24"/>
                <w:szCs w:val="24"/>
              </w:rPr>
            </w:pPr>
            <w:proofErr w:type="spellStart"/>
            <w:r w:rsidRPr="00E00841">
              <w:rPr>
                <w:rFonts w:ascii="Times New Roman" w:hAnsi="Times New Roman" w:cs="Times New Roman"/>
                <w:b/>
                <w:bCs/>
                <w:sz w:val="24"/>
                <w:szCs w:val="24"/>
              </w:rPr>
              <w:t>FinSight</w:t>
            </w:r>
            <w:proofErr w:type="spellEnd"/>
            <w:r w:rsidRPr="00E00841">
              <w:rPr>
                <w:rFonts w:ascii="Times New Roman" w:hAnsi="Times New Roman" w:cs="Times New Roman"/>
                <w:b/>
                <w:bCs/>
                <w:sz w:val="24"/>
                <w:szCs w:val="24"/>
              </w:rPr>
              <w:t>: Explainable Credit Risk Analytics and Loan Decision Support System</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3DA338B3" w:rsidR="00286D28" w:rsidRPr="00286D28" w:rsidRDefault="00752064" w:rsidP="00286D28">
            <w:pPr>
              <w:jc w:val="center"/>
              <w:rPr>
                <w:rFonts w:ascii="Times New Roman" w:hAnsi="Times New Roman" w:cs="Times New Roman"/>
                <w:sz w:val="24"/>
                <w:szCs w:val="24"/>
              </w:rPr>
            </w:pPr>
            <w:r w:rsidRPr="00752064">
              <w:rPr>
                <w:rFonts w:ascii="Times New Roman" w:hAnsi="Times New Roman" w:cs="Times New Roman"/>
                <w:sz w:val="24"/>
                <w:szCs w:val="24"/>
              </w:rPr>
              <w:t>2420030475</w:t>
            </w:r>
          </w:p>
        </w:tc>
        <w:tc>
          <w:tcPr>
            <w:tcW w:w="5528" w:type="dxa"/>
          </w:tcPr>
          <w:p w14:paraId="256A6E97" w14:textId="613FC39A" w:rsidR="00286D28" w:rsidRPr="00286D28" w:rsidRDefault="00752064" w:rsidP="00286D28">
            <w:pPr>
              <w:jc w:val="center"/>
              <w:rPr>
                <w:rFonts w:ascii="Times New Roman" w:hAnsi="Times New Roman" w:cs="Times New Roman"/>
                <w:sz w:val="24"/>
                <w:szCs w:val="24"/>
              </w:rPr>
            </w:pPr>
            <w:r w:rsidRPr="00752064">
              <w:rPr>
                <w:rFonts w:ascii="Times New Roman" w:hAnsi="Times New Roman" w:cs="Times New Roman"/>
                <w:sz w:val="24"/>
                <w:szCs w:val="24"/>
              </w:rPr>
              <w:t>M. Manasvini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9BE16CC" w:rsidR="00286D28" w:rsidRPr="00286D28" w:rsidRDefault="00752064" w:rsidP="00286D28">
            <w:pPr>
              <w:jc w:val="center"/>
              <w:rPr>
                <w:rFonts w:ascii="Times New Roman" w:hAnsi="Times New Roman" w:cs="Times New Roman"/>
                <w:sz w:val="24"/>
                <w:szCs w:val="24"/>
              </w:rPr>
            </w:pPr>
            <w:r w:rsidRPr="00752064">
              <w:rPr>
                <w:rFonts w:ascii="Times New Roman" w:hAnsi="Times New Roman" w:cs="Times New Roman"/>
                <w:sz w:val="24"/>
                <w:szCs w:val="24"/>
              </w:rPr>
              <w:t>2420030267</w:t>
            </w:r>
          </w:p>
        </w:tc>
        <w:tc>
          <w:tcPr>
            <w:tcW w:w="5528" w:type="dxa"/>
          </w:tcPr>
          <w:p w14:paraId="11B1D292" w14:textId="2A582F25" w:rsidR="00286D28" w:rsidRPr="00286D28" w:rsidRDefault="00752064" w:rsidP="00286D28">
            <w:pPr>
              <w:jc w:val="center"/>
              <w:rPr>
                <w:rFonts w:ascii="Times New Roman" w:hAnsi="Times New Roman" w:cs="Times New Roman"/>
                <w:sz w:val="24"/>
                <w:szCs w:val="24"/>
              </w:rPr>
            </w:pPr>
            <w:r w:rsidRPr="00752064">
              <w:rPr>
                <w:rFonts w:ascii="Times New Roman" w:hAnsi="Times New Roman" w:cs="Times New Roman"/>
                <w:sz w:val="24"/>
                <w:szCs w:val="24"/>
              </w:rPr>
              <w:t>N. Sreeja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0A89937" w:rsidR="00286D28" w:rsidRPr="00286D28" w:rsidRDefault="00752064" w:rsidP="00286D28">
            <w:pPr>
              <w:jc w:val="center"/>
              <w:rPr>
                <w:rFonts w:ascii="Times New Roman" w:hAnsi="Times New Roman" w:cs="Times New Roman"/>
                <w:sz w:val="24"/>
                <w:szCs w:val="24"/>
              </w:rPr>
            </w:pPr>
            <w:r w:rsidRPr="00752064">
              <w:rPr>
                <w:rFonts w:ascii="Times New Roman" w:hAnsi="Times New Roman" w:cs="Times New Roman"/>
                <w:sz w:val="24"/>
                <w:szCs w:val="24"/>
              </w:rPr>
              <w:t>2420030459</w:t>
            </w:r>
          </w:p>
        </w:tc>
        <w:tc>
          <w:tcPr>
            <w:tcW w:w="5528" w:type="dxa"/>
          </w:tcPr>
          <w:p w14:paraId="7B185CDD" w14:textId="50648175" w:rsidR="00286D28" w:rsidRPr="00286D28" w:rsidRDefault="00752064" w:rsidP="00286D28">
            <w:pPr>
              <w:jc w:val="center"/>
              <w:rPr>
                <w:rFonts w:ascii="Times New Roman" w:hAnsi="Times New Roman" w:cs="Times New Roman"/>
                <w:sz w:val="24"/>
                <w:szCs w:val="24"/>
              </w:rPr>
            </w:pPr>
            <w:r w:rsidRPr="00752064">
              <w:rPr>
                <w:rFonts w:ascii="Times New Roman" w:hAnsi="Times New Roman" w:cs="Times New Roman"/>
                <w:sz w:val="24"/>
                <w:szCs w:val="24"/>
              </w:rPr>
              <w:t>M. Sahasra</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6C742553" w:rsidR="00F7593F" w:rsidRPr="00286D28" w:rsidRDefault="00752064" w:rsidP="00286D28">
            <w:pPr>
              <w:jc w:val="center"/>
              <w:rPr>
                <w:rFonts w:ascii="Times New Roman" w:hAnsi="Times New Roman" w:cs="Times New Roman"/>
                <w:sz w:val="24"/>
                <w:szCs w:val="24"/>
              </w:rPr>
            </w:pPr>
            <w:r w:rsidRPr="00752064">
              <w:rPr>
                <w:rFonts w:ascii="Times New Roman" w:hAnsi="Times New Roman" w:cs="Times New Roman"/>
                <w:sz w:val="24"/>
                <w:szCs w:val="24"/>
              </w:rPr>
              <w:t>2420030548</w:t>
            </w:r>
          </w:p>
        </w:tc>
        <w:tc>
          <w:tcPr>
            <w:tcW w:w="5528" w:type="dxa"/>
          </w:tcPr>
          <w:p w14:paraId="25D99CFB" w14:textId="0DE1D0EB" w:rsidR="00F7593F" w:rsidRPr="00286D28" w:rsidRDefault="00752064" w:rsidP="00286D28">
            <w:pPr>
              <w:jc w:val="center"/>
              <w:rPr>
                <w:rFonts w:ascii="Times New Roman" w:hAnsi="Times New Roman" w:cs="Times New Roman"/>
                <w:sz w:val="24"/>
                <w:szCs w:val="24"/>
              </w:rPr>
            </w:pPr>
            <w:r w:rsidRPr="00752064">
              <w:rPr>
                <w:rFonts w:ascii="Times New Roman" w:hAnsi="Times New Roman" w:cs="Times New Roman"/>
                <w:sz w:val="24"/>
                <w:szCs w:val="24"/>
              </w:rPr>
              <w:t>S. Sreeja Reddy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E153A29" w:rsidR="00295A23" w:rsidRPr="00286D28" w:rsidRDefault="00711016" w:rsidP="00286D28">
            <w:pPr>
              <w:jc w:val="center"/>
              <w:rPr>
                <w:rFonts w:ascii="Times New Roman" w:hAnsi="Times New Roman" w:cs="Times New Roman"/>
                <w:sz w:val="24"/>
                <w:szCs w:val="24"/>
              </w:rPr>
            </w:pPr>
            <w:r>
              <w:rPr>
                <w:rFonts w:ascii="Times New Roman" w:hAnsi="Times New Roman" w:cs="Times New Roman"/>
                <w:sz w:val="24"/>
                <w:szCs w:val="24"/>
              </w:rPr>
              <w:t>Ms</w:t>
            </w:r>
            <w:r w:rsidR="00752064" w:rsidRPr="00752064">
              <w:rPr>
                <w:rFonts w:ascii="Times New Roman" w:hAnsi="Times New Roman" w:cs="Times New Roman"/>
                <w:sz w:val="24"/>
                <w:szCs w:val="24"/>
              </w:rPr>
              <w:t>. Prathusha</w:t>
            </w:r>
          </w:p>
        </w:tc>
      </w:tr>
    </w:tbl>
    <w:p w14:paraId="0572F962" w14:textId="77777777" w:rsidR="00FE49E5" w:rsidRDefault="00FE49E5" w:rsidP="00FE49E5">
      <w:pPr>
        <w:ind w:firstLine="720"/>
        <w:rPr>
          <w:rFonts w:ascii="Times New Roman" w:hAnsi="Times New Roman" w:cs="Times New Roman"/>
          <w:sz w:val="28"/>
          <w:szCs w:val="28"/>
        </w:rPr>
      </w:pPr>
    </w:p>
    <w:p w14:paraId="38C604CD" w14:textId="59D0F728" w:rsidR="00F7593F" w:rsidRPr="00752064" w:rsidRDefault="00286D28" w:rsidP="00752064">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5DC437DA" w14:textId="77777777" w:rsidR="00752064" w:rsidRPr="00752064" w:rsidRDefault="00752064" w:rsidP="00752064">
      <w:pPr>
        <w:ind w:firstLine="720"/>
        <w:rPr>
          <w:rFonts w:ascii="Times New Roman" w:hAnsi="Times New Roman" w:cs="Times New Roman"/>
          <w:sz w:val="24"/>
          <w:szCs w:val="24"/>
        </w:rPr>
      </w:pPr>
      <w:r w:rsidRPr="00752064">
        <w:rPr>
          <w:rFonts w:ascii="Times New Roman" w:hAnsi="Times New Roman" w:cs="Times New Roman"/>
          <w:sz w:val="24"/>
          <w:szCs w:val="24"/>
        </w:rPr>
        <w:t xml:space="preserve">Credit risk assessment is an essential process for financial institutions, as inaccurate lending decisions can result in financial losses or the rejection of creditworthy applicants. This project proposes </w:t>
      </w:r>
      <w:proofErr w:type="spellStart"/>
      <w:r w:rsidRPr="00752064">
        <w:rPr>
          <w:rFonts w:ascii="Times New Roman" w:hAnsi="Times New Roman" w:cs="Times New Roman"/>
          <w:b/>
          <w:bCs/>
          <w:sz w:val="24"/>
          <w:szCs w:val="24"/>
        </w:rPr>
        <w:t>FinSight</w:t>
      </w:r>
      <w:proofErr w:type="spellEnd"/>
      <w:r w:rsidRPr="00752064">
        <w:rPr>
          <w:rFonts w:ascii="Times New Roman" w:hAnsi="Times New Roman" w:cs="Times New Roman"/>
          <w:sz w:val="24"/>
          <w:szCs w:val="24"/>
        </w:rPr>
        <w:t xml:space="preserve">, an explainable credit risk analytics and loan decision support system designed to classify loan applicants as good or bad credit risks. The system uses the </w:t>
      </w:r>
      <w:r w:rsidRPr="00752064">
        <w:rPr>
          <w:rFonts w:ascii="Times New Roman" w:hAnsi="Times New Roman" w:cs="Times New Roman"/>
          <w:b/>
          <w:bCs/>
          <w:sz w:val="24"/>
          <w:szCs w:val="24"/>
        </w:rPr>
        <w:t xml:space="preserve">UCI </w:t>
      </w:r>
      <w:proofErr w:type="spellStart"/>
      <w:r w:rsidRPr="00752064">
        <w:rPr>
          <w:rFonts w:ascii="Times New Roman" w:hAnsi="Times New Roman" w:cs="Times New Roman"/>
          <w:b/>
          <w:bCs/>
          <w:sz w:val="24"/>
          <w:szCs w:val="24"/>
        </w:rPr>
        <w:t>Statlog</w:t>
      </w:r>
      <w:proofErr w:type="spellEnd"/>
      <w:r w:rsidRPr="00752064">
        <w:rPr>
          <w:rFonts w:ascii="Times New Roman" w:hAnsi="Times New Roman" w:cs="Times New Roman"/>
          <w:b/>
          <w:bCs/>
          <w:sz w:val="24"/>
          <w:szCs w:val="24"/>
        </w:rPr>
        <w:t xml:space="preserve"> German Credit dataset</w:t>
      </w:r>
      <w:r w:rsidRPr="00752064">
        <w:rPr>
          <w:rFonts w:ascii="Times New Roman" w:hAnsi="Times New Roman" w:cs="Times New Roman"/>
          <w:sz w:val="24"/>
          <w:szCs w:val="24"/>
        </w:rPr>
        <w:t>, which contains 1,000 applicant records described by 20 financial, personal, and credit-related attributes.</w:t>
      </w:r>
    </w:p>
    <w:p w14:paraId="4B9F88CD" w14:textId="77777777" w:rsidR="00752064" w:rsidRPr="00752064" w:rsidRDefault="00752064" w:rsidP="00752064">
      <w:pPr>
        <w:ind w:firstLine="720"/>
        <w:rPr>
          <w:rFonts w:ascii="Times New Roman" w:hAnsi="Times New Roman" w:cs="Times New Roman"/>
          <w:sz w:val="24"/>
          <w:szCs w:val="24"/>
        </w:rPr>
      </w:pPr>
      <w:r w:rsidRPr="00752064">
        <w:rPr>
          <w:rFonts w:ascii="Times New Roman" w:hAnsi="Times New Roman" w:cs="Times New Roman"/>
          <w:sz w:val="24"/>
          <w:szCs w:val="24"/>
        </w:rPr>
        <w:t>The project begins with a reproducible data pipeline for data acquisition, validation, profiling, and preparation. Appropriate preprocessing techniques will be applied to handle numerical and categorical attributes while preventing data leakage. Multiple machine-learning classification algorithms, including Logistic Regression, Decision Tree, Random Forest, and Gradient Boosting, will be trained and compared using evaluation measures such as precision, recall, F1-score, ROC-AUC, and confusion matrices. Since approving a high-risk applicant can be more costly than rejecting a low-risk applicant, the evaluation will also consider the unequal consequences of classification errors.</w:t>
      </w:r>
    </w:p>
    <w:p w14:paraId="424FFBCF" w14:textId="77777777" w:rsidR="00752064" w:rsidRPr="00752064" w:rsidRDefault="00752064" w:rsidP="00752064">
      <w:pPr>
        <w:ind w:firstLine="720"/>
        <w:rPr>
          <w:rFonts w:ascii="Times New Roman" w:hAnsi="Times New Roman" w:cs="Times New Roman"/>
          <w:sz w:val="24"/>
          <w:szCs w:val="24"/>
        </w:rPr>
      </w:pPr>
      <w:r w:rsidRPr="00752064">
        <w:rPr>
          <w:rFonts w:ascii="Times New Roman" w:hAnsi="Times New Roman" w:cs="Times New Roman"/>
          <w:sz w:val="24"/>
          <w:szCs w:val="24"/>
        </w:rPr>
        <w:t xml:space="preserve">To improve transparency, explainable artificial intelligence techniques such as SHAP will be used to identify the factors influencing both overall model behaviour and individual predictions. Fairness diagnostics will also be incorporated for sensitive or potentially proxy attributes. A </w:t>
      </w:r>
      <w:proofErr w:type="spellStart"/>
      <w:r w:rsidRPr="00752064">
        <w:rPr>
          <w:rFonts w:ascii="Times New Roman" w:hAnsi="Times New Roman" w:cs="Times New Roman"/>
          <w:sz w:val="24"/>
          <w:szCs w:val="24"/>
        </w:rPr>
        <w:t>Streamlit</w:t>
      </w:r>
      <w:proofErr w:type="spellEnd"/>
      <w:r w:rsidRPr="00752064">
        <w:rPr>
          <w:rFonts w:ascii="Times New Roman" w:hAnsi="Times New Roman" w:cs="Times New Roman"/>
          <w:sz w:val="24"/>
          <w:szCs w:val="24"/>
        </w:rPr>
        <w:t>-based dashboard will present applicant information, predicted risk, model confidence, important contributing factors, and analytical visualisations in an accessible format.</w:t>
      </w:r>
    </w:p>
    <w:p w14:paraId="724C2E9E" w14:textId="40A6995D" w:rsidR="00F7593F" w:rsidRPr="00752064" w:rsidRDefault="00752064" w:rsidP="00752064">
      <w:pPr>
        <w:ind w:firstLine="720"/>
        <w:rPr>
          <w:rFonts w:ascii="Times New Roman" w:hAnsi="Times New Roman" w:cs="Times New Roman"/>
          <w:sz w:val="28"/>
          <w:szCs w:val="28"/>
        </w:rPr>
      </w:pPr>
      <w:proofErr w:type="spellStart"/>
      <w:r w:rsidRPr="00752064">
        <w:rPr>
          <w:rFonts w:ascii="Times New Roman" w:hAnsi="Times New Roman" w:cs="Times New Roman"/>
          <w:sz w:val="24"/>
          <w:szCs w:val="24"/>
        </w:rPr>
        <w:t>FinSight</w:t>
      </w:r>
      <w:proofErr w:type="spellEnd"/>
      <w:r w:rsidRPr="00752064">
        <w:rPr>
          <w:rFonts w:ascii="Times New Roman" w:hAnsi="Times New Roman" w:cs="Times New Roman"/>
          <w:sz w:val="24"/>
          <w:szCs w:val="24"/>
        </w:rPr>
        <w:t xml:space="preserve"> is intended to support informed and transparent credit assessment rather than replace human decision-makers. The project demonstrates how data science, machine learning, explainability, and responsible AI principles can be combined to develop a practical financial decision-support application</w:t>
      </w:r>
      <w:r w:rsidRPr="00752064">
        <w:rPr>
          <w:rFonts w:ascii="Times New Roman" w:hAnsi="Times New Roman" w:cs="Times New Roman"/>
          <w:sz w:val="28"/>
          <w:szCs w:val="28"/>
        </w:rPr>
        <w:t>.</w:t>
      </w: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75025"/>
    <w:rsid w:val="00081C43"/>
    <w:rsid w:val="000B1D65"/>
    <w:rsid w:val="00286D28"/>
    <w:rsid w:val="00295A23"/>
    <w:rsid w:val="003930F3"/>
    <w:rsid w:val="005C2430"/>
    <w:rsid w:val="00711016"/>
    <w:rsid w:val="00752064"/>
    <w:rsid w:val="007900A6"/>
    <w:rsid w:val="00B97A0B"/>
    <w:rsid w:val="00C40746"/>
    <w:rsid w:val="00E00841"/>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360</Words>
  <Characters>2057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Masetti Manasvini</cp:lastModifiedBy>
  <cp:revision>4</cp:revision>
  <dcterms:created xsi:type="dcterms:W3CDTF">2026-08-19T06:05:00Z</dcterms:created>
  <dcterms:modified xsi:type="dcterms:W3CDTF">2026-08-19T06:32:00Z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