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A20" w:rsidRDefault="00DD7A20">
      <w:pPr>
        <w:spacing w:after="1000"/>
      </w:pPr>
    </w:p>
    <w:p w:rsidR="00DD7A20" w:rsidRPr="00913C3B" w:rsidRDefault="00913C3B">
      <w:pPr>
        <w:spacing w:after="200"/>
        <w:jc w:val="center"/>
        <w:rPr>
          <w:sz w:val="28"/>
        </w:rPr>
      </w:pPr>
      <w:r w:rsidRPr="00913C3B">
        <w:rPr>
          <w:b/>
          <w:bCs/>
          <w:sz w:val="48"/>
          <w:szCs w:val="40"/>
        </w:rPr>
        <w:t>Titan Financial Analysis Dashboard</w:t>
      </w:r>
    </w:p>
    <w:p w:rsidR="00DD7A20" w:rsidRPr="00913C3B" w:rsidRDefault="00913C3B">
      <w:pPr>
        <w:spacing w:after="600"/>
        <w:jc w:val="center"/>
        <w:rPr>
          <w:sz w:val="28"/>
        </w:rPr>
      </w:pPr>
      <w:r w:rsidRPr="00913C3B">
        <w:rPr>
          <w:color w:val="595959"/>
          <w:sz w:val="32"/>
          <w:szCs w:val="26"/>
        </w:rPr>
        <w:t>Project Documentation</w:t>
      </w:r>
    </w:p>
    <w:p w:rsidR="00DD7A20" w:rsidRPr="00913C3B" w:rsidRDefault="00913C3B">
      <w:pPr>
        <w:jc w:val="center"/>
        <w:rPr>
          <w:sz w:val="28"/>
        </w:rPr>
      </w:pPr>
      <w:proofErr w:type="spellStart"/>
      <w:r w:rsidRPr="00913C3B">
        <w:rPr>
          <w:sz w:val="28"/>
        </w:rPr>
        <w:t>Sreelakshmi</w:t>
      </w:r>
      <w:proofErr w:type="spellEnd"/>
      <w:r w:rsidRPr="00913C3B">
        <w:rPr>
          <w:sz w:val="28"/>
        </w:rPr>
        <w:t xml:space="preserve"> K.A.</w:t>
      </w:r>
    </w:p>
    <w:p w:rsidR="00DD7A20" w:rsidRDefault="00913C3B">
      <w:r>
        <w:br w:type="page"/>
      </w:r>
      <w:bookmarkStart w:id="0" w:name="_GoBack"/>
      <w:bookmarkEnd w:id="0"/>
    </w:p>
    <w:p w:rsidR="00DD7A20" w:rsidRDefault="00913C3B">
      <w:pPr>
        <w:pStyle w:val="Heading1"/>
        <w:spacing w:before="400" w:after="200"/>
      </w:pPr>
      <w:r>
        <w:lastRenderedPageBreak/>
        <w:t>1. Project Overview</w:t>
      </w:r>
    </w:p>
    <w:p w:rsidR="00DD7A20" w:rsidRDefault="00913C3B">
      <w:pPr>
        <w:spacing w:after="100"/>
      </w:pPr>
      <w:r>
        <w:rPr>
          <w:b/>
          <w:bCs/>
        </w:rPr>
        <w:t xml:space="preserve">Objective: </w:t>
      </w:r>
      <w:r>
        <w:t xml:space="preserve">A 10-year financial performance dashboard (FY2017–FY2026) </w:t>
      </w:r>
      <w:proofErr w:type="spellStart"/>
      <w:r>
        <w:t>analyzing</w:t>
      </w:r>
      <w:proofErr w:type="spellEnd"/>
      <w:r>
        <w:t xml:space="preserve"> Titan Company's Profit &amp; Loss, Balance Sheet, and Cash Flow statements, built to demonstrate practical financial analysis and data </w:t>
      </w:r>
      <w:proofErr w:type="spellStart"/>
      <w:r>
        <w:t>modeling</w:t>
      </w:r>
      <w:proofErr w:type="spellEnd"/>
      <w:r>
        <w:t xml:space="preserve"> skills.</w:t>
      </w:r>
    </w:p>
    <w:p w:rsidR="00DD7A20" w:rsidRDefault="00913C3B">
      <w:pPr>
        <w:spacing w:after="100"/>
      </w:pPr>
      <w:r>
        <w:rPr>
          <w:b/>
          <w:bCs/>
        </w:rPr>
        <w:t xml:space="preserve">Pipeline: </w:t>
      </w:r>
      <w:r>
        <w:t>Raw Excel financials were clea</w:t>
      </w:r>
      <w:r>
        <w:t xml:space="preserve">ned with Python (pandas), loaded into MySQL as structured tables, then </w:t>
      </w:r>
      <w:proofErr w:type="spellStart"/>
      <w:r>
        <w:t>modeled</w:t>
      </w:r>
      <w:proofErr w:type="spellEnd"/>
      <w:r>
        <w:t xml:space="preserve"> and visualized in Power BI as a 5-page interactive dashboard.</w:t>
      </w:r>
    </w:p>
    <w:p w:rsidR="00DD7A20" w:rsidRDefault="00913C3B">
      <w:pPr>
        <w:spacing w:after="100"/>
      </w:pPr>
      <w:r>
        <w:rPr>
          <w:b/>
          <w:bCs/>
        </w:rPr>
        <w:t xml:space="preserve">Tools: </w:t>
      </w:r>
      <w:r>
        <w:t>Python (pandas), MySQL, Power BI Desktop, DAX.</w:t>
      </w:r>
    </w:p>
    <w:p w:rsidR="00DD7A20" w:rsidRDefault="00913C3B">
      <w:pPr>
        <w:pStyle w:val="Heading1"/>
        <w:spacing w:before="400" w:after="200"/>
      </w:pPr>
      <w:r>
        <w:t>2. Data Pipeline</w:t>
      </w:r>
    </w:p>
    <w:p w:rsidR="00DD7A20" w:rsidRDefault="00913C3B">
      <w:pPr>
        <w:pStyle w:val="Heading2"/>
        <w:spacing w:before="300" w:after="150"/>
      </w:pPr>
      <w:r>
        <w:t>2.1 Data Cleaning (Python)</w:t>
      </w:r>
    </w:p>
    <w:p w:rsidR="00DD7A20" w:rsidRDefault="00913C3B">
      <w:pPr>
        <w:spacing w:after="160"/>
      </w:pPr>
      <w:r>
        <w:t>The raw source fi</w:t>
      </w:r>
      <w:r>
        <w:t>le contained three sheets (Profit &amp; Loss, Balance Sheet, Cash Flow) with inconsistent headers and extraneous forecast columns. The cleaning process: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Standardized year columns into a consistent FY20XX format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Removed forecast/scenario columns not relevant to</w:t>
      </w:r>
      <w:r>
        <w:t xml:space="preserve"> historical analysis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 xml:space="preserve">Removed empty rows and </w:t>
      </w:r>
      <w:proofErr w:type="spellStart"/>
      <w:r>
        <w:t>relabeled</w:t>
      </w:r>
      <w:proofErr w:type="spellEnd"/>
      <w:r>
        <w:t xml:space="preserve"> ambiguous subtotal rows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Converted all financial columns to numeric types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Derived Net Profit Margin and YoY Revenue Growth as calculated columns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Exported cleaned data to CSV for loading into MySQL</w:t>
      </w:r>
    </w:p>
    <w:p w:rsidR="00DD7A20" w:rsidRDefault="00913C3B">
      <w:pPr>
        <w:pStyle w:val="Heading2"/>
        <w:spacing w:before="300" w:after="150"/>
      </w:pPr>
      <w:r>
        <w:t>2.2 Da</w:t>
      </w:r>
      <w:r>
        <w:t>tabase Structure (MySQL)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proofErr w:type="spellStart"/>
      <w:r>
        <w:t>profit_loss</w:t>
      </w:r>
      <w:proofErr w:type="spellEnd"/>
      <w:r>
        <w:t xml:space="preserve"> — one row per fiscal year, holding Revenue, Net Profit, EBITDA, EPS and related figures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proofErr w:type="spellStart"/>
      <w:r>
        <w:t>balance_sheet</w:t>
      </w:r>
      <w:proofErr w:type="spellEnd"/>
      <w:r>
        <w:t xml:space="preserve"> — one row per line item, one column per fiscal year, including both balance sheet amounts and pre-calculated ratios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proofErr w:type="spellStart"/>
      <w:r>
        <w:t>c</w:t>
      </w:r>
      <w:r>
        <w:t>ash_flow</w:t>
      </w:r>
      <w:proofErr w:type="spellEnd"/>
      <w:r>
        <w:t xml:space="preserve"> — four cash flow categories across all 10 years</w:t>
      </w:r>
    </w:p>
    <w:p w:rsidR="00DD7A20" w:rsidRDefault="00913C3B">
      <w:pPr>
        <w:pStyle w:val="Heading1"/>
        <w:spacing w:before="400" w:after="200"/>
      </w:pPr>
      <w:r>
        <w:t>3. Power BI Data Model</w:t>
      </w:r>
    </w:p>
    <w:p w:rsidR="00DD7A20" w:rsidRDefault="00913C3B">
      <w:pPr>
        <w:spacing w:after="160"/>
      </w:pPr>
      <w:r>
        <w:t>The MySQL tables were reshaped into a star schema: one central fiscal year dimension connected to four fact tables.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proofErr w:type="spellStart"/>
      <w:r>
        <w:t>Dim_Fiscal_year</w:t>
      </w:r>
      <w:proofErr w:type="spellEnd"/>
      <w:r>
        <w:t xml:space="preserve"> — 10 rows (FY2017–FY2026), including a </w:t>
      </w:r>
      <w:proofErr w:type="spellStart"/>
      <w:r>
        <w:t>Covid_Period</w:t>
      </w:r>
      <w:proofErr w:type="spellEnd"/>
      <w:r>
        <w:t xml:space="preserve"> column (Pre-COVID / COVID / Post-COVID)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proofErr w:type="spellStart"/>
      <w:r>
        <w:t>titan_profit_loss</w:t>
      </w:r>
      <w:proofErr w:type="spellEnd"/>
      <w:r>
        <w:t xml:space="preserve"> — one row per year (one-to-one relationship with the dimension table)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proofErr w:type="spellStart"/>
      <w:r>
        <w:t>titan_balance_sheet</w:t>
      </w:r>
      <w:proofErr w:type="spellEnd"/>
      <w:r>
        <w:t xml:space="preserve"> — </w:t>
      </w:r>
      <w:proofErr w:type="spellStart"/>
      <w:r>
        <w:t>unpivoted</w:t>
      </w:r>
      <w:proofErr w:type="spellEnd"/>
      <w:r>
        <w:t xml:space="preserve"> into a long format; 13 line </w:t>
      </w:r>
      <w:r>
        <w:t>items × 10 years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proofErr w:type="spellStart"/>
      <w:r>
        <w:t>titan_b</w:t>
      </w:r>
      <w:proofErr w:type="spellEnd"/>
      <w:r>
        <w:t>/</w:t>
      </w:r>
      <w:proofErr w:type="spellStart"/>
      <w:r>
        <w:t>s_Ratios</w:t>
      </w:r>
      <w:proofErr w:type="spellEnd"/>
      <w:r>
        <w:t xml:space="preserve"> — 4 pre-calculated ratios (ROE, ROCE, Debtor Days, Inventory Turnover), kept separate from the balance sheet amounts to avoid mixing currency values with ratios in one column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proofErr w:type="spellStart"/>
      <w:r>
        <w:t>titan_cash_flow</w:t>
      </w:r>
      <w:proofErr w:type="spellEnd"/>
      <w:r>
        <w:t xml:space="preserve"> — </w:t>
      </w:r>
      <w:proofErr w:type="spellStart"/>
      <w:r>
        <w:t>unpivoted</w:t>
      </w:r>
      <w:proofErr w:type="spellEnd"/>
      <w:r>
        <w:t xml:space="preserve"> into a long format;</w:t>
      </w:r>
      <w:r>
        <w:t xml:space="preserve"> 4 categories × 10 years</w:t>
      </w:r>
    </w:p>
    <w:p w:rsidR="00DD7A20" w:rsidRDefault="00913C3B">
      <w:pPr>
        <w:spacing w:after="160"/>
      </w:pPr>
      <w:r>
        <w:t>All relationships filter in a single direction from the dimension table outward, with no direct connections between fact tables.</w:t>
      </w:r>
    </w:p>
    <w:p w:rsidR="00DD7A20" w:rsidRDefault="00913C3B">
      <w:r>
        <w:br w:type="page"/>
      </w:r>
    </w:p>
    <w:p w:rsidR="00DD7A20" w:rsidRDefault="00913C3B">
      <w:pPr>
        <w:pStyle w:val="Heading1"/>
        <w:spacing w:before="400" w:after="200"/>
      </w:pPr>
      <w:r>
        <w:lastRenderedPageBreak/>
        <w:t>4. Key DAX Measures</w:t>
      </w:r>
    </w:p>
    <w:p w:rsidR="00DD7A20" w:rsidRDefault="00913C3B">
      <w:pPr>
        <w:spacing w:after="160"/>
      </w:pPr>
      <w:r>
        <w:t>35+ measures were built across the five dashboard pages. Selected highlights bel</w:t>
      </w:r>
      <w:r>
        <w:t>ow; the full measure list is available in the Power BI file itself.</w:t>
      </w:r>
    </w:p>
    <w:p w:rsidR="00DD7A20" w:rsidRDefault="00913C3B">
      <w:pPr>
        <w:pStyle w:val="Heading2"/>
        <w:spacing w:before="300" w:after="150"/>
      </w:pPr>
      <w:r>
        <w:t>4.1 Executive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100"/>
      </w:tblGrid>
      <w:tr w:rsidR="00DD7A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8E0C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b/>
                <w:bCs/>
                <w:sz w:val="20"/>
                <w:szCs w:val="20"/>
              </w:rPr>
              <w:t>Measure</w:t>
            </w:r>
          </w:p>
        </w:tc>
        <w:tc>
          <w:tcPr>
            <w:tcW w:w="6100" w:type="dxa"/>
            <w:shd w:val="clear" w:color="auto" w:fill="E8E0C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b/>
                <w:bCs/>
                <w:sz w:val="20"/>
                <w:szCs w:val="20"/>
              </w:rPr>
              <w:t>What it calculates</w:t>
            </w:r>
          </w:p>
        </w:tc>
      </w:tr>
      <w:tr w:rsidR="00DD7A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Total Revenue / Net Profit (Latest Year)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Current-year figures, held fixed regardless of any page filter or slicer.</w:t>
            </w:r>
          </w:p>
        </w:tc>
      </w:tr>
      <w:tr w:rsidR="00DD7A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Revenue / Net Profit CAGR (10Y)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Compound Annual Growth Rate from FY2017 to FY2026.</w:t>
            </w:r>
          </w:p>
        </w:tc>
      </w:tr>
      <w:tr w:rsidR="00DD7A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EBITDA Margin %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EBITDA as a percentage of Revenue.</w:t>
            </w:r>
          </w:p>
        </w:tc>
      </w:tr>
      <w:tr w:rsidR="00DD7A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ROE (Latest Year)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Return on Equity for the current fiscal year.</w:t>
            </w:r>
          </w:p>
        </w:tc>
      </w:tr>
    </w:tbl>
    <w:p w:rsidR="00DD7A20" w:rsidRDefault="00913C3B">
      <w:pPr>
        <w:pStyle w:val="Heading2"/>
        <w:spacing w:before="300" w:after="150"/>
      </w:pPr>
      <w:r>
        <w:t>4.2 Balance Sheet &amp; Ratios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100"/>
      </w:tblGrid>
      <w:tr w:rsidR="00DD7A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8E0C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b/>
                <w:bCs/>
                <w:sz w:val="20"/>
                <w:szCs w:val="20"/>
              </w:rPr>
              <w:t>Measure</w:t>
            </w:r>
          </w:p>
        </w:tc>
        <w:tc>
          <w:tcPr>
            <w:tcW w:w="6100" w:type="dxa"/>
            <w:shd w:val="clear" w:color="auto" w:fill="E8E0C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b/>
                <w:bCs/>
                <w:sz w:val="20"/>
                <w:szCs w:val="20"/>
              </w:rPr>
              <w:t>What it calculates</w:t>
            </w:r>
          </w:p>
        </w:tc>
      </w:tr>
      <w:tr w:rsidR="00DD7A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Total Assets / Borrowings / Working Capital (Latest Year)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Point-in-time balance sheet figures for the current fiscal year only — not summed across years, since these are snapshot values.</w:t>
            </w:r>
          </w:p>
        </w:tc>
      </w:tr>
      <w:tr w:rsidR="00DD7A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Debt to Equity Ratio (Latest Year)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Borrowings divided by total share</w:t>
            </w:r>
            <w:r>
              <w:rPr>
                <w:sz w:val="20"/>
                <w:szCs w:val="20"/>
              </w:rPr>
              <w:t>holder funds, for the current fiscal year.</w:t>
            </w:r>
          </w:p>
        </w:tc>
      </w:tr>
      <w:tr w:rsidR="00DD7A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ROCE (Latest Year)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Return on Capital Employed for the current fiscal year.</w:t>
            </w:r>
          </w:p>
        </w:tc>
      </w:tr>
      <w:tr w:rsidR="00DD7A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EBITDA Interest Coverage (Latest Year)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EBITDA divided by Interest expense, for the current fiscal year.</w:t>
            </w:r>
          </w:p>
        </w:tc>
      </w:tr>
    </w:tbl>
    <w:p w:rsidR="00DD7A20" w:rsidRDefault="00913C3B">
      <w:pPr>
        <w:pStyle w:val="Heading2"/>
        <w:spacing w:before="300" w:after="150"/>
      </w:pPr>
      <w:r>
        <w:t>4.3 Cash 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100"/>
      </w:tblGrid>
      <w:tr w:rsidR="00DD7A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8E0C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b/>
                <w:bCs/>
                <w:sz w:val="20"/>
                <w:szCs w:val="20"/>
              </w:rPr>
              <w:t>Measure</w:t>
            </w:r>
          </w:p>
        </w:tc>
        <w:tc>
          <w:tcPr>
            <w:tcW w:w="6100" w:type="dxa"/>
            <w:shd w:val="clear" w:color="auto" w:fill="E8E0C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b/>
                <w:bCs/>
                <w:sz w:val="20"/>
                <w:szCs w:val="20"/>
              </w:rPr>
              <w:t>What it calculates</w:t>
            </w:r>
          </w:p>
        </w:tc>
      </w:tr>
      <w:tr w:rsidR="00DD7A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Cash from Operating / Investing / Financing Activity (Latest Year)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Each cash flow category for the current fiscal year.</w:t>
            </w:r>
          </w:p>
        </w:tc>
      </w:tr>
      <w:tr w:rsidR="00DD7A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Cash Conversion Ratio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7A20" w:rsidRDefault="00913C3B">
            <w:r>
              <w:rPr>
                <w:sz w:val="20"/>
                <w:szCs w:val="20"/>
              </w:rPr>
              <w:t>Operating Cash Flow divided by Net Profit — a measure of earnings quality.</w:t>
            </w:r>
          </w:p>
        </w:tc>
      </w:tr>
    </w:tbl>
    <w:p w:rsidR="00DD7A20" w:rsidRDefault="00913C3B">
      <w:pPr>
        <w:pStyle w:val="Heading1"/>
        <w:spacing w:before="400" w:after="200"/>
      </w:pPr>
      <w:r>
        <w:t>5. Dashboard Pages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Executive Summary — 10-year KPI overview and headline trends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Revenue &amp; Profitability — growth trends, margins, and a Pre-COVID / COVID / Post-COVID comparison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Balance Sheet Health — asset growth, capital structure, and leverage trend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Rat</w:t>
      </w:r>
      <w:r>
        <w:t>io &amp; Efficiency Analysis — profitability and operating efficiency ratios in context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Cash Flow Analysis — cash flow breakdown and earnings quality</w:t>
      </w:r>
    </w:p>
    <w:p w:rsidR="00DD7A20" w:rsidRDefault="00913C3B">
      <w:pPr>
        <w:pStyle w:val="Heading1"/>
        <w:spacing w:before="400" w:after="200"/>
      </w:pPr>
      <w:r>
        <w:t>6. Key Insights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Revenue grew from ₹13,260 Cr (FY17) to ₹87,584 Cr (FY26), a 23.3% CAGR, with growth slowing du</w:t>
      </w:r>
      <w:r>
        <w:t>ring COVID (FY20–21) before accelerating sharply in the recovery period.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ROE nearly doubled over the decade (17% → 32%), while ROCE reached 20% in FY26 — the gap reflects rising financial leverage, with Debt-to-Equity increasing from 0.44x to 1.95x.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EBITDA</w:t>
      </w:r>
      <w:r>
        <w:t xml:space="preserve"> margin remained stable (9.6%–13.4%) despite over 6x revenue growth.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lastRenderedPageBreak/>
        <w:t>Cash Conversion Ratio was highly volatile year to year (-0.33x to 4.3x), showing reported profit and actual cash generation do not always move together.</w:t>
      </w:r>
    </w:p>
    <w:p w:rsidR="00DD7A20" w:rsidRDefault="00913C3B">
      <w:pPr>
        <w:pStyle w:val="Heading1"/>
        <w:spacing w:before="400" w:after="200"/>
      </w:pPr>
      <w:r>
        <w:t>7. Design Decisions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Latest Year me</w:t>
      </w:r>
      <w:r>
        <w:t xml:space="preserve">asures are built using </w:t>
      </w:r>
      <w:proofErr w:type="gramStart"/>
      <w:r>
        <w:t>MAX(</w:t>
      </w:r>
      <w:proofErr w:type="gramEnd"/>
      <w:r>
        <w:t>) rather than a hardcoded year, so the dashboard continues to work correctly as new fiscal years are added.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 xml:space="preserve">Balance Sheet KPIs are restricted to a single fiscal year, since these are point-in-time snapshots — summing them across </w:t>
      </w:r>
      <w:r>
        <w:t>multiple years would not represent anything real.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 xml:space="preserve">The COVID period is built into the data model (a </w:t>
      </w:r>
      <w:proofErr w:type="spellStart"/>
      <w:r>
        <w:t>Covid_Period</w:t>
      </w:r>
      <w:proofErr w:type="spellEnd"/>
      <w:r>
        <w:t xml:space="preserve"> column) rather than a separate page, allowing any page to compare Pre-COVID, COVID, and Post-COVID performance directly.</w:t>
      </w:r>
    </w:p>
    <w:p w:rsidR="00DD7A20" w:rsidRDefault="00913C3B">
      <w:pPr>
        <w:pStyle w:val="ListParagraph"/>
        <w:numPr>
          <w:ilvl w:val="0"/>
          <w:numId w:val="1"/>
        </w:numPr>
        <w:spacing w:after="80"/>
      </w:pPr>
      <w:r>
        <w:t>Free Cash Flow was inte</w:t>
      </w:r>
      <w:r>
        <w:t>ntionally excluded, as the source data does not include a clean, direct Capital Expenditure figure.</w:t>
      </w:r>
    </w:p>
    <w:sectPr w:rsidR="00DD7A20" w:rsidSect="00913C3B">
      <w:pgSz w:w="12240" w:h="15840"/>
      <w:pgMar w:top="567" w:right="567" w:bottom="567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836580"/>
    <w:multiLevelType w:val="hybridMultilevel"/>
    <w:tmpl w:val="6FE645A0"/>
    <w:lvl w:ilvl="0" w:tplc="7A244CC0">
      <w:start w:val="1"/>
      <w:numFmt w:val="bullet"/>
      <w:lvlText w:val="●"/>
      <w:lvlJc w:val="left"/>
      <w:pPr>
        <w:ind w:left="720" w:hanging="360"/>
      </w:pPr>
    </w:lvl>
    <w:lvl w:ilvl="1" w:tplc="F4D4F8E8">
      <w:start w:val="1"/>
      <w:numFmt w:val="bullet"/>
      <w:lvlText w:val="○"/>
      <w:lvlJc w:val="left"/>
      <w:pPr>
        <w:ind w:left="1440" w:hanging="360"/>
      </w:pPr>
    </w:lvl>
    <w:lvl w:ilvl="2" w:tplc="A3F69532">
      <w:start w:val="1"/>
      <w:numFmt w:val="bullet"/>
      <w:lvlText w:val="■"/>
      <w:lvlJc w:val="left"/>
      <w:pPr>
        <w:ind w:left="2160" w:hanging="360"/>
      </w:pPr>
    </w:lvl>
    <w:lvl w:ilvl="3" w:tplc="0DAE37E6">
      <w:start w:val="1"/>
      <w:numFmt w:val="bullet"/>
      <w:lvlText w:val="●"/>
      <w:lvlJc w:val="left"/>
      <w:pPr>
        <w:ind w:left="2880" w:hanging="360"/>
      </w:pPr>
    </w:lvl>
    <w:lvl w:ilvl="4" w:tplc="FE965C76">
      <w:start w:val="1"/>
      <w:numFmt w:val="bullet"/>
      <w:lvlText w:val="○"/>
      <w:lvlJc w:val="left"/>
      <w:pPr>
        <w:ind w:left="3600" w:hanging="360"/>
      </w:pPr>
    </w:lvl>
    <w:lvl w:ilvl="5" w:tplc="9BAC7FBA">
      <w:start w:val="1"/>
      <w:numFmt w:val="bullet"/>
      <w:lvlText w:val="■"/>
      <w:lvlJc w:val="left"/>
      <w:pPr>
        <w:ind w:left="4320" w:hanging="360"/>
      </w:pPr>
    </w:lvl>
    <w:lvl w:ilvl="6" w:tplc="834A1ECA">
      <w:start w:val="1"/>
      <w:numFmt w:val="bullet"/>
      <w:lvlText w:val="●"/>
      <w:lvlJc w:val="left"/>
      <w:pPr>
        <w:ind w:left="5040" w:hanging="360"/>
      </w:pPr>
    </w:lvl>
    <w:lvl w:ilvl="7" w:tplc="8C588B7A">
      <w:start w:val="1"/>
      <w:numFmt w:val="bullet"/>
      <w:lvlText w:val="●"/>
      <w:lvlJc w:val="left"/>
      <w:pPr>
        <w:ind w:left="5760" w:hanging="360"/>
      </w:pPr>
    </w:lvl>
    <w:lvl w:ilvl="8" w:tplc="55BC80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A20"/>
    <w:rsid w:val="00913C3B"/>
    <w:rsid w:val="00DD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3C7FA0-3F2D-4527-B2F3-28AFAD19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2026-08-13T03:37:00Z</dcterms:created>
  <dcterms:modified xsi:type="dcterms:W3CDTF">2026-08-13T03:39:00Z</dcterms:modified>
</cp:coreProperties>
</file>