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2DE1D" w14:textId="77777777" w:rsidR="00BE5E4E" w:rsidRDefault="00BE5E4E" w:rsidP="00BE5E4E">
      <w:pPr>
        <w:pStyle w:val="Heading1"/>
      </w:pPr>
      <w:r>
        <w:t>Requirements Overview</w:t>
      </w:r>
    </w:p>
    <w:p w14:paraId="11E2DE1E" w14:textId="07DEE445" w:rsidR="00BE5E4E" w:rsidRDefault="00F267B9" w:rsidP="00BE5E4E">
      <w:r w:rsidRPr="00F267B9">
        <w:t xml:space="preserve">This document defines the functionality needed to successfully </w:t>
      </w:r>
      <w:r w:rsidR="001C0BAB">
        <w:t>integrate Hansen</w:t>
      </w:r>
      <w:r w:rsidR="00C62DE0">
        <w:t xml:space="preserve"> for</w:t>
      </w:r>
      <w:r w:rsidR="00907136">
        <w:t xml:space="preserve"> the </w:t>
      </w:r>
      <w:r w:rsidRPr="00F267B9">
        <w:t>Philly311 CRM Sales</w:t>
      </w:r>
      <w:r>
        <w:t>f</w:t>
      </w:r>
      <w:r w:rsidR="00C62DE0">
        <w:t>orce solution.</w:t>
      </w:r>
    </w:p>
    <w:p w14:paraId="11E2DE2C" w14:textId="77777777" w:rsidR="00545C66" w:rsidRDefault="00E227DF" w:rsidP="00545C66">
      <w:pPr>
        <w:pStyle w:val="Heading1"/>
      </w:pPr>
      <w:bookmarkStart w:id="0" w:name="_GoBack"/>
      <w:bookmarkEnd w:id="0"/>
      <w:r>
        <w:t>Requirements</w:t>
      </w:r>
    </w:p>
    <w:p w14:paraId="71CE90D3" w14:textId="1CDD081C" w:rsidR="001C0BAB" w:rsidRDefault="001C0BAB" w:rsidP="001C0BAB">
      <w:r>
        <w:t xml:space="preserve">Unisys will develop and deploy </w:t>
      </w:r>
      <w:r w:rsidR="00363717">
        <w:t>one</w:t>
      </w:r>
      <w:r>
        <w:t xml:space="preserve"> (</w:t>
      </w:r>
      <w:r w:rsidR="00363717">
        <w:t xml:space="preserve">1) new interface to </w:t>
      </w:r>
      <w:r>
        <w:t xml:space="preserve">Hansen for Licensing and Inspections Department using Software AG integration platform (City’s integration platform standard).  </w:t>
      </w:r>
    </w:p>
    <w:p w14:paraId="1C96D695" w14:textId="77777777" w:rsidR="001C0BAB" w:rsidRDefault="001C0BAB" w:rsidP="001C0BAB">
      <w:r>
        <w:t xml:space="preserve">The above mentioned interfaces will be developed based on the City providing Unisys access to the City procured and owned Software AG products (namely Web Methods Broker, Mediator, and SFDC Adapter). These products should have a publicly accessible port that Unisys can use to implement integrations. </w:t>
      </w:r>
    </w:p>
    <w:p w14:paraId="61B2C335" w14:textId="77777777" w:rsidR="001C0BAB" w:rsidRDefault="001C0BAB" w:rsidP="001C0BAB">
      <w:r>
        <w:t>The interfaces will provide the following capabilities:</w:t>
      </w:r>
    </w:p>
    <w:p w14:paraId="21F7A11F"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Create service requests</w:t>
      </w:r>
    </w:p>
    <w:p w14:paraId="33ECE613"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List service requests</w:t>
      </w:r>
    </w:p>
    <w:p w14:paraId="22432924"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Sync status of the service requests</w:t>
      </w:r>
    </w:p>
    <w:p w14:paraId="058E1370"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Modify service requests</w:t>
      </w:r>
    </w:p>
    <w:p w14:paraId="368C5C7F"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Reassign service requests back to the 311 Contact Center for re-assignment to another City department</w:t>
      </w:r>
    </w:p>
    <w:p w14:paraId="41C53F71" w14:textId="77777777" w:rsidR="001C0BAB" w:rsidRDefault="001C0BAB" w:rsidP="001C0BAB">
      <w:pPr>
        <w:pStyle w:val="ListParagraph"/>
        <w:numPr>
          <w:ilvl w:val="0"/>
          <w:numId w:val="22"/>
        </w:numPr>
        <w:overflowPunct w:val="0"/>
        <w:autoSpaceDE w:val="0"/>
        <w:autoSpaceDN w:val="0"/>
        <w:adjustRightInd w:val="0"/>
        <w:spacing w:after="240" w:line="240" w:lineRule="auto"/>
        <w:textAlignment w:val="baseline"/>
      </w:pPr>
      <w:r>
        <w:t>Add comments to service requests</w:t>
      </w:r>
    </w:p>
    <w:p w14:paraId="57F9BE40" w14:textId="77777777" w:rsidR="00F555B5" w:rsidRDefault="00F555B5" w:rsidP="00F555B5">
      <w:pPr>
        <w:pStyle w:val="Heading1"/>
        <w:keepLines w:val="0"/>
        <w:spacing w:before="0" w:line="240" w:lineRule="auto"/>
        <w:ind w:left="432" w:hanging="432"/>
      </w:pPr>
      <w:bookmarkStart w:id="1" w:name="_Toc379982236"/>
      <w:bookmarkStart w:id="2" w:name="_Toc379982235"/>
      <w:r>
        <w:t>Action Items – The City</w:t>
      </w:r>
      <w:bookmarkEnd w:id="1"/>
    </w:p>
    <w:p w14:paraId="21679259" w14:textId="77777777" w:rsidR="001C0BAB" w:rsidRDefault="001C0BAB" w:rsidP="001C0BAB">
      <w:pPr>
        <w:pStyle w:val="ListParagraph"/>
        <w:numPr>
          <w:ilvl w:val="0"/>
          <w:numId w:val="15"/>
        </w:numPr>
        <w:overflowPunct w:val="0"/>
        <w:autoSpaceDE w:val="0"/>
        <w:autoSpaceDN w:val="0"/>
        <w:adjustRightInd w:val="0"/>
        <w:spacing w:after="240" w:line="240" w:lineRule="auto"/>
        <w:ind w:left="360"/>
        <w:textAlignment w:val="baseline"/>
      </w:pPr>
      <w:r>
        <w:t>The City of Philadelphia will provide Unisys with access to/right to use (as necessary to perform the Services) all of the City applications (Public Stuff, City Works, Hansen, GIS/ESRI) at no cost to Unisys.</w:t>
      </w:r>
    </w:p>
    <w:p w14:paraId="3D7E199F" w14:textId="77777777" w:rsidR="001C0BAB" w:rsidRDefault="001C0BAB" w:rsidP="001C0BAB">
      <w:pPr>
        <w:pStyle w:val="ListParagraph"/>
        <w:numPr>
          <w:ilvl w:val="0"/>
          <w:numId w:val="15"/>
        </w:numPr>
        <w:overflowPunct w:val="0"/>
        <w:autoSpaceDE w:val="0"/>
        <w:autoSpaceDN w:val="0"/>
        <w:adjustRightInd w:val="0"/>
        <w:spacing w:after="240" w:line="240" w:lineRule="auto"/>
        <w:ind w:left="360"/>
        <w:textAlignment w:val="baseline"/>
      </w:pPr>
      <w:r>
        <w:t xml:space="preserve">The City of Philadelphia will provide a technical contact for Software AG, </w:t>
      </w:r>
      <w:proofErr w:type="spellStart"/>
      <w:r>
        <w:t>PublicStuff</w:t>
      </w:r>
      <w:proofErr w:type="spellEnd"/>
      <w:r>
        <w:t xml:space="preserve">, and </w:t>
      </w:r>
      <w:proofErr w:type="spellStart"/>
      <w:r>
        <w:t>CityWorks</w:t>
      </w:r>
      <w:proofErr w:type="spellEnd"/>
      <w:r>
        <w:t xml:space="preserve"> application.  The </w:t>
      </w:r>
      <w:proofErr w:type="spellStart"/>
      <w:r>
        <w:t>PublicStuff</w:t>
      </w:r>
      <w:proofErr w:type="spellEnd"/>
      <w:r>
        <w:t xml:space="preserve">, </w:t>
      </w:r>
      <w:proofErr w:type="spellStart"/>
      <w:r>
        <w:t>CityWorks</w:t>
      </w:r>
      <w:proofErr w:type="spellEnd"/>
      <w:r>
        <w:t>, and Hansen technical contacts will be responsible for developing the legacy application to Software AG interface.</w:t>
      </w:r>
    </w:p>
    <w:p w14:paraId="0D07991F" w14:textId="77777777" w:rsidR="00D67B4B" w:rsidRDefault="00D67B4B" w:rsidP="00D67B4B">
      <w:pPr>
        <w:pStyle w:val="ListParagraph"/>
        <w:numPr>
          <w:ilvl w:val="0"/>
          <w:numId w:val="15"/>
        </w:numPr>
        <w:overflowPunct w:val="0"/>
        <w:autoSpaceDE w:val="0"/>
        <w:autoSpaceDN w:val="0"/>
        <w:adjustRightInd w:val="0"/>
        <w:spacing w:after="240" w:line="240" w:lineRule="auto"/>
        <w:ind w:left="360"/>
        <w:textAlignment w:val="baseline"/>
      </w:pPr>
      <w:r>
        <w:t xml:space="preserve">The City will provide a technical contact for Software AG, </w:t>
      </w:r>
      <w:proofErr w:type="spellStart"/>
      <w:r>
        <w:t>PublicStuff</w:t>
      </w:r>
      <w:proofErr w:type="spellEnd"/>
      <w:r>
        <w:t xml:space="preserve">, </w:t>
      </w:r>
      <w:proofErr w:type="spellStart"/>
      <w:r>
        <w:t>CityWorks</w:t>
      </w:r>
      <w:proofErr w:type="spellEnd"/>
      <w:r>
        <w:t xml:space="preserve"> and Hansen application.  The </w:t>
      </w:r>
      <w:proofErr w:type="spellStart"/>
      <w:r>
        <w:t>PublicStuff</w:t>
      </w:r>
      <w:proofErr w:type="spellEnd"/>
      <w:r>
        <w:t xml:space="preserve">, </w:t>
      </w:r>
      <w:proofErr w:type="spellStart"/>
      <w:r>
        <w:t>CityWorks</w:t>
      </w:r>
      <w:proofErr w:type="spellEnd"/>
      <w:r>
        <w:t>, and Hansen technical contacts will be responsible for developing the legacy application to Software AG interface.</w:t>
      </w:r>
    </w:p>
    <w:p w14:paraId="7789E0EC" w14:textId="77777777" w:rsidR="00D67B4B" w:rsidRDefault="00D67B4B" w:rsidP="00D67B4B">
      <w:pPr>
        <w:pStyle w:val="ListParagraph"/>
        <w:numPr>
          <w:ilvl w:val="0"/>
          <w:numId w:val="15"/>
        </w:numPr>
        <w:overflowPunct w:val="0"/>
        <w:autoSpaceDE w:val="0"/>
        <w:autoSpaceDN w:val="0"/>
        <w:adjustRightInd w:val="0"/>
        <w:spacing w:after="240" w:line="240" w:lineRule="auto"/>
        <w:ind w:left="360"/>
        <w:textAlignment w:val="baseline"/>
      </w:pPr>
      <w:r>
        <w:t xml:space="preserve">The City of Philadelphia will resolve any issues (that impact the 311 project) in any City applications such as GIS/ESRI, </w:t>
      </w:r>
      <w:proofErr w:type="spellStart"/>
      <w:r>
        <w:t>PublicStuff</w:t>
      </w:r>
      <w:proofErr w:type="spellEnd"/>
      <w:r>
        <w:t xml:space="preserve">, </w:t>
      </w:r>
      <w:proofErr w:type="spellStart"/>
      <w:r>
        <w:t>CityWorks</w:t>
      </w:r>
      <w:proofErr w:type="spellEnd"/>
      <w:r>
        <w:t xml:space="preserve">, Hansen etc. in a timely manner so that they do not impact the agreed upon project plan. </w:t>
      </w:r>
    </w:p>
    <w:p w14:paraId="5C8B1395" w14:textId="77777777" w:rsidR="00F555B5" w:rsidRDefault="00F555B5" w:rsidP="00F555B5">
      <w:pPr>
        <w:pStyle w:val="Heading1"/>
        <w:keepLines w:val="0"/>
        <w:spacing w:before="0" w:line="240" w:lineRule="auto"/>
        <w:ind w:left="432" w:hanging="432"/>
      </w:pPr>
      <w:bookmarkStart w:id="3" w:name="_Toc379982237"/>
      <w:r>
        <w:t>Action Items – Unisys</w:t>
      </w:r>
      <w:bookmarkEnd w:id="3"/>
    </w:p>
    <w:p w14:paraId="6EC3F4D3" w14:textId="77777777" w:rsidR="001C0BAB" w:rsidRDefault="001C0BAB" w:rsidP="001C0BAB">
      <w:pPr>
        <w:pStyle w:val="ListParagraph"/>
        <w:numPr>
          <w:ilvl w:val="0"/>
          <w:numId w:val="21"/>
        </w:numPr>
        <w:overflowPunct w:val="0"/>
        <w:autoSpaceDE w:val="0"/>
        <w:autoSpaceDN w:val="0"/>
        <w:adjustRightInd w:val="0"/>
        <w:spacing w:after="0" w:line="240" w:lineRule="auto"/>
        <w:textAlignment w:val="baseline"/>
      </w:pPr>
      <w:r>
        <w:t xml:space="preserve">Setup Software AG connection to </w:t>
      </w:r>
      <w:proofErr w:type="spellStart"/>
      <w:r>
        <w:t>PublicStuff</w:t>
      </w:r>
      <w:proofErr w:type="spellEnd"/>
      <w:r>
        <w:t xml:space="preserve">, </w:t>
      </w:r>
      <w:proofErr w:type="spellStart"/>
      <w:r>
        <w:t>CityWorks</w:t>
      </w:r>
      <w:proofErr w:type="spellEnd"/>
      <w:r>
        <w:t>, Hansen and SFDC Service Cloud platform.</w:t>
      </w:r>
    </w:p>
    <w:p w14:paraId="42710BDB" w14:textId="77777777" w:rsidR="001C0BAB" w:rsidRDefault="001C0BAB" w:rsidP="001C0BAB">
      <w:pPr>
        <w:numPr>
          <w:ilvl w:val="0"/>
          <w:numId w:val="21"/>
        </w:numPr>
        <w:overflowPunct w:val="0"/>
        <w:autoSpaceDE w:val="0"/>
        <w:autoSpaceDN w:val="0"/>
        <w:adjustRightInd w:val="0"/>
        <w:spacing w:after="0" w:line="240" w:lineRule="auto"/>
        <w:textAlignment w:val="baseline"/>
      </w:pPr>
      <w:r>
        <w:lastRenderedPageBreak/>
        <w:t xml:space="preserve">Develop an interface from SFDC Service Cloud platform to Hansen for  Neighborhood Services application </w:t>
      </w:r>
    </w:p>
    <w:p w14:paraId="05E0A2AF" w14:textId="77777777" w:rsidR="001C0BAB" w:rsidRDefault="001C0BAB" w:rsidP="001C0BAB">
      <w:pPr>
        <w:numPr>
          <w:ilvl w:val="0"/>
          <w:numId w:val="21"/>
        </w:numPr>
        <w:overflowPunct w:val="0"/>
        <w:autoSpaceDE w:val="0"/>
        <w:autoSpaceDN w:val="0"/>
        <w:adjustRightInd w:val="0"/>
        <w:spacing w:after="0" w:line="240" w:lineRule="auto"/>
        <w:textAlignment w:val="baseline"/>
      </w:pPr>
      <w:r>
        <w:t>Develop an interface from SFDC Service Cloud platform to the  Hansen Licensing &amp; Inspections  application</w:t>
      </w:r>
    </w:p>
    <w:p w14:paraId="226F5ADF" w14:textId="77777777" w:rsidR="00D67B4B" w:rsidRDefault="00D67B4B" w:rsidP="00D67B4B">
      <w:pPr>
        <w:pStyle w:val="ListParagraph"/>
        <w:numPr>
          <w:ilvl w:val="0"/>
          <w:numId w:val="21"/>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Integration Design Document (enhanced from the previous version developed for the Pilot solution with the following topics)</w:t>
      </w:r>
    </w:p>
    <w:p w14:paraId="1AB1361A" w14:textId="77777777" w:rsidR="00D67B4B" w:rsidRDefault="00D67B4B" w:rsidP="00D67B4B">
      <w:pPr>
        <w:pStyle w:val="ListParagraph"/>
        <w:numPr>
          <w:ilvl w:val="1"/>
          <w:numId w:val="21"/>
        </w:numPr>
        <w:overflowPunct w:val="0"/>
        <w:autoSpaceDE w:val="0"/>
        <w:autoSpaceDN w:val="0"/>
        <w:adjustRightInd w:val="0"/>
        <w:spacing w:after="240" w:line="240" w:lineRule="auto"/>
        <w:textAlignment w:val="baseline"/>
      </w:pPr>
      <w:r>
        <w:t>Hansen for Licensing and Inspections Integration Design Document</w:t>
      </w:r>
    </w:p>
    <w:p w14:paraId="79737720" w14:textId="77777777" w:rsidR="00D67B4B" w:rsidRDefault="00D67B4B" w:rsidP="00D67B4B">
      <w:pPr>
        <w:pStyle w:val="ListParagraph"/>
        <w:numPr>
          <w:ilvl w:val="0"/>
          <w:numId w:val="21"/>
        </w:numPr>
        <w:overflowPunct w:val="0"/>
        <w:autoSpaceDE w:val="0"/>
        <w:autoSpaceDN w:val="0"/>
        <w:adjustRightInd w:val="0"/>
        <w:spacing w:after="240" w:line="240" w:lineRule="auto"/>
        <w:textAlignment w:val="baseline"/>
      </w:pPr>
      <w:r>
        <w:t>Develop and unit test each channel configuration and integration</w:t>
      </w:r>
    </w:p>
    <w:p w14:paraId="666CCDFE" w14:textId="77777777" w:rsidR="00363717" w:rsidRDefault="00D67B4B" w:rsidP="00363717">
      <w:pPr>
        <w:pStyle w:val="ListParagraph"/>
        <w:numPr>
          <w:ilvl w:val="1"/>
          <w:numId w:val="21"/>
        </w:numPr>
        <w:overflowPunct w:val="0"/>
        <w:autoSpaceDE w:val="0"/>
        <w:autoSpaceDN w:val="0"/>
        <w:adjustRightInd w:val="0"/>
        <w:spacing w:after="240" w:line="240" w:lineRule="auto"/>
        <w:textAlignment w:val="baseline"/>
      </w:pPr>
      <w:r>
        <w:t xml:space="preserve">Hansen for Licensing and Inspections Integration </w:t>
      </w:r>
    </w:p>
    <w:p w14:paraId="508FBBA2" w14:textId="77777777" w:rsidR="00363717" w:rsidRDefault="00363717" w:rsidP="00363717">
      <w:pPr>
        <w:pStyle w:val="ListParagraph"/>
        <w:numPr>
          <w:ilvl w:val="0"/>
          <w:numId w:val="21"/>
        </w:numPr>
        <w:overflowPunct w:val="0"/>
        <w:autoSpaceDE w:val="0"/>
        <w:autoSpaceDN w:val="0"/>
        <w:adjustRightInd w:val="0"/>
        <w:spacing w:after="240" w:line="240" w:lineRule="auto"/>
        <w:textAlignment w:val="baseline"/>
      </w:pPr>
      <w:r>
        <w:t>D</w:t>
      </w:r>
      <w:r w:rsidR="00D67B4B">
        <w:t>evelop the materials for the following technical knowledge transfer sessions</w:t>
      </w:r>
    </w:p>
    <w:p w14:paraId="4C861936" w14:textId="351E0ABF" w:rsidR="00D67B4B" w:rsidRDefault="00D67B4B" w:rsidP="00363717">
      <w:pPr>
        <w:pStyle w:val="ListParagraph"/>
        <w:numPr>
          <w:ilvl w:val="1"/>
          <w:numId w:val="21"/>
        </w:numPr>
        <w:overflowPunct w:val="0"/>
        <w:autoSpaceDE w:val="0"/>
        <w:autoSpaceDN w:val="0"/>
        <w:adjustRightInd w:val="0"/>
        <w:spacing w:after="240" w:line="240" w:lineRule="auto"/>
        <w:textAlignment w:val="baseline"/>
      </w:pPr>
      <w:r>
        <w:t>Hansen for Licensing and Inspections interface</w:t>
      </w:r>
    </w:p>
    <w:p w14:paraId="5A5C848D" w14:textId="77777777" w:rsidR="00363717" w:rsidRDefault="00363717" w:rsidP="00363717">
      <w:pPr>
        <w:pStyle w:val="ListParagraph"/>
        <w:numPr>
          <w:ilvl w:val="0"/>
          <w:numId w:val="21"/>
        </w:numPr>
        <w:overflowPunct w:val="0"/>
        <w:autoSpaceDE w:val="0"/>
        <w:autoSpaceDN w:val="0"/>
        <w:adjustRightInd w:val="0"/>
        <w:spacing w:after="240" w:line="240" w:lineRule="auto"/>
        <w:textAlignment w:val="baseline"/>
      </w:pPr>
      <w:r>
        <w:t>Conduct one (1) four (4) hour knowledge transfer session for no more than four (4) City technical resources</w:t>
      </w:r>
    </w:p>
    <w:p w14:paraId="2A55EF5D" w14:textId="77777777" w:rsidR="00363717" w:rsidRDefault="00363717" w:rsidP="00363717">
      <w:pPr>
        <w:pStyle w:val="ListParagraph"/>
        <w:numPr>
          <w:ilvl w:val="1"/>
          <w:numId w:val="21"/>
        </w:numPr>
        <w:overflowPunct w:val="0"/>
        <w:autoSpaceDE w:val="0"/>
        <w:autoSpaceDN w:val="0"/>
        <w:adjustRightInd w:val="0"/>
        <w:spacing w:after="240" w:line="240" w:lineRule="auto"/>
        <w:textAlignment w:val="baseline"/>
      </w:pPr>
      <w:r>
        <w:t>Hansen for Licensing and Inspections interface</w:t>
      </w:r>
    </w:p>
    <w:p w14:paraId="3DCC89F8" w14:textId="77777777" w:rsidR="00363717" w:rsidRDefault="00363717" w:rsidP="00363717">
      <w:pPr>
        <w:pStyle w:val="ListParagraph"/>
        <w:numPr>
          <w:ilvl w:val="0"/>
          <w:numId w:val="21"/>
        </w:numPr>
        <w:overflowPunct w:val="0"/>
        <w:autoSpaceDE w:val="0"/>
        <w:autoSpaceDN w:val="0"/>
        <w:adjustRightInd w:val="0"/>
        <w:spacing w:after="240" w:line="240" w:lineRule="auto"/>
        <w:textAlignment w:val="baseline"/>
      </w:pPr>
      <w:r>
        <w:t>Technical Knowledge Transfer Sessions Materials</w:t>
      </w:r>
    </w:p>
    <w:p w14:paraId="6AD5B7FF" w14:textId="77777777" w:rsidR="00363717" w:rsidRDefault="00363717" w:rsidP="00363717">
      <w:pPr>
        <w:pStyle w:val="ListParagraph"/>
        <w:numPr>
          <w:ilvl w:val="1"/>
          <w:numId w:val="21"/>
        </w:numPr>
        <w:overflowPunct w:val="0"/>
        <w:autoSpaceDE w:val="0"/>
        <w:autoSpaceDN w:val="0"/>
        <w:adjustRightInd w:val="0"/>
        <w:spacing w:after="240" w:line="240" w:lineRule="auto"/>
        <w:textAlignment w:val="baseline"/>
      </w:pPr>
      <w:r>
        <w:t>Hansen for Licensing and Inspections interface</w:t>
      </w:r>
    </w:p>
    <w:p w14:paraId="2400A7BA" w14:textId="77777777" w:rsidR="00363717" w:rsidRDefault="00363717" w:rsidP="00363717">
      <w:pPr>
        <w:pStyle w:val="ListParagraph"/>
        <w:numPr>
          <w:ilvl w:val="0"/>
          <w:numId w:val="21"/>
        </w:numPr>
        <w:overflowPunct w:val="0"/>
        <w:autoSpaceDE w:val="0"/>
        <w:autoSpaceDN w:val="0"/>
        <w:adjustRightInd w:val="0"/>
        <w:spacing w:after="240" w:line="240" w:lineRule="auto"/>
        <w:textAlignment w:val="baseline"/>
      </w:pPr>
      <w:r>
        <w:t>Technical Knowledge Transfer Sessions Completed</w:t>
      </w:r>
    </w:p>
    <w:p w14:paraId="482F483C" w14:textId="77777777" w:rsidR="00363717" w:rsidRDefault="00363717" w:rsidP="00363717">
      <w:pPr>
        <w:pStyle w:val="ListParagraph"/>
        <w:numPr>
          <w:ilvl w:val="1"/>
          <w:numId w:val="21"/>
        </w:numPr>
        <w:overflowPunct w:val="0"/>
        <w:autoSpaceDE w:val="0"/>
        <w:autoSpaceDN w:val="0"/>
        <w:adjustRightInd w:val="0"/>
        <w:spacing w:after="240" w:line="240" w:lineRule="auto"/>
        <w:textAlignment w:val="baseline"/>
      </w:pPr>
      <w:r>
        <w:t>Hansen for Licensing and Inspections interface</w:t>
      </w:r>
    </w:p>
    <w:p w14:paraId="70B09392" w14:textId="23EB76F8" w:rsidR="002B1474" w:rsidRDefault="002B1474" w:rsidP="002B1474">
      <w:pPr>
        <w:pStyle w:val="Heading1"/>
        <w:keepLines w:val="0"/>
        <w:spacing w:before="0" w:line="240" w:lineRule="auto"/>
        <w:ind w:left="432" w:hanging="432"/>
      </w:pPr>
      <w:r>
        <w:t>Deliverables</w:t>
      </w:r>
    </w:p>
    <w:p w14:paraId="0B331A95" w14:textId="77777777" w:rsidR="00D67B4B" w:rsidRPr="008563AF" w:rsidRDefault="00D67B4B" w:rsidP="00D67B4B">
      <w:pPr>
        <w:pStyle w:val="ListParagraph"/>
        <w:numPr>
          <w:ilvl w:val="0"/>
          <w:numId w:val="14"/>
        </w:numPr>
        <w:overflowPunct w:val="0"/>
        <w:autoSpaceDE w:val="0"/>
        <w:autoSpaceDN w:val="0"/>
        <w:adjustRightInd w:val="0"/>
        <w:spacing w:after="240" w:line="240" w:lineRule="auto"/>
        <w:ind w:left="720"/>
        <w:textAlignment w:val="baseline"/>
      </w:pPr>
      <w:r w:rsidRPr="008563AF">
        <w:t xml:space="preserve">Technical Requirements </w:t>
      </w:r>
      <w:r>
        <w:t xml:space="preserve">Definition </w:t>
      </w:r>
      <w:r w:rsidRPr="008563AF">
        <w:t>Document</w:t>
      </w:r>
    </w:p>
    <w:p w14:paraId="0F1C80E9" w14:textId="58F31271" w:rsidR="00D67B4B" w:rsidRPr="008563AF" w:rsidRDefault="00D67B4B" w:rsidP="00363717">
      <w:pPr>
        <w:pStyle w:val="ListParagraph"/>
        <w:numPr>
          <w:ilvl w:val="1"/>
          <w:numId w:val="14"/>
        </w:numPr>
        <w:overflowPunct w:val="0"/>
        <w:autoSpaceDE w:val="0"/>
        <w:autoSpaceDN w:val="0"/>
        <w:adjustRightInd w:val="0"/>
        <w:spacing w:after="240" w:line="240" w:lineRule="auto"/>
        <w:ind w:left="1440"/>
        <w:textAlignment w:val="baseline"/>
      </w:pPr>
      <w:r w:rsidRPr="008563AF">
        <w:t xml:space="preserve">Hansen for Licensing and Inspections Requirements </w:t>
      </w:r>
      <w:r>
        <w:t>Definition</w:t>
      </w:r>
      <w:r w:rsidRPr="008563AF" w:rsidDel="00125884">
        <w:t xml:space="preserve"> </w:t>
      </w:r>
      <w:r w:rsidRPr="008563AF">
        <w:t>Document</w:t>
      </w:r>
    </w:p>
    <w:p w14:paraId="204F3657" w14:textId="77777777" w:rsidR="00D67B4B" w:rsidRPr="00F2702E" w:rsidRDefault="00D67B4B" w:rsidP="00D67B4B">
      <w:pPr>
        <w:pStyle w:val="ListParagraph"/>
        <w:numPr>
          <w:ilvl w:val="0"/>
          <w:numId w:val="14"/>
        </w:numPr>
        <w:overflowPunct w:val="0"/>
        <w:autoSpaceDE w:val="0"/>
        <w:autoSpaceDN w:val="0"/>
        <w:adjustRightInd w:val="0"/>
        <w:spacing w:after="240" w:line="240" w:lineRule="auto"/>
        <w:ind w:left="720"/>
        <w:textAlignment w:val="baseline"/>
      </w:pPr>
      <w:r w:rsidRPr="00F2702E">
        <w:t xml:space="preserve">Technical </w:t>
      </w:r>
      <w:r>
        <w:t xml:space="preserve">Detail </w:t>
      </w:r>
      <w:r w:rsidRPr="00F2702E">
        <w:t>Design Document</w:t>
      </w:r>
    </w:p>
    <w:p w14:paraId="74C4F440" w14:textId="0017616E" w:rsidR="00D67B4B" w:rsidRDefault="00D67B4B" w:rsidP="00363717">
      <w:pPr>
        <w:pStyle w:val="ListParagraph"/>
        <w:numPr>
          <w:ilvl w:val="1"/>
          <w:numId w:val="14"/>
        </w:numPr>
        <w:overflowPunct w:val="0"/>
        <w:autoSpaceDE w:val="0"/>
        <w:autoSpaceDN w:val="0"/>
        <w:adjustRightInd w:val="0"/>
        <w:spacing w:after="240" w:line="240" w:lineRule="auto"/>
        <w:ind w:left="1440"/>
        <w:textAlignment w:val="baseline"/>
      </w:pPr>
      <w:r>
        <w:t>Hansen for Licensing and Inspections Integration Design Document</w:t>
      </w:r>
    </w:p>
    <w:p w14:paraId="35BA0B45" w14:textId="77777777" w:rsidR="00D67B4B" w:rsidRPr="00F2702E" w:rsidRDefault="00D67B4B" w:rsidP="00D67B4B">
      <w:pPr>
        <w:pStyle w:val="ListParagraph"/>
        <w:numPr>
          <w:ilvl w:val="0"/>
          <w:numId w:val="14"/>
        </w:numPr>
        <w:overflowPunct w:val="0"/>
        <w:autoSpaceDE w:val="0"/>
        <w:autoSpaceDN w:val="0"/>
        <w:adjustRightInd w:val="0"/>
        <w:spacing w:after="240" w:line="240" w:lineRule="auto"/>
        <w:ind w:left="720"/>
        <w:textAlignment w:val="baseline"/>
      </w:pPr>
      <w:r>
        <w:t>Configured/Developed the channels and integrations</w:t>
      </w:r>
    </w:p>
    <w:p w14:paraId="34B82B14" w14:textId="4B588F30" w:rsidR="00363717" w:rsidRDefault="00D67B4B" w:rsidP="00363717">
      <w:pPr>
        <w:pStyle w:val="ListParagraph"/>
        <w:numPr>
          <w:ilvl w:val="1"/>
          <w:numId w:val="14"/>
        </w:numPr>
        <w:overflowPunct w:val="0"/>
        <w:autoSpaceDE w:val="0"/>
        <w:autoSpaceDN w:val="0"/>
        <w:adjustRightInd w:val="0"/>
        <w:spacing w:after="240" w:line="240" w:lineRule="auto"/>
        <w:ind w:left="1440"/>
        <w:textAlignment w:val="baseline"/>
      </w:pPr>
      <w:r>
        <w:t>Hansen for Licensing and Inspections Integration</w:t>
      </w:r>
    </w:p>
    <w:p w14:paraId="4B12BC2B" w14:textId="77777777" w:rsidR="0022763A" w:rsidRDefault="002B1474" w:rsidP="0022763A">
      <w:pPr>
        <w:pStyle w:val="Heading1"/>
        <w:ind w:left="432" w:hanging="432"/>
      </w:pPr>
      <w:r>
        <w:t>Assumptions</w:t>
      </w:r>
    </w:p>
    <w:p w14:paraId="5C06046B" w14:textId="5B2C14CA" w:rsidR="0022763A" w:rsidRDefault="00332B87" w:rsidP="0022763A">
      <w:r>
        <w:t>None</w:t>
      </w:r>
    </w:p>
    <w:p w14:paraId="7D0604D5" w14:textId="1B857057" w:rsidR="00D81EC3" w:rsidRDefault="00D81EC3" w:rsidP="00C2054A">
      <w:pPr>
        <w:pStyle w:val="Heading1"/>
        <w:ind w:left="432" w:hanging="432"/>
      </w:pPr>
      <w:r w:rsidRPr="00561417">
        <w:t xml:space="preserve">SOW </w:t>
      </w:r>
      <w:r>
        <w:t xml:space="preserve">Appendix C </w:t>
      </w:r>
      <w:r w:rsidRPr="00561417">
        <w:t>Requirements</w:t>
      </w:r>
      <w:bookmarkEnd w:id="2"/>
    </w:p>
    <w:tbl>
      <w:tblPr>
        <w:tblW w:w="0" w:type="auto"/>
        <w:tblInd w:w="93" w:type="dxa"/>
        <w:tblLook w:val="04A0" w:firstRow="1" w:lastRow="0" w:firstColumn="1" w:lastColumn="0" w:noHBand="0" w:noVBand="1"/>
      </w:tblPr>
      <w:tblGrid>
        <w:gridCol w:w="1207"/>
        <w:gridCol w:w="3027"/>
        <w:gridCol w:w="683"/>
        <w:gridCol w:w="6942"/>
        <w:gridCol w:w="1294"/>
        <w:gridCol w:w="1370"/>
      </w:tblGrid>
      <w:tr w:rsidR="00D81EC3" w:rsidRPr="00621840" w14:paraId="524FDA41" w14:textId="77777777" w:rsidTr="00C2054A">
        <w:trPr>
          <w:cantSplit/>
          <w:trHeight w:val="510"/>
          <w:tblHeader/>
        </w:trPr>
        <w:tc>
          <w:tcPr>
            <w:tcW w:w="1207" w:type="dxa"/>
            <w:tcBorders>
              <w:top w:val="single" w:sz="4" w:space="0" w:color="auto"/>
              <w:left w:val="nil"/>
              <w:bottom w:val="single" w:sz="4" w:space="0" w:color="auto"/>
              <w:right w:val="single" w:sz="4" w:space="0" w:color="FFFFFF"/>
            </w:tcBorders>
            <w:shd w:val="clear" w:color="000000" w:fill="003366"/>
            <w:vAlign w:val="bottom"/>
            <w:hideMark/>
          </w:tcPr>
          <w:p w14:paraId="6AF46B6B" w14:textId="77777777" w:rsidR="00D81EC3" w:rsidRPr="00621840" w:rsidRDefault="00D81EC3" w:rsidP="00351138">
            <w:pPr>
              <w:jc w:val="center"/>
              <w:rPr>
                <w:rFonts w:ascii="Arial" w:hAnsi="Arial" w:cs="Arial"/>
                <w:b/>
                <w:bCs/>
                <w:color w:val="FFFFFF"/>
                <w:sz w:val="20"/>
              </w:rPr>
            </w:pPr>
            <w:r w:rsidRPr="00621840">
              <w:rPr>
                <w:rFonts w:ascii="Arial" w:hAnsi="Arial" w:cs="Arial"/>
                <w:b/>
                <w:bCs/>
                <w:color w:val="FFFFFF"/>
                <w:sz w:val="20"/>
              </w:rPr>
              <w:t>Reference Number</w:t>
            </w:r>
          </w:p>
        </w:tc>
        <w:tc>
          <w:tcPr>
            <w:tcW w:w="3027"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3DC9DFD5"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Service Request Requirements</w:t>
            </w:r>
          </w:p>
        </w:tc>
        <w:tc>
          <w:tcPr>
            <w:tcW w:w="0" w:type="auto"/>
            <w:tcBorders>
              <w:top w:val="nil"/>
              <w:left w:val="single" w:sz="4" w:space="0" w:color="auto"/>
              <w:bottom w:val="single" w:sz="4" w:space="0" w:color="auto"/>
              <w:right w:val="single" w:sz="4" w:space="0" w:color="FFFFFF"/>
            </w:tcBorders>
            <w:shd w:val="clear" w:color="000000" w:fill="003366"/>
            <w:vAlign w:val="center"/>
            <w:hideMark/>
          </w:tcPr>
          <w:p w14:paraId="049CC0E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Type</w:t>
            </w:r>
          </w:p>
        </w:tc>
        <w:tc>
          <w:tcPr>
            <w:tcW w:w="6942" w:type="dxa"/>
            <w:tcBorders>
              <w:top w:val="nil"/>
              <w:left w:val="single" w:sz="4" w:space="0" w:color="auto"/>
              <w:bottom w:val="single" w:sz="4" w:space="0" w:color="auto"/>
              <w:right w:val="single" w:sz="4" w:space="0" w:color="FFFFFF"/>
            </w:tcBorders>
            <w:shd w:val="clear" w:color="000000" w:fill="003366"/>
            <w:vAlign w:val="center"/>
            <w:hideMark/>
          </w:tcPr>
          <w:p w14:paraId="0CA02AB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Implementation Plan</w:t>
            </w:r>
          </w:p>
        </w:tc>
        <w:tc>
          <w:tcPr>
            <w:tcW w:w="1294" w:type="dxa"/>
            <w:tcBorders>
              <w:top w:val="nil"/>
              <w:left w:val="single" w:sz="4" w:space="0" w:color="auto"/>
              <w:bottom w:val="single" w:sz="4" w:space="0" w:color="auto"/>
              <w:right w:val="single" w:sz="4" w:space="0" w:color="FFFFFF"/>
            </w:tcBorders>
            <w:shd w:val="clear" w:color="000000" w:fill="003366"/>
            <w:vAlign w:val="center"/>
            <w:hideMark/>
          </w:tcPr>
          <w:p w14:paraId="77928F8E"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How Provided</w:t>
            </w:r>
          </w:p>
        </w:tc>
        <w:tc>
          <w:tcPr>
            <w:tcW w:w="1370" w:type="dxa"/>
            <w:tcBorders>
              <w:top w:val="single" w:sz="4" w:space="0" w:color="auto"/>
              <w:left w:val="single" w:sz="4" w:space="0" w:color="auto"/>
              <w:bottom w:val="single" w:sz="4" w:space="0" w:color="auto"/>
              <w:right w:val="single" w:sz="4" w:space="0" w:color="auto"/>
            </w:tcBorders>
            <w:shd w:val="clear" w:color="000000" w:fill="003366"/>
          </w:tcPr>
          <w:p w14:paraId="4C9A30D3" w14:textId="77777777" w:rsidR="00D81EC3" w:rsidRPr="00621840" w:rsidRDefault="00D81EC3" w:rsidP="00351138">
            <w:pPr>
              <w:rPr>
                <w:rFonts w:ascii="Arial" w:hAnsi="Arial" w:cs="Arial"/>
                <w:b/>
                <w:bCs/>
                <w:color w:val="FFFFFF"/>
                <w:sz w:val="20"/>
              </w:rPr>
            </w:pPr>
            <w:r>
              <w:rPr>
                <w:rFonts w:ascii="Arial" w:hAnsi="Arial" w:cs="Arial"/>
                <w:b/>
                <w:bCs/>
                <w:color w:val="FFFFFF"/>
                <w:sz w:val="20"/>
              </w:rPr>
              <w:t>Workshop Notes</w:t>
            </w:r>
          </w:p>
        </w:tc>
      </w:tr>
      <w:tr w:rsidR="00D67B4B" w:rsidRPr="00621840" w14:paraId="7E9875EC"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25335C3E" w14:textId="70F44D79" w:rsidR="00D67B4B" w:rsidRPr="00390DFD" w:rsidRDefault="00D67B4B" w:rsidP="00392B0B">
            <w:pPr>
              <w:jc w:val="center"/>
              <w:rPr>
                <w:rFonts w:ascii="Arial" w:hAnsi="Arial" w:cs="Arial"/>
                <w:sz w:val="20"/>
              </w:rPr>
            </w:pPr>
            <w:r>
              <w:rPr>
                <w:rFonts w:ascii="Arial" w:hAnsi="Arial" w:cs="Arial"/>
                <w:color w:val="000000"/>
                <w:sz w:val="20"/>
                <w:szCs w:val="20"/>
              </w:rPr>
              <w:lastRenderedPageBreak/>
              <w:t>10.01</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E66887F" w14:textId="674D1FCE" w:rsidR="00D67B4B" w:rsidRPr="00390DFD" w:rsidRDefault="00D67B4B" w:rsidP="00392B0B">
            <w:pPr>
              <w:rPr>
                <w:rFonts w:ascii="Arial" w:hAnsi="Arial" w:cs="Arial"/>
                <w:sz w:val="20"/>
              </w:rPr>
            </w:pPr>
            <w:r>
              <w:rPr>
                <w:rFonts w:ascii="Arial" w:hAnsi="Arial" w:cs="Arial"/>
                <w:color w:val="000000"/>
                <w:sz w:val="20"/>
                <w:szCs w:val="20"/>
              </w:rPr>
              <w:t>The solution provides the ability to queue if an integration fails allowing solution to run standalone until integration is available again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8F3F08" w14:textId="14C9FDA0" w:rsidR="00D67B4B" w:rsidRPr="00390DFD" w:rsidRDefault="00D67B4B" w:rsidP="00392B0B">
            <w:pPr>
              <w:jc w:val="center"/>
              <w:rPr>
                <w:rFonts w:ascii="Arial" w:hAnsi="Arial" w:cs="Arial"/>
                <w:sz w:val="20"/>
              </w:rPr>
            </w:pPr>
            <w:r>
              <w:rPr>
                <w:rFonts w:ascii="Arial" w:hAnsi="Arial" w:cs="Arial"/>
                <w:color w:val="000000"/>
                <w:sz w:val="20"/>
                <w:szCs w:val="20"/>
              </w:rPr>
              <w:t>TP</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5872205F" w14:textId="2413AA29" w:rsidR="00D67B4B" w:rsidRPr="00D356C3" w:rsidRDefault="00D67B4B" w:rsidP="00392B0B">
            <w:pPr>
              <w:rPr>
                <w:rFonts w:ascii="Arial" w:hAnsi="Arial" w:cs="Arial"/>
                <w:sz w:val="20"/>
              </w:rPr>
            </w:pPr>
            <w:r>
              <w:rPr>
                <w:rFonts w:ascii="Arial" w:hAnsi="Arial" w:cs="Arial"/>
                <w:color w:val="000000"/>
                <w:sz w:val="20"/>
                <w:szCs w:val="20"/>
              </w:rPr>
              <w:t>SFDC Service Cloud application will be configured to use Software AG products for integration to City work order systems. Software AG integration server will be configured to queue messages during a failure.</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2D50D021" w14:textId="2173A1DE" w:rsidR="00D67B4B" w:rsidRPr="00390DFD" w:rsidRDefault="00D67B4B" w:rsidP="00392B0B">
            <w:pPr>
              <w:rPr>
                <w:rFonts w:ascii="Arial" w:hAnsi="Arial" w:cs="Arial"/>
                <w:sz w:val="20"/>
              </w:rPr>
            </w:pPr>
            <w:r>
              <w:rPr>
                <w:rFonts w:ascii="Arial" w:hAnsi="Arial" w:cs="Arial"/>
                <w:b/>
                <w:bCs/>
                <w:color w:val="0000FF"/>
                <w:sz w:val="20"/>
                <w:szCs w:val="20"/>
              </w:rPr>
              <w:t xml:space="preserve">Software AG </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104D3FE2" w14:textId="2BB2414B" w:rsidR="00D67B4B" w:rsidRPr="00621840" w:rsidRDefault="00D67B4B" w:rsidP="00392B0B">
            <w:pPr>
              <w:rPr>
                <w:rFonts w:ascii="Arial" w:hAnsi="Arial" w:cs="Arial"/>
                <w:color w:val="000000"/>
                <w:sz w:val="20"/>
              </w:rPr>
            </w:pPr>
          </w:p>
        </w:tc>
      </w:tr>
      <w:tr w:rsidR="00D67B4B" w:rsidRPr="00621840" w14:paraId="0D85923E"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9F0E11C" w14:textId="6C157340" w:rsidR="00D67B4B" w:rsidRPr="00390DFD" w:rsidRDefault="00D67B4B" w:rsidP="00392B0B">
            <w:pPr>
              <w:jc w:val="center"/>
              <w:rPr>
                <w:rFonts w:ascii="Arial" w:hAnsi="Arial" w:cs="Arial"/>
                <w:sz w:val="20"/>
              </w:rPr>
            </w:pPr>
            <w:r>
              <w:rPr>
                <w:rFonts w:ascii="Arial" w:hAnsi="Arial" w:cs="Arial"/>
                <w:color w:val="000000"/>
                <w:sz w:val="20"/>
                <w:szCs w:val="20"/>
              </w:rPr>
              <w:t>10.02</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68F8CB1B" w14:textId="0DF34189" w:rsidR="00D67B4B" w:rsidRPr="00390DFD" w:rsidRDefault="00D67B4B" w:rsidP="00392B0B">
            <w:pPr>
              <w:rPr>
                <w:rFonts w:ascii="Arial" w:hAnsi="Arial" w:cs="Arial"/>
                <w:sz w:val="20"/>
              </w:rPr>
            </w:pPr>
            <w:r>
              <w:rPr>
                <w:rFonts w:ascii="Arial" w:hAnsi="Arial" w:cs="Arial"/>
                <w:color w:val="000000"/>
                <w:sz w:val="20"/>
                <w:szCs w:val="20"/>
              </w:rPr>
              <w:t>The solution allows sharing of information on issues that require cooperation between different departments and outside agencies such as state or federal agencies, quasi-government agencies, or external firms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94C624" w14:textId="4825CBCF" w:rsidR="00D67B4B" w:rsidRPr="00390DFD" w:rsidRDefault="00D67B4B" w:rsidP="00392B0B">
            <w:pPr>
              <w:jc w:val="center"/>
              <w:rPr>
                <w:rFonts w:ascii="Arial" w:hAnsi="Arial" w:cs="Arial"/>
                <w:sz w:val="20"/>
              </w:rPr>
            </w:pPr>
            <w:r>
              <w:rPr>
                <w:rFonts w:ascii="Arial" w:hAnsi="Arial" w:cs="Arial"/>
                <w:color w:val="000000"/>
                <w:sz w:val="20"/>
                <w:szCs w:val="20"/>
              </w:rPr>
              <w:t>CU</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05822C2C" w14:textId="66997069" w:rsidR="00D67B4B" w:rsidRPr="00D356C3" w:rsidRDefault="00D67B4B" w:rsidP="00392B0B">
            <w:pPr>
              <w:rPr>
                <w:rFonts w:ascii="Arial" w:hAnsi="Arial" w:cs="Arial"/>
                <w:sz w:val="20"/>
              </w:rPr>
            </w:pPr>
            <w:r>
              <w:rPr>
                <w:rFonts w:ascii="Arial" w:hAnsi="Arial" w:cs="Arial"/>
                <w:color w:val="000000"/>
                <w:sz w:val="20"/>
                <w:szCs w:val="20"/>
              </w:rPr>
              <w:t>The different f</w:t>
            </w:r>
            <w:r w:rsidR="00363717">
              <w:rPr>
                <w:rFonts w:ascii="Arial" w:hAnsi="Arial" w:cs="Arial"/>
                <w:color w:val="000000"/>
                <w:sz w:val="20"/>
                <w:szCs w:val="20"/>
              </w:rPr>
              <w:t>eatures offered by Service Clou</w:t>
            </w:r>
            <w:r>
              <w:rPr>
                <w:rFonts w:ascii="Arial" w:hAnsi="Arial" w:cs="Arial"/>
                <w:color w:val="000000"/>
                <w:sz w:val="20"/>
                <w:szCs w:val="20"/>
              </w:rPr>
              <w:t xml:space="preserve">d will be </w:t>
            </w:r>
            <w:proofErr w:type="gramStart"/>
            <w:r>
              <w:rPr>
                <w:rFonts w:ascii="Arial" w:hAnsi="Arial" w:cs="Arial"/>
                <w:color w:val="000000"/>
                <w:sz w:val="20"/>
                <w:szCs w:val="20"/>
              </w:rPr>
              <w:t>configured  to</w:t>
            </w:r>
            <w:proofErr w:type="gramEnd"/>
            <w:r>
              <w:rPr>
                <w:rFonts w:ascii="Arial" w:hAnsi="Arial" w:cs="Arial"/>
                <w:color w:val="000000"/>
                <w:sz w:val="20"/>
                <w:szCs w:val="20"/>
              </w:rPr>
              <w:t xml:space="preserve"> allow sharing of information on issues, including a portal environment to share records, Chatter feature will be configured to allow collaboration around records and business </w:t>
            </w:r>
            <w:r w:rsidR="00363717">
              <w:rPr>
                <w:rFonts w:ascii="Arial" w:hAnsi="Arial" w:cs="Arial"/>
                <w:color w:val="000000"/>
                <w:sz w:val="20"/>
                <w:szCs w:val="20"/>
              </w:rPr>
              <w:t>processes</w:t>
            </w:r>
            <w:r>
              <w:rPr>
                <w:rFonts w:ascii="Arial" w:hAnsi="Arial" w:cs="Arial"/>
                <w:color w:val="000000"/>
                <w:sz w:val="20"/>
                <w:szCs w:val="20"/>
              </w:rPr>
              <w:t>, and integrations to link applications and data together.</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6DE54655" w14:textId="7C8A2F7C" w:rsidR="00D67B4B" w:rsidRPr="00390DFD" w:rsidRDefault="00D67B4B" w:rsidP="00392B0B">
            <w:pPr>
              <w:rPr>
                <w:rFonts w:ascii="Arial" w:hAnsi="Arial" w:cs="Arial"/>
                <w:sz w:val="20"/>
              </w:rPr>
            </w:pPr>
            <w:r>
              <w:rPr>
                <w:rFonts w:ascii="Arial" w:hAnsi="Arial" w:cs="Arial"/>
                <w:color w:val="000000"/>
                <w:sz w:val="20"/>
                <w:szCs w:val="20"/>
              </w:rPr>
              <w:t>SFDC Service Cloud</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0FC82D7B" w14:textId="707F9643" w:rsidR="00D67B4B" w:rsidRPr="00621840" w:rsidRDefault="00D67B4B" w:rsidP="00392B0B">
            <w:pPr>
              <w:rPr>
                <w:rFonts w:ascii="Arial" w:hAnsi="Arial" w:cs="Arial"/>
                <w:color w:val="000000"/>
                <w:sz w:val="20"/>
              </w:rPr>
            </w:pPr>
          </w:p>
        </w:tc>
      </w:tr>
      <w:tr w:rsidR="00D67B4B" w:rsidRPr="00621840" w14:paraId="33619A70"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049766FD" w14:textId="603C5694" w:rsidR="00D67B4B" w:rsidRPr="00390DFD" w:rsidRDefault="00D67B4B" w:rsidP="00392B0B">
            <w:pPr>
              <w:jc w:val="center"/>
              <w:rPr>
                <w:rFonts w:ascii="Arial" w:hAnsi="Arial" w:cs="Arial"/>
                <w:sz w:val="20"/>
              </w:rPr>
            </w:pPr>
            <w:r w:rsidRPr="004357CB">
              <w:rPr>
                <w:rFonts w:ascii="Arial" w:eastAsia="Times New Roman" w:hAnsi="Arial" w:cs="Arial"/>
                <w:sz w:val="20"/>
                <w:szCs w:val="20"/>
              </w:rPr>
              <w:t>10.03</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F56B115" w14:textId="05D2550B" w:rsidR="00D67B4B" w:rsidRPr="00390DFD" w:rsidRDefault="00D67B4B" w:rsidP="00392B0B">
            <w:pPr>
              <w:rPr>
                <w:rFonts w:ascii="Arial" w:hAnsi="Arial" w:cs="Arial"/>
                <w:sz w:val="20"/>
              </w:rPr>
            </w:pPr>
            <w:r w:rsidRPr="004357CB">
              <w:rPr>
                <w:rFonts w:ascii="Arial" w:eastAsia="Times New Roman" w:hAnsi="Arial" w:cs="Arial"/>
                <w:sz w:val="20"/>
                <w:szCs w:val="20"/>
              </w:rPr>
              <w:t xml:space="preserve">The solution provides seamless bi-directional integration to the following systems, that are configurable by the City, including, but not limited to:  Hansen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D43CCE" w14:textId="71154256" w:rsidR="00D67B4B" w:rsidRPr="00390DFD" w:rsidRDefault="00D67B4B" w:rsidP="00392B0B">
            <w:pPr>
              <w:jc w:val="center"/>
              <w:rPr>
                <w:rFonts w:ascii="Arial" w:hAnsi="Arial" w:cs="Arial"/>
                <w:sz w:val="20"/>
              </w:rPr>
            </w:pPr>
            <w:r w:rsidRPr="004357CB">
              <w:rPr>
                <w:rFonts w:ascii="Arial" w:eastAsia="Times New Roman" w:hAnsi="Arial" w:cs="Arial"/>
                <w:sz w:val="20"/>
                <w:szCs w:val="20"/>
              </w:rPr>
              <w:t>TP</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182DA44C" w14:textId="579ED80C" w:rsidR="00D67B4B" w:rsidRPr="00D356C3" w:rsidRDefault="00D67B4B" w:rsidP="00392B0B">
            <w:pPr>
              <w:rPr>
                <w:rFonts w:ascii="Arial" w:hAnsi="Arial" w:cs="Arial"/>
                <w:sz w:val="20"/>
              </w:rPr>
            </w:pPr>
            <w:r w:rsidRPr="004357CB">
              <w:rPr>
                <w:rFonts w:ascii="Arial" w:eastAsia="Times New Roman" w:hAnsi="Arial" w:cs="Arial"/>
                <w:sz w:val="20"/>
                <w:szCs w:val="20"/>
              </w:rPr>
              <w:t>SFDC Service Cloud application will be configured to integrate with Hansen using Software AG integration server hosted within City's premises.</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2A04BC05" w14:textId="03D3397A" w:rsidR="00D67B4B" w:rsidRPr="00390DFD" w:rsidRDefault="00D67B4B" w:rsidP="00392B0B">
            <w:pPr>
              <w:rPr>
                <w:rFonts w:ascii="Arial" w:hAnsi="Arial" w:cs="Arial"/>
                <w:sz w:val="20"/>
              </w:rPr>
            </w:pPr>
            <w:r w:rsidRPr="004357CB">
              <w:rPr>
                <w:rFonts w:ascii="Arial" w:eastAsia="Times New Roman" w:hAnsi="Arial" w:cs="Arial"/>
                <w:b/>
                <w:bCs/>
                <w:color w:val="0000FF"/>
                <w:sz w:val="20"/>
                <w:szCs w:val="20"/>
              </w:rPr>
              <w:t>Software AG</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12ADDF71" w14:textId="77777777" w:rsidR="00D67B4B" w:rsidRPr="00621840" w:rsidRDefault="00D67B4B" w:rsidP="00392B0B">
            <w:pPr>
              <w:rPr>
                <w:rFonts w:ascii="Arial" w:hAnsi="Arial" w:cs="Arial"/>
                <w:color w:val="000000"/>
                <w:sz w:val="20"/>
              </w:rPr>
            </w:pPr>
          </w:p>
        </w:tc>
      </w:tr>
      <w:tr w:rsidR="00D67B4B" w:rsidRPr="00621840" w14:paraId="7E999325"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4F5D4499" w14:textId="08FFB7F1"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10.14</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481D88E8" w14:textId="554047E8" w:rsidR="00D67B4B" w:rsidRPr="004357CB" w:rsidRDefault="00D67B4B" w:rsidP="00392B0B">
            <w:pPr>
              <w:rPr>
                <w:rFonts w:ascii="Arial" w:eastAsia="Times New Roman" w:hAnsi="Arial" w:cs="Arial"/>
                <w:sz w:val="20"/>
                <w:szCs w:val="20"/>
              </w:rPr>
            </w:pPr>
            <w:r>
              <w:rPr>
                <w:rFonts w:ascii="Arial" w:hAnsi="Arial" w:cs="Arial"/>
                <w:color w:val="000000"/>
                <w:sz w:val="20"/>
                <w:szCs w:val="20"/>
              </w:rPr>
              <w:t>The solution provides  public-facing APIs or a web services interfaces, including one that conforms to the Open 311 platform in which the APIs provide control over which fields are offered to the public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1A18A1" w14:textId="1E136155"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CU</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742FA4FD" w14:textId="6889A962" w:rsidR="00D67B4B" w:rsidRPr="004357CB" w:rsidRDefault="00D67B4B" w:rsidP="00392B0B">
            <w:pPr>
              <w:rPr>
                <w:rFonts w:ascii="Arial" w:eastAsia="Times New Roman" w:hAnsi="Arial" w:cs="Arial"/>
                <w:sz w:val="20"/>
                <w:szCs w:val="20"/>
              </w:rPr>
            </w:pPr>
            <w:r>
              <w:rPr>
                <w:rFonts w:ascii="Arial" w:hAnsi="Arial" w:cs="Arial"/>
                <w:color w:val="000000"/>
                <w:sz w:val="20"/>
                <w:szCs w:val="20"/>
              </w:rPr>
              <w:t>SFDC Service Cloud application will be configured to implement this requirement.</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62D96935" w14:textId="0433F497" w:rsidR="00D67B4B" w:rsidRPr="004357CB" w:rsidRDefault="00D67B4B" w:rsidP="00392B0B">
            <w:pPr>
              <w:rPr>
                <w:rFonts w:ascii="Arial" w:eastAsia="Times New Roman" w:hAnsi="Arial" w:cs="Arial"/>
                <w:b/>
                <w:bCs/>
                <w:color w:val="0000FF"/>
                <w:sz w:val="20"/>
                <w:szCs w:val="20"/>
              </w:rPr>
            </w:pPr>
            <w:r>
              <w:rPr>
                <w:rFonts w:ascii="Arial" w:hAnsi="Arial" w:cs="Arial"/>
                <w:color w:val="000000"/>
                <w:sz w:val="20"/>
                <w:szCs w:val="20"/>
              </w:rPr>
              <w:t>SFDC Service Cloud</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49A5F44A" w14:textId="25824A42" w:rsidR="00D67B4B" w:rsidRPr="00621840" w:rsidRDefault="00363717" w:rsidP="00392B0B">
            <w:pPr>
              <w:rPr>
                <w:rFonts w:ascii="Arial" w:hAnsi="Arial" w:cs="Arial"/>
                <w:color w:val="000000"/>
                <w:sz w:val="20"/>
              </w:rPr>
            </w:pPr>
            <w:r>
              <w:rPr>
                <w:rFonts w:ascii="Arial" w:hAnsi="Arial" w:cs="Arial"/>
                <w:color w:val="000000"/>
                <w:sz w:val="20"/>
              </w:rPr>
              <w:t>Hansen does not support Open 311 APIs.  Direct database inserts will be developed.</w:t>
            </w:r>
          </w:p>
        </w:tc>
      </w:tr>
      <w:tr w:rsidR="00D67B4B" w:rsidRPr="00621840" w14:paraId="03548B68"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F114AEB" w14:textId="583AEC1E"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lastRenderedPageBreak/>
              <w:t>10.15</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1573FEE7" w14:textId="54358D80" w:rsidR="00D67B4B" w:rsidRPr="004357CB" w:rsidRDefault="00D67B4B" w:rsidP="00392B0B">
            <w:pPr>
              <w:rPr>
                <w:rFonts w:ascii="Arial" w:eastAsia="Times New Roman" w:hAnsi="Arial" w:cs="Arial"/>
                <w:sz w:val="20"/>
                <w:szCs w:val="20"/>
              </w:rPr>
            </w:pPr>
            <w:r>
              <w:rPr>
                <w:rFonts w:ascii="Arial" w:hAnsi="Arial" w:cs="Arial"/>
                <w:color w:val="000000"/>
                <w:sz w:val="20"/>
                <w:szCs w:val="20"/>
              </w:rPr>
              <w:t xml:space="preserve">The solution </w:t>
            </w:r>
            <w:r w:rsidR="00363717">
              <w:rPr>
                <w:rFonts w:ascii="Arial" w:hAnsi="Arial" w:cs="Arial"/>
                <w:color w:val="000000"/>
                <w:sz w:val="20"/>
                <w:szCs w:val="20"/>
              </w:rPr>
              <w:t>provides APIs</w:t>
            </w:r>
            <w:r>
              <w:rPr>
                <w:rFonts w:ascii="Arial" w:hAnsi="Arial" w:cs="Arial"/>
                <w:color w:val="000000"/>
                <w:sz w:val="20"/>
                <w:szCs w:val="20"/>
              </w:rPr>
              <w:t xml:space="preserve"> or a web services interface only accessible by City users. Internal-facing APIs should include more fields than are used via the public-facing API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69C1E" w14:textId="5F0DDC6F"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TP</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7E9FE736" w14:textId="31CE6C36" w:rsidR="00D67B4B" w:rsidRPr="004357CB" w:rsidRDefault="00D67B4B" w:rsidP="00392B0B">
            <w:pPr>
              <w:rPr>
                <w:rFonts w:ascii="Arial" w:eastAsia="Times New Roman" w:hAnsi="Arial" w:cs="Arial"/>
                <w:sz w:val="20"/>
                <w:szCs w:val="20"/>
              </w:rPr>
            </w:pPr>
            <w:r>
              <w:rPr>
                <w:rFonts w:ascii="Arial" w:hAnsi="Arial" w:cs="Arial"/>
                <w:color w:val="000000"/>
                <w:sz w:val="20"/>
                <w:szCs w:val="20"/>
              </w:rPr>
              <w:t>SFDC Service Cloud application will be configured to implement this requirement using City's Software AG integration platform.</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57760B49" w14:textId="571A1DF2" w:rsidR="00D67B4B" w:rsidRPr="004357CB" w:rsidRDefault="00D67B4B" w:rsidP="00392B0B">
            <w:pPr>
              <w:rPr>
                <w:rFonts w:ascii="Arial" w:eastAsia="Times New Roman" w:hAnsi="Arial" w:cs="Arial"/>
                <w:b/>
                <w:bCs/>
                <w:color w:val="0000FF"/>
                <w:sz w:val="20"/>
                <w:szCs w:val="20"/>
              </w:rPr>
            </w:pPr>
            <w:r>
              <w:rPr>
                <w:rFonts w:ascii="Arial" w:hAnsi="Arial" w:cs="Arial"/>
                <w:b/>
                <w:bCs/>
                <w:color w:val="0000FF"/>
                <w:sz w:val="20"/>
                <w:szCs w:val="20"/>
              </w:rPr>
              <w:t xml:space="preserve">Software AG </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669BD558" w14:textId="77777777" w:rsidR="00D67B4B" w:rsidRPr="00621840" w:rsidRDefault="00D67B4B" w:rsidP="00392B0B">
            <w:pPr>
              <w:rPr>
                <w:rFonts w:ascii="Arial" w:hAnsi="Arial" w:cs="Arial"/>
                <w:color w:val="000000"/>
                <w:sz w:val="20"/>
              </w:rPr>
            </w:pPr>
          </w:p>
        </w:tc>
      </w:tr>
      <w:tr w:rsidR="00D67B4B" w:rsidRPr="00621840" w14:paraId="58586FCF"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9D7ED38" w14:textId="1FFBADF3"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10.16</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BB44EF1" w14:textId="154CFF5F" w:rsidR="00D67B4B" w:rsidRPr="004357CB" w:rsidRDefault="00D67B4B" w:rsidP="00392B0B">
            <w:pPr>
              <w:rPr>
                <w:rFonts w:ascii="Arial" w:eastAsia="Times New Roman" w:hAnsi="Arial" w:cs="Arial"/>
                <w:sz w:val="20"/>
                <w:szCs w:val="20"/>
              </w:rPr>
            </w:pPr>
            <w:r>
              <w:rPr>
                <w:rFonts w:ascii="Arial" w:hAnsi="Arial" w:cs="Arial"/>
                <w:color w:val="000000"/>
                <w:sz w:val="20"/>
                <w:szCs w:val="20"/>
              </w:rPr>
              <w:t>The solution provides the ability to write to an API as defined by the City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4545F9" w14:textId="45EDACEA"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CU</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5F9A33CD" w14:textId="4A0F58D6" w:rsidR="00D67B4B" w:rsidRPr="004357CB" w:rsidRDefault="00D67B4B" w:rsidP="00392B0B">
            <w:pPr>
              <w:rPr>
                <w:rFonts w:ascii="Arial" w:eastAsia="Times New Roman" w:hAnsi="Arial" w:cs="Arial"/>
                <w:sz w:val="20"/>
                <w:szCs w:val="20"/>
              </w:rPr>
            </w:pPr>
            <w:r>
              <w:rPr>
                <w:rFonts w:ascii="Arial" w:hAnsi="Arial" w:cs="Arial"/>
                <w:color w:val="000000"/>
                <w:sz w:val="20"/>
                <w:szCs w:val="20"/>
              </w:rPr>
              <w:t>SFDC Service Cloud application will be configured to implement this requirement using City's Software AG integration platform.</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39C23137" w14:textId="49CFDCB0" w:rsidR="00D67B4B" w:rsidRPr="004357CB" w:rsidRDefault="00D67B4B" w:rsidP="00392B0B">
            <w:pPr>
              <w:rPr>
                <w:rFonts w:ascii="Arial" w:eastAsia="Times New Roman" w:hAnsi="Arial" w:cs="Arial"/>
                <w:b/>
                <w:bCs/>
                <w:color w:val="0000FF"/>
                <w:sz w:val="20"/>
                <w:szCs w:val="20"/>
              </w:rPr>
            </w:pPr>
            <w:r>
              <w:rPr>
                <w:rFonts w:ascii="Arial" w:hAnsi="Arial" w:cs="Arial"/>
                <w:b/>
                <w:bCs/>
                <w:color w:val="0000FF"/>
                <w:sz w:val="20"/>
                <w:szCs w:val="20"/>
              </w:rPr>
              <w:t xml:space="preserve">Software AG </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69E6DA7A" w14:textId="77777777" w:rsidR="00D67B4B" w:rsidRPr="00621840" w:rsidRDefault="00D67B4B" w:rsidP="00392B0B">
            <w:pPr>
              <w:rPr>
                <w:rFonts w:ascii="Arial" w:hAnsi="Arial" w:cs="Arial"/>
                <w:color w:val="000000"/>
                <w:sz w:val="20"/>
              </w:rPr>
            </w:pPr>
          </w:p>
        </w:tc>
      </w:tr>
      <w:tr w:rsidR="00D67B4B" w:rsidRPr="00621840" w14:paraId="18849631" w14:textId="77777777" w:rsidTr="00C2054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58C4CAC" w14:textId="465228B3"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10.17</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62663CD9" w14:textId="58F02FEB" w:rsidR="00D67B4B" w:rsidRPr="004357CB" w:rsidRDefault="00D67B4B" w:rsidP="00392B0B">
            <w:pPr>
              <w:rPr>
                <w:rFonts w:ascii="Arial" w:eastAsia="Times New Roman" w:hAnsi="Arial" w:cs="Arial"/>
                <w:sz w:val="20"/>
                <w:szCs w:val="20"/>
              </w:rPr>
            </w:pPr>
            <w:r>
              <w:rPr>
                <w:rFonts w:ascii="Arial" w:hAnsi="Arial" w:cs="Arial"/>
                <w:color w:val="000000"/>
                <w:sz w:val="20"/>
                <w:szCs w:val="20"/>
              </w:rPr>
              <w:t xml:space="preserve">The software provides the ability for a map service to interface location data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392CEC" w14:textId="116B42DC" w:rsidR="00D67B4B" w:rsidRPr="004357CB" w:rsidRDefault="00D67B4B" w:rsidP="00392B0B">
            <w:pPr>
              <w:jc w:val="center"/>
              <w:rPr>
                <w:rFonts w:ascii="Arial" w:eastAsia="Times New Roman" w:hAnsi="Arial" w:cs="Arial"/>
                <w:sz w:val="20"/>
                <w:szCs w:val="20"/>
              </w:rPr>
            </w:pPr>
            <w:r>
              <w:rPr>
                <w:rFonts w:ascii="Arial" w:hAnsi="Arial" w:cs="Arial"/>
                <w:color w:val="000000"/>
                <w:sz w:val="20"/>
                <w:szCs w:val="20"/>
              </w:rPr>
              <w:t>CU</w:t>
            </w:r>
          </w:p>
        </w:tc>
        <w:tc>
          <w:tcPr>
            <w:tcW w:w="6942" w:type="dxa"/>
            <w:tcBorders>
              <w:top w:val="single" w:sz="4" w:space="0" w:color="auto"/>
              <w:left w:val="single" w:sz="4" w:space="0" w:color="auto"/>
              <w:bottom w:val="single" w:sz="4" w:space="0" w:color="auto"/>
              <w:right w:val="single" w:sz="4" w:space="0" w:color="auto"/>
            </w:tcBorders>
            <w:shd w:val="clear" w:color="auto" w:fill="auto"/>
          </w:tcPr>
          <w:p w14:paraId="377D1647" w14:textId="5AF0A865" w:rsidR="00D67B4B" w:rsidRPr="004357CB" w:rsidRDefault="00D67B4B" w:rsidP="00392B0B">
            <w:pPr>
              <w:rPr>
                <w:rFonts w:ascii="Arial" w:eastAsia="Times New Roman" w:hAnsi="Arial" w:cs="Arial"/>
                <w:sz w:val="20"/>
                <w:szCs w:val="20"/>
              </w:rPr>
            </w:pPr>
            <w:r>
              <w:rPr>
                <w:rFonts w:ascii="Arial" w:hAnsi="Arial" w:cs="Arial"/>
                <w:color w:val="000000"/>
                <w:sz w:val="20"/>
                <w:szCs w:val="20"/>
              </w:rPr>
              <w:t xml:space="preserve">SFDC Service Cloud application will be configured to integrate with </w:t>
            </w:r>
            <w:proofErr w:type="spellStart"/>
            <w:r>
              <w:rPr>
                <w:rFonts w:ascii="Arial" w:hAnsi="Arial" w:cs="Arial"/>
                <w:color w:val="000000"/>
                <w:sz w:val="20"/>
                <w:szCs w:val="20"/>
              </w:rPr>
              <w:t>Esri</w:t>
            </w:r>
            <w:proofErr w:type="spellEnd"/>
            <w:r>
              <w:rPr>
                <w:rFonts w:ascii="Arial" w:hAnsi="Arial" w:cs="Arial"/>
                <w:color w:val="000000"/>
                <w:sz w:val="20"/>
                <w:szCs w:val="20"/>
              </w:rPr>
              <w:t xml:space="preserve"> ArcGIS Server using SFDC web service API's to provide location data.</w:t>
            </w:r>
          </w:p>
        </w:tc>
        <w:tc>
          <w:tcPr>
            <w:tcW w:w="1294" w:type="dxa"/>
            <w:tcBorders>
              <w:top w:val="single" w:sz="4" w:space="0" w:color="auto"/>
              <w:left w:val="single" w:sz="4" w:space="0" w:color="auto"/>
              <w:bottom w:val="single" w:sz="4" w:space="0" w:color="auto"/>
              <w:right w:val="single" w:sz="4" w:space="0" w:color="FFFFFF"/>
            </w:tcBorders>
            <w:shd w:val="clear" w:color="auto" w:fill="auto"/>
          </w:tcPr>
          <w:p w14:paraId="54CC72A4" w14:textId="5D79068D" w:rsidR="00D67B4B" w:rsidRPr="004357CB" w:rsidRDefault="00D67B4B" w:rsidP="00392B0B">
            <w:pPr>
              <w:rPr>
                <w:rFonts w:ascii="Arial" w:eastAsia="Times New Roman" w:hAnsi="Arial" w:cs="Arial"/>
                <w:b/>
                <w:bCs/>
                <w:color w:val="0000FF"/>
                <w:sz w:val="20"/>
                <w:szCs w:val="20"/>
              </w:rPr>
            </w:pPr>
            <w:r>
              <w:rPr>
                <w:rFonts w:ascii="Arial" w:hAnsi="Arial" w:cs="Arial"/>
                <w:color w:val="000000"/>
                <w:sz w:val="20"/>
                <w:szCs w:val="20"/>
              </w:rPr>
              <w:t>SFDC Service Cloud</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4256D70B" w14:textId="77777777" w:rsidR="00D67B4B" w:rsidRPr="00621840" w:rsidRDefault="00D67B4B" w:rsidP="00392B0B">
            <w:pPr>
              <w:rPr>
                <w:rFonts w:ascii="Arial" w:hAnsi="Arial" w:cs="Arial"/>
                <w:color w:val="000000"/>
                <w:sz w:val="20"/>
              </w:rPr>
            </w:pPr>
          </w:p>
        </w:tc>
      </w:tr>
    </w:tbl>
    <w:p w14:paraId="326D45C7" w14:textId="77777777" w:rsidR="00D81EC3" w:rsidRDefault="00D81EC3" w:rsidP="00D81EC3"/>
    <w:sectPr w:rsidR="00D81EC3"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55D42" w14:textId="77777777" w:rsidR="00343D31" w:rsidRDefault="00343D31" w:rsidP="00013394">
      <w:pPr>
        <w:spacing w:after="0" w:line="240" w:lineRule="auto"/>
      </w:pPr>
      <w:r>
        <w:separator/>
      </w:r>
    </w:p>
  </w:endnote>
  <w:endnote w:type="continuationSeparator" w:id="0">
    <w:p w14:paraId="6FCBF6F4" w14:textId="77777777" w:rsidR="00343D31" w:rsidRDefault="00343D31"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11E2DEB7" w14:textId="77777777">
      <w:trPr>
        <w:trHeight w:val="151"/>
      </w:trPr>
      <w:tc>
        <w:tcPr>
          <w:tcW w:w="2250" w:type="pct"/>
          <w:tcBorders>
            <w:bottom w:val="single" w:sz="4" w:space="0" w:color="4F81BD" w:themeColor="accent1"/>
          </w:tcBorders>
        </w:tcPr>
        <w:p w14:paraId="11E2DEB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1E2DEB5"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33C5A" w:rsidRPr="00D33C5A">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1E2DEB6" w14:textId="77777777" w:rsidR="00972999" w:rsidRDefault="00972999">
          <w:pPr>
            <w:pStyle w:val="Header"/>
            <w:rPr>
              <w:rFonts w:asciiTheme="majorHAnsi" w:eastAsiaTheme="majorEastAsia" w:hAnsiTheme="majorHAnsi" w:cstheme="majorBidi"/>
              <w:b/>
              <w:bCs/>
            </w:rPr>
          </w:pPr>
        </w:p>
      </w:tc>
    </w:tr>
    <w:tr w:rsidR="00972999" w14:paraId="11E2DEBB" w14:textId="77777777">
      <w:trPr>
        <w:trHeight w:val="150"/>
      </w:trPr>
      <w:tc>
        <w:tcPr>
          <w:tcW w:w="2250" w:type="pct"/>
          <w:tcBorders>
            <w:top w:val="single" w:sz="4" w:space="0" w:color="4F81BD" w:themeColor="accent1"/>
          </w:tcBorders>
        </w:tcPr>
        <w:p w14:paraId="11E2DEB8" w14:textId="77777777" w:rsidR="00972999" w:rsidRDefault="00972999">
          <w:pPr>
            <w:pStyle w:val="Header"/>
            <w:rPr>
              <w:rFonts w:asciiTheme="majorHAnsi" w:eastAsiaTheme="majorEastAsia" w:hAnsiTheme="majorHAnsi" w:cstheme="majorBidi"/>
              <w:b/>
              <w:bCs/>
            </w:rPr>
          </w:pPr>
        </w:p>
      </w:tc>
      <w:tc>
        <w:tcPr>
          <w:tcW w:w="500" w:type="pct"/>
          <w:vMerge/>
        </w:tcPr>
        <w:p w14:paraId="11E2DEB9"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E2DEBA" w14:textId="77777777" w:rsidR="00972999" w:rsidRDefault="00972999">
          <w:pPr>
            <w:pStyle w:val="Header"/>
            <w:rPr>
              <w:rFonts w:asciiTheme="majorHAnsi" w:eastAsiaTheme="majorEastAsia" w:hAnsiTheme="majorHAnsi" w:cstheme="majorBidi"/>
              <w:b/>
              <w:bCs/>
            </w:rPr>
          </w:pPr>
        </w:p>
      </w:tc>
    </w:tr>
  </w:tbl>
  <w:p w14:paraId="11E2DE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210E0" w14:textId="77777777" w:rsidR="00343D31" w:rsidRDefault="00343D31" w:rsidP="00013394">
      <w:pPr>
        <w:spacing w:after="0" w:line="240" w:lineRule="auto"/>
      </w:pPr>
      <w:r>
        <w:separator/>
      </w:r>
    </w:p>
  </w:footnote>
  <w:footnote w:type="continuationSeparator" w:id="0">
    <w:p w14:paraId="31A3520D" w14:textId="77777777" w:rsidR="00343D31" w:rsidRDefault="00343D31"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2DEB1" w14:textId="279B4785"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proofErr w:type="spellStart"/>
    <w:r w:rsidR="00D81EC3">
      <w:rPr>
        <w:rFonts w:asciiTheme="majorHAnsi" w:eastAsiaTheme="majorEastAsia" w:hAnsiTheme="majorHAnsi" w:cstheme="majorBidi"/>
        <w:b/>
        <w:sz w:val="32"/>
        <w:szCs w:val="32"/>
      </w:rPr>
      <w:t>PhillyRising</w:t>
    </w:r>
    <w:proofErr w:type="spellEnd"/>
    <w:r w:rsidR="00D81EC3">
      <w:rPr>
        <w:rFonts w:asciiTheme="majorHAnsi" w:eastAsiaTheme="majorEastAsia" w:hAnsiTheme="majorHAnsi" w:cstheme="majorBidi"/>
        <w:b/>
        <w:sz w:val="32"/>
        <w:szCs w:val="32"/>
      </w:rPr>
      <w:t xml:space="preserve"> </w:t>
    </w:r>
    <w:r w:rsidR="001C0BAB">
      <w:rPr>
        <w:rFonts w:asciiTheme="majorHAnsi" w:eastAsiaTheme="majorEastAsia" w:hAnsiTheme="majorHAnsi" w:cstheme="majorBidi"/>
        <w:b/>
        <w:sz w:val="32"/>
        <w:szCs w:val="32"/>
      </w:rPr>
      <w:t>Hansen Integration</w:t>
    </w:r>
  </w:p>
  <w:p w14:paraId="11E2DEB2"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1E2DEB3"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37B"/>
    <w:multiLevelType w:val="hybridMultilevel"/>
    <w:tmpl w:val="995C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82BD8"/>
    <w:multiLevelType w:val="hybridMultilevel"/>
    <w:tmpl w:val="7D30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31DE"/>
    <w:multiLevelType w:val="hybridMultilevel"/>
    <w:tmpl w:val="A454B7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486C3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91A7E"/>
    <w:multiLevelType w:val="hybridMultilevel"/>
    <w:tmpl w:val="3740F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241D9"/>
    <w:multiLevelType w:val="hybridMultilevel"/>
    <w:tmpl w:val="CFF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D22CC"/>
    <w:multiLevelType w:val="hybridMultilevel"/>
    <w:tmpl w:val="2A0446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F61519"/>
    <w:multiLevelType w:val="hybridMultilevel"/>
    <w:tmpl w:val="4452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nsid w:val="36477894"/>
    <w:multiLevelType w:val="hybridMultilevel"/>
    <w:tmpl w:val="0ACC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805BC"/>
    <w:multiLevelType w:val="hybridMultilevel"/>
    <w:tmpl w:val="5D145CFA"/>
    <w:lvl w:ilvl="0" w:tplc="C63A2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46D36"/>
    <w:multiLevelType w:val="hybridMultilevel"/>
    <w:tmpl w:val="6B52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A57E69"/>
    <w:multiLevelType w:val="hybridMultilevel"/>
    <w:tmpl w:val="AED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F4105"/>
    <w:multiLevelType w:val="hybridMultilevel"/>
    <w:tmpl w:val="4B5A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F70F39"/>
    <w:multiLevelType w:val="hybridMultilevel"/>
    <w:tmpl w:val="8362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377177"/>
    <w:multiLevelType w:val="hybridMultilevel"/>
    <w:tmpl w:val="4E4E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45E8F"/>
    <w:multiLevelType w:val="hybridMultilevel"/>
    <w:tmpl w:val="CCC43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4C088E"/>
    <w:multiLevelType w:val="hybridMultilevel"/>
    <w:tmpl w:val="C1D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154B3"/>
    <w:multiLevelType w:val="hybridMultilevel"/>
    <w:tmpl w:val="18BAF214"/>
    <w:lvl w:ilvl="0" w:tplc="0409000F">
      <w:start w:val="1"/>
      <w:numFmt w:val="decimal"/>
      <w:lvlText w:val="%1."/>
      <w:lvlJc w:val="left"/>
      <w:pPr>
        <w:tabs>
          <w:tab w:val="num" w:pos="720"/>
        </w:tabs>
        <w:ind w:left="720" w:hanging="360"/>
      </w:pPr>
      <w:rPr>
        <w:rFonts w:hint="default"/>
      </w:rPr>
    </w:lvl>
    <w:lvl w:ilvl="1" w:tplc="47748C1E">
      <w:start w:val="5"/>
      <w:numFmt w:val="decimal"/>
      <w:lvlText w:val="%2"/>
      <w:lvlJc w:val="left"/>
      <w:pPr>
        <w:tabs>
          <w:tab w:val="num" w:pos="-360"/>
        </w:tabs>
        <w:ind w:left="-360" w:hanging="720"/>
      </w:pPr>
      <w:rPr>
        <w:rFonts w:ascii="Arial" w:hAnsi="Arial"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rPr>
        <w:rFonts w:hint="default"/>
      </w:rPr>
    </w:lvl>
    <w:lvl w:ilvl="4" w:tplc="04090019">
      <w:start w:val="1"/>
      <w:numFmt w:val="lowerLetter"/>
      <w:lvlText w:val="%5."/>
      <w:lvlJc w:val="left"/>
      <w:pPr>
        <w:tabs>
          <w:tab w:val="num" w:pos="1440"/>
        </w:tabs>
        <w:ind w:left="1440" w:hanging="360"/>
      </w:pPr>
    </w:lvl>
    <w:lvl w:ilvl="5" w:tplc="0409001B">
      <w:start w:val="1"/>
      <w:numFmt w:val="lowerRoman"/>
      <w:lvlText w:val="%6."/>
      <w:lvlJc w:val="right"/>
      <w:pPr>
        <w:tabs>
          <w:tab w:val="num" w:pos="2160"/>
        </w:tabs>
        <w:ind w:left="2160" w:hanging="180"/>
      </w:pPr>
    </w:lvl>
    <w:lvl w:ilvl="6" w:tplc="33F49A86">
      <w:start w:val="1"/>
      <w:numFmt w:val="bullet"/>
      <w:lvlText w:val=""/>
      <w:legacy w:legacy="1" w:legacySpace="360" w:legacyIndent="360"/>
      <w:lvlJc w:val="left"/>
      <w:pPr>
        <w:ind w:left="2880" w:hanging="360"/>
      </w:pPr>
      <w:rPr>
        <w:rFonts w:ascii="Symbol" w:hAnsi="Symbol" w:hint="default"/>
      </w:r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0">
    <w:nsid w:val="7047328B"/>
    <w:multiLevelType w:val="hybridMultilevel"/>
    <w:tmpl w:val="90C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561E62"/>
    <w:multiLevelType w:val="hybridMultilevel"/>
    <w:tmpl w:val="A55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3C1CE3"/>
    <w:multiLevelType w:val="hybridMultilevel"/>
    <w:tmpl w:val="BB3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6E05AF"/>
    <w:multiLevelType w:val="hybridMultilevel"/>
    <w:tmpl w:val="E11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0"/>
  </w:num>
  <w:num w:numId="4">
    <w:abstractNumId w:val="8"/>
  </w:num>
  <w:num w:numId="5">
    <w:abstractNumId w:val="20"/>
  </w:num>
  <w:num w:numId="6">
    <w:abstractNumId w:val="6"/>
  </w:num>
  <w:num w:numId="7">
    <w:abstractNumId w:val="22"/>
  </w:num>
  <w:num w:numId="8">
    <w:abstractNumId w:val="21"/>
  </w:num>
  <w:num w:numId="9">
    <w:abstractNumId w:val="14"/>
  </w:num>
  <w:num w:numId="10">
    <w:abstractNumId w:val="23"/>
  </w:num>
  <w:num w:numId="11">
    <w:abstractNumId w:val="13"/>
  </w:num>
  <w:num w:numId="12">
    <w:abstractNumId w:val="16"/>
  </w:num>
  <w:num w:numId="13">
    <w:abstractNumId w:val="5"/>
  </w:num>
  <w:num w:numId="14">
    <w:abstractNumId w:val="4"/>
  </w:num>
  <w:num w:numId="15">
    <w:abstractNumId w:val="0"/>
  </w:num>
  <w:num w:numId="16">
    <w:abstractNumId w:val="19"/>
  </w:num>
  <w:num w:numId="17">
    <w:abstractNumId w:val="3"/>
  </w:num>
  <w:num w:numId="18">
    <w:abstractNumId w:val="17"/>
  </w:num>
  <w:num w:numId="19">
    <w:abstractNumId w:val="12"/>
  </w:num>
  <w:num w:numId="20">
    <w:abstractNumId w:val="15"/>
  </w:num>
  <w:num w:numId="21">
    <w:abstractNumId w:val="2"/>
  </w:num>
  <w:num w:numId="22">
    <w:abstractNumId w:val="11"/>
  </w:num>
  <w:num w:numId="23">
    <w:abstractNumId w:val="7"/>
  </w:num>
  <w:num w:numId="24">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4FA1"/>
    <w:rsid w:val="0001587C"/>
    <w:rsid w:val="0002055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63619"/>
    <w:rsid w:val="001850F7"/>
    <w:rsid w:val="00195DF6"/>
    <w:rsid w:val="001B5953"/>
    <w:rsid w:val="001C0BAB"/>
    <w:rsid w:val="001C3E81"/>
    <w:rsid w:val="001C4304"/>
    <w:rsid w:val="001D3347"/>
    <w:rsid w:val="001D6F31"/>
    <w:rsid w:val="001E1205"/>
    <w:rsid w:val="001E2122"/>
    <w:rsid w:val="001E3B62"/>
    <w:rsid w:val="001F41DB"/>
    <w:rsid w:val="00202D32"/>
    <w:rsid w:val="00211BC9"/>
    <w:rsid w:val="00211DB6"/>
    <w:rsid w:val="002120AD"/>
    <w:rsid w:val="002121EB"/>
    <w:rsid w:val="002157D7"/>
    <w:rsid w:val="00217A33"/>
    <w:rsid w:val="0022763A"/>
    <w:rsid w:val="00233F79"/>
    <w:rsid w:val="0023580A"/>
    <w:rsid w:val="002829A8"/>
    <w:rsid w:val="002855EF"/>
    <w:rsid w:val="00286CB8"/>
    <w:rsid w:val="002A36BF"/>
    <w:rsid w:val="002A4CC2"/>
    <w:rsid w:val="002B1474"/>
    <w:rsid w:val="002C5667"/>
    <w:rsid w:val="002D254B"/>
    <w:rsid w:val="002F2245"/>
    <w:rsid w:val="002F4463"/>
    <w:rsid w:val="003174AC"/>
    <w:rsid w:val="00326DC6"/>
    <w:rsid w:val="00332B87"/>
    <w:rsid w:val="00334C97"/>
    <w:rsid w:val="00343D31"/>
    <w:rsid w:val="00363717"/>
    <w:rsid w:val="00390039"/>
    <w:rsid w:val="003A022B"/>
    <w:rsid w:val="003A3160"/>
    <w:rsid w:val="003A3F04"/>
    <w:rsid w:val="003A5304"/>
    <w:rsid w:val="003B2D92"/>
    <w:rsid w:val="003B3297"/>
    <w:rsid w:val="003B3FA9"/>
    <w:rsid w:val="003C7F1E"/>
    <w:rsid w:val="003D172A"/>
    <w:rsid w:val="003D5C0A"/>
    <w:rsid w:val="003E779A"/>
    <w:rsid w:val="003F3BCE"/>
    <w:rsid w:val="0040628F"/>
    <w:rsid w:val="004074B1"/>
    <w:rsid w:val="004108CD"/>
    <w:rsid w:val="00420476"/>
    <w:rsid w:val="004236FD"/>
    <w:rsid w:val="004374E9"/>
    <w:rsid w:val="0044046E"/>
    <w:rsid w:val="00443DDB"/>
    <w:rsid w:val="0044558F"/>
    <w:rsid w:val="004469D0"/>
    <w:rsid w:val="00457F27"/>
    <w:rsid w:val="00465921"/>
    <w:rsid w:val="00477531"/>
    <w:rsid w:val="00477F37"/>
    <w:rsid w:val="00495D40"/>
    <w:rsid w:val="004A1D08"/>
    <w:rsid w:val="004B0A61"/>
    <w:rsid w:val="004C2CAB"/>
    <w:rsid w:val="004D0D9C"/>
    <w:rsid w:val="004D6244"/>
    <w:rsid w:val="004E0F3C"/>
    <w:rsid w:val="004E173F"/>
    <w:rsid w:val="004E5A96"/>
    <w:rsid w:val="004F0015"/>
    <w:rsid w:val="005011BB"/>
    <w:rsid w:val="00545C66"/>
    <w:rsid w:val="005555BE"/>
    <w:rsid w:val="00563DBF"/>
    <w:rsid w:val="00565541"/>
    <w:rsid w:val="00570DE6"/>
    <w:rsid w:val="005722D8"/>
    <w:rsid w:val="005725D1"/>
    <w:rsid w:val="005845E0"/>
    <w:rsid w:val="00594C14"/>
    <w:rsid w:val="005970FB"/>
    <w:rsid w:val="005C1B26"/>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658E6"/>
    <w:rsid w:val="00666A19"/>
    <w:rsid w:val="00683B13"/>
    <w:rsid w:val="006855B6"/>
    <w:rsid w:val="00687AD7"/>
    <w:rsid w:val="00694917"/>
    <w:rsid w:val="006A57B0"/>
    <w:rsid w:val="006A67CF"/>
    <w:rsid w:val="006B4627"/>
    <w:rsid w:val="006C39BC"/>
    <w:rsid w:val="006E1214"/>
    <w:rsid w:val="006E31D8"/>
    <w:rsid w:val="007067B4"/>
    <w:rsid w:val="00712D8B"/>
    <w:rsid w:val="0073642E"/>
    <w:rsid w:val="0073716B"/>
    <w:rsid w:val="00751480"/>
    <w:rsid w:val="00763321"/>
    <w:rsid w:val="007874B0"/>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A39D2"/>
    <w:rsid w:val="008B4B15"/>
    <w:rsid w:val="008B702D"/>
    <w:rsid w:val="008D0A72"/>
    <w:rsid w:val="008D3520"/>
    <w:rsid w:val="008D7428"/>
    <w:rsid w:val="008F42AC"/>
    <w:rsid w:val="00902E7D"/>
    <w:rsid w:val="00907136"/>
    <w:rsid w:val="0091450E"/>
    <w:rsid w:val="00914AD3"/>
    <w:rsid w:val="009173F7"/>
    <w:rsid w:val="009277A8"/>
    <w:rsid w:val="00935D0B"/>
    <w:rsid w:val="00941C56"/>
    <w:rsid w:val="00941D2E"/>
    <w:rsid w:val="00957958"/>
    <w:rsid w:val="00972999"/>
    <w:rsid w:val="009941D1"/>
    <w:rsid w:val="009B65CC"/>
    <w:rsid w:val="009C0B46"/>
    <w:rsid w:val="009E26D6"/>
    <w:rsid w:val="009F0D4B"/>
    <w:rsid w:val="00A04911"/>
    <w:rsid w:val="00A15062"/>
    <w:rsid w:val="00A163B5"/>
    <w:rsid w:val="00A20D09"/>
    <w:rsid w:val="00A329BE"/>
    <w:rsid w:val="00A335FA"/>
    <w:rsid w:val="00A45ADC"/>
    <w:rsid w:val="00A47DB8"/>
    <w:rsid w:val="00A513B4"/>
    <w:rsid w:val="00A6166F"/>
    <w:rsid w:val="00A61D49"/>
    <w:rsid w:val="00A65BD7"/>
    <w:rsid w:val="00A6782B"/>
    <w:rsid w:val="00A711AC"/>
    <w:rsid w:val="00A72217"/>
    <w:rsid w:val="00A75DE7"/>
    <w:rsid w:val="00A87E12"/>
    <w:rsid w:val="00AC2258"/>
    <w:rsid w:val="00AC3FD9"/>
    <w:rsid w:val="00AD70B2"/>
    <w:rsid w:val="00AD7F8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4F99"/>
    <w:rsid w:val="00BF5BAA"/>
    <w:rsid w:val="00BF6106"/>
    <w:rsid w:val="00C02A0A"/>
    <w:rsid w:val="00C163A8"/>
    <w:rsid w:val="00C2054A"/>
    <w:rsid w:val="00C2078C"/>
    <w:rsid w:val="00C33D41"/>
    <w:rsid w:val="00C51C66"/>
    <w:rsid w:val="00C57743"/>
    <w:rsid w:val="00C57D9B"/>
    <w:rsid w:val="00C62DE0"/>
    <w:rsid w:val="00C67224"/>
    <w:rsid w:val="00C7575A"/>
    <w:rsid w:val="00C82BBD"/>
    <w:rsid w:val="00CA369A"/>
    <w:rsid w:val="00CA6A74"/>
    <w:rsid w:val="00CB0185"/>
    <w:rsid w:val="00CB01F5"/>
    <w:rsid w:val="00CB2F71"/>
    <w:rsid w:val="00CB59BC"/>
    <w:rsid w:val="00CC11B5"/>
    <w:rsid w:val="00CC36F8"/>
    <w:rsid w:val="00CC53E7"/>
    <w:rsid w:val="00CE00DB"/>
    <w:rsid w:val="00CE34C7"/>
    <w:rsid w:val="00CF23A5"/>
    <w:rsid w:val="00CF46F9"/>
    <w:rsid w:val="00CF68E6"/>
    <w:rsid w:val="00D0141F"/>
    <w:rsid w:val="00D0189E"/>
    <w:rsid w:val="00D1011D"/>
    <w:rsid w:val="00D11114"/>
    <w:rsid w:val="00D2775E"/>
    <w:rsid w:val="00D31251"/>
    <w:rsid w:val="00D33C5A"/>
    <w:rsid w:val="00D356C3"/>
    <w:rsid w:val="00D57C12"/>
    <w:rsid w:val="00D62128"/>
    <w:rsid w:val="00D67B4B"/>
    <w:rsid w:val="00D73EF9"/>
    <w:rsid w:val="00D81EC3"/>
    <w:rsid w:val="00D917BC"/>
    <w:rsid w:val="00DA10C1"/>
    <w:rsid w:val="00DA2806"/>
    <w:rsid w:val="00DC3E93"/>
    <w:rsid w:val="00DC7277"/>
    <w:rsid w:val="00E07B2E"/>
    <w:rsid w:val="00E227DF"/>
    <w:rsid w:val="00E22FBD"/>
    <w:rsid w:val="00E36764"/>
    <w:rsid w:val="00E407B9"/>
    <w:rsid w:val="00E42329"/>
    <w:rsid w:val="00E50BC2"/>
    <w:rsid w:val="00E66CAC"/>
    <w:rsid w:val="00E801E0"/>
    <w:rsid w:val="00E91859"/>
    <w:rsid w:val="00EA50C6"/>
    <w:rsid w:val="00EB0DAB"/>
    <w:rsid w:val="00EE7F45"/>
    <w:rsid w:val="00F0195F"/>
    <w:rsid w:val="00F2562A"/>
    <w:rsid w:val="00F267B9"/>
    <w:rsid w:val="00F3146E"/>
    <w:rsid w:val="00F354BD"/>
    <w:rsid w:val="00F35994"/>
    <w:rsid w:val="00F555B5"/>
    <w:rsid w:val="00F768B0"/>
    <w:rsid w:val="00FB50A1"/>
    <w:rsid w:val="00FB674A"/>
    <w:rsid w:val="00FB7D43"/>
    <w:rsid w:val="00FD0A7B"/>
    <w:rsid w:val="00FD5C7D"/>
    <w:rsid w:val="00FD7CE6"/>
    <w:rsid w:val="00FE6F63"/>
    <w:rsid w:val="00FE7094"/>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2DE1D"/>
  <w15:docId w15:val="{FCCDA298-4AD7-4AB2-AEE6-DA434322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987904719">
      <w:bodyDiv w:val="1"/>
      <w:marLeft w:val="0"/>
      <w:marRight w:val="0"/>
      <w:marTop w:val="0"/>
      <w:marBottom w:val="0"/>
      <w:divBdr>
        <w:top w:val="none" w:sz="0" w:space="0" w:color="auto"/>
        <w:left w:val="none" w:sz="0" w:space="0" w:color="auto"/>
        <w:bottom w:val="none" w:sz="0" w:space="0" w:color="auto"/>
        <w:right w:val="none" w:sz="0" w:space="0" w:color="auto"/>
      </w:divBdr>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981A15-AC84-49AC-AA25-DB8AB7E68D94}"/>
</file>

<file path=customXml/itemProps2.xml><?xml version="1.0" encoding="utf-8"?>
<ds:datastoreItem xmlns:ds="http://schemas.openxmlformats.org/officeDocument/2006/customXml" ds:itemID="{2BA09C4D-4998-4905-AFBB-5A6EF33FCF6B}"/>
</file>

<file path=customXml/itemProps3.xml><?xml version="1.0" encoding="utf-8"?>
<ds:datastoreItem xmlns:ds="http://schemas.openxmlformats.org/officeDocument/2006/customXml" ds:itemID="{84091574-74D3-4056-8B53-E833C145AF16}"/>
</file>

<file path=customXml/itemProps4.xml><?xml version="1.0" encoding="utf-8"?>
<ds:datastoreItem xmlns:ds="http://schemas.openxmlformats.org/officeDocument/2006/customXml" ds:itemID="{B96F28F5-BFD3-4E1B-9A8A-20AB2F637E50}"/>
</file>

<file path=docProps/app.xml><?xml version="1.0" encoding="utf-8"?>
<Properties xmlns="http://schemas.openxmlformats.org/officeDocument/2006/extended-properties" xmlns:vt="http://schemas.openxmlformats.org/officeDocument/2006/docPropsVTypes">
  <Template>Normal.dotm</Template>
  <TotalTime>154</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michael.t.schmidt.unisys@gmail.com</dc:creator>
  <cp:lastModifiedBy>Robb, James D</cp:lastModifiedBy>
  <cp:revision>13</cp:revision>
  <dcterms:created xsi:type="dcterms:W3CDTF">2014-04-09T14:39:00Z</dcterms:created>
  <dcterms:modified xsi:type="dcterms:W3CDTF">2014-06-26T10:32:00Z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