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a report on my code and and how it works: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Preparation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Taxonomy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sheet is used to define reference dictionaries for tagging fields: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 Cause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Symptom Condition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Symptom Component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Condition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Component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Tagging 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These dictionaries map potential values to themselves, likely for validation or standardization.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me further examine the subsequent steps to clarify the tagging process fully. ​​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53nn4i1u65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Summary of the Code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rx4datw5zz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Tagging Logic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defines a function,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performs the following tasks: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fields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inputs and converts them to lowercase strings for case-insensitive comparisons.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Tagging Each 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 Cause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Identifies matches in any input field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root_cause_dict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Returns the first matching cause or leaves it blank.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Symptom Condition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Symptom Component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Identifies up to three matches for each field based on the dictionaries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symptom_condition_dict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symptom_component_dict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Fix Condition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Fix Component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Identifies up to three matches based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the respective dictionaries.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values in a structured format, ensuring up to three values for each field with blanks for unfilled slots.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Iterates over each row in the dataset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applies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tag fields, and saves the results into new columns for tagged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Saving Results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Exports the tagged data to a CSV file and updates the original Excel file with a new sheet named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Tagged_data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1rbnkjjrpv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5suge5h4uc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Potential Insights from a 10,000-Row Dataset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similar dataset containing 10,000 rows, the following insights could be derived: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Frequency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most common root causes, symptoms, and fixes, providing a broader understanding of recurring issues.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Pattern Discovery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relationships between symptoms and fixes to identify trends or gaps in resolution strategies.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average time or resources required to address common root causes based on additional contextual data (if available).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similar issues for focused analysis and better resource allocation.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Anomaly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outliers in the dataset, such as rare causes or symptoms, which might indicate novel issues or misclassification.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