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
        <w:rPr>
          <w:b/>
          <w:color w:val="102A43"/>
          <w:sz w:val="38"/>
        </w:rPr>
        <w:t>DEALER</w:t>
      </w:r>
      <w:r>
        <w:rPr>
          <w:b/>
          <w:color w:val="1677FF"/>
          <w:sz w:val="38"/>
        </w:rPr>
        <w:t>OS</w:t>
      </w:r>
    </w:p>
    <w:p>
      <w:pPr>
        <w:pStyle w:val="Title"/>
      </w:pPr>
      <w:r>
        <w:t>Commercial Pricing, Website Copy &amp; SaaS Agreement Package</w:t>
      </w:r>
    </w:p>
    <w:p>
      <w:r>
        <w:rPr>
          <w:color w:val="4C6275"/>
          <w:sz w:val="32"/>
        </w:rPr>
        <w:t>A complete sales structure for independent dealerships</w:t>
      </w:r>
    </w:p>
    <w:p>
      <w:r>
        <w:t>Prepared for Indraam  |  Version 1.0  |  September 11, 2026</w:t>
      </w:r>
    </w:p>
    <w:p>
      <w:r>
        <w:br/>
      </w:r>
    </w:p>
    <w:tbl>
      <w:tblPr>
        <w:tblW w:type="auto" w:w="0"/>
        <w:tblLook w:firstColumn="1" w:firstRow="1" w:lastColumn="0" w:lastRow="0" w:noHBand="0" w:noVBand="1" w:val="04A0"/>
      </w:tblPr>
      <w:tblGrid>
        <w:gridCol w:w="10166"/>
      </w:tblGrid>
      <w:tr>
        <w:tc>
          <w:tcPr>
            <w:tcW w:type="dxa" w:w="10166"/>
            <w:shd w:fill="EEF4FA"/>
            <w:vAlign w:val="center"/>
            <w:tcMar>
              <w:top w:w="100" w:type="dxa"/>
              <w:start w:w="120" w:type="dxa"/>
              <w:bottom w:w="100" w:type="dxa"/>
              <w:end w:w="120" w:type="dxa"/>
            </w:tcMar>
          </w:tcPr>
          <w:p>
            <w:pPr>
              <w:spacing w:after="0"/>
            </w:pPr>
            <w:r/>
            <w:r>
              <w:rPr>
                <w:rFonts w:ascii="Aptos" w:hAnsi="Aptos"/>
                <w:b/>
                <w:color w:val="102A43"/>
                <w:sz w:val="24"/>
              </w:rPr>
              <w:t>RECOMMENDED LAUNCH POSITION</w:t>
              <w:br/>
              <w:t>Simple inventory-based pricing. One platform. No per-user charge in the published plans. Clear limits, paid integrations, and an enterprise path for larger groups.</w:t>
            </w:r>
          </w:p>
        </w:tc>
      </w:tr>
    </w:tbl>
    <w:p>
      <w:r>
        <w:br/>
      </w:r>
    </w:p>
    <w:p>
      <w:pPr>
        <w:pStyle w:val="Heading2"/>
      </w:pPr>
      <w:r>
        <w:t>Important legal note</w:t>
      </w:r>
    </w:p>
    <w:p>
      <w:r>
        <w:t>This package is a commercial drafting tool, not legal advice. Indraam’s exact legal entity name, address, insurance, data practices, product capabilities, service levels, and state-specific requirements must be confirmed. A Massachusetts-licensed technology/SaaS attorney should approve the agreement, privacy terms, data-processing terms, and auto-renewal flow before use.</w:t>
      </w:r>
    </w:p>
    <w:p>
      <w:r>
        <w:br w:type="page"/>
      </w:r>
    </w:p>
    <w:p>
      <w:pPr>
        <w:pStyle w:val="Heading1"/>
      </w:pPr>
      <w:r>
        <w:t>Executive Decision</w:t>
      </w:r>
    </w:p>
    <w:p>
      <w:r>
        <w:t>Use Model A publicly. Keep Models B and C for negotiation, pilots, and annual commitments. Do not publish all three models on the website; multiple pricing logics create friction and invite bargaining.</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440"/>
            <w:shd w:fill="102A43"/>
            <w:vAlign w:val="center"/>
            <w:tcMar>
              <w:top w:w="100" w:type="dxa"/>
              <w:start w:w="120" w:type="dxa"/>
              <w:bottom w:w="100" w:type="dxa"/>
              <w:end w:w="120" w:type="dxa"/>
            </w:tcMar>
          </w:tcPr>
          <w:p>
            <w:pPr>
              <w:spacing w:after="0"/>
            </w:pPr>
            <w:r/>
            <w:r>
              <w:rPr>
                <w:rFonts w:ascii="Aptos" w:hAnsi="Aptos"/>
                <w:b/>
                <w:color w:val="FFFFFF"/>
                <w:sz w:val="18"/>
              </w:rPr>
              <w:t>Tier</w:t>
            </w:r>
          </w:p>
        </w:tc>
        <w:tc>
          <w:tcPr>
            <w:tcW w:type="dxa" w:w="1440"/>
            <w:shd w:fill="102A43"/>
            <w:vAlign w:val="center"/>
            <w:tcMar>
              <w:top w:w="100" w:type="dxa"/>
              <w:start w:w="120" w:type="dxa"/>
              <w:bottom w:w="100" w:type="dxa"/>
              <w:end w:w="120" w:type="dxa"/>
            </w:tcMar>
          </w:tcPr>
          <w:p>
            <w:pPr>
              <w:spacing w:after="0"/>
            </w:pPr>
            <w:r/>
            <w:r>
              <w:rPr>
                <w:rFonts w:ascii="Aptos" w:hAnsi="Aptos"/>
                <w:b/>
                <w:color w:val="FFFFFF"/>
                <w:sz w:val="18"/>
              </w:rPr>
              <w:t>Active inventory</w:t>
            </w:r>
          </w:p>
        </w:tc>
        <w:tc>
          <w:tcPr>
            <w:tcW w:type="dxa" w:w="1440"/>
            <w:shd w:fill="102A43"/>
            <w:vAlign w:val="center"/>
            <w:tcMar>
              <w:top w:w="100" w:type="dxa"/>
              <w:start w:w="120" w:type="dxa"/>
              <w:bottom w:w="100" w:type="dxa"/>
              <w:end w:w="120" w:type="dxa"/>
            </w:tcMar>
          </w:tcPr>
          <w:p>
            <w:pPr>
              <w:spacing w:after="0"/>
            </w:pPr>
            <w:r/>
            <w:r>
              <w:rPr>
                <w:rFonts w:ascii="Aptos" w:hAnsi="Aptos"/>
                <w:b/>
                <w:color w:val="FFFFFF"/>
                <w:sz w:val="18"/>
              </w:rPr>
              <w:t>Monthly price</w:t>
            </w:r>
          </w:p>
        </w:tc>
        <w:tc>
          <w:tcPr>
            <w:tcW w:type="dxa" w:w="2304"/>
            <w:shd w:fill="102A43"/>
            <w:vAlign w:val="center"/>
            <w:tcMar>
              <w:top w:w="100" w:type="dxa"/>
              <w:start w:w="120" w:type="dxa"/>
              <w:bottom w:w="100" w:type="dxa"/>
              <w:end w:w="120" w:type="dxa"/>
            </w:tcMar>
          </w:tcPr>
          <w:p>
            <w:pPr>
              <w:spacing w:after="0"/>
            </w:pPr>
            <w:r/>
            <w:r>
              <w:rPr>
                <w:rFonts w:ascii="Aptos" w:hAnsi="Aptos"/>
                <w:b/>
                <w:color w:val="FFFFFF"/>
                <w:sz w:val="18"/>
              </w:rPr>
              <w:t>Best fit</w:t>
            </w:r>
          </w:p>
        </w:tc>
        <w:tc>
          <w:tcPr>
            <w:tcW w:type="dxa" w:w="3888"/>
            <w:shd w:fill="102A43"/>
            <w:vAlign w:val="center"/>
            <w:tcMar>
              <w:top w:w="100" w:type="dxa"/>
              <w:start w:w="120" w:type="dxa"/>
              <w:bottom w:w="100" w:type="dxa"/>
              <w:end w:w="120" w:type="dxa"/>
            </w:tcMar>
          </w:tcPr>
          <w:p>
            <w:pPr>
              <w:spacing w:after="0"/>
            </w:pPr>
            <w:r/>
            <w:r>
              <w:rPr>
                <w:rFonts w:ascii="Aptos" w:hAnsi="Aptos"/>
                <w:b/>
                <w:color w:val="FFFFFF"/>
                <w:sz w:val="18"/>
              </w:rPr>
              <w:t>Primary promise</w:t>
            </w:r>
          </w:p>
        </w:tc>
      </w:tr>
      <w:tr>
        <w:trPr>
          <w:cantSplit/>
        </w:trPr>
        <w:tc>
          <w:tcPr>
            <w:tcW w:type="dxa" w:w="1440"/>
            <w:vAlign w:val="center"/>
            <w:tcMar>
              <w:top w:w="100" w:type="dxa"/>
              <w:start w:w="120" w:type="dxa"/>
              <w:bottom w:w="100" w:type="dxa"/>
              <w:end w:w="120" w:type="dxa"/>
            </w:tcMar>
          </w:tcPr>
          <w:p>
            <w:pPr>
              <w:spacing w:after="0"/>
            </w:pPr>
            <w:r/>
            <w:r>
              <w:rPr>
                <w:rFonts w:ascii="Aptos" w:hAnsi="Aptos"/>
                <w:b w:val="0"/>
                <w:sz w:val="17"/>
              </w:rPr>
              <w:t>Starter</w:t>
            </w:r>
          </w:p>
        </w:tc>
        <w:tc>
          <w:tcPr>
            <w:tcW w:type="dxa" w:w="1440"/>
            <w:vAlign w:val="center"/>
            <w:tcMar>
              <w:top w:w="100" w:type="dxa"/>
              <w:start w:w="120" w:type="dxa"/>
              <w:bottom w:w="100" w:type="dxa"/>
              <w:end w:w="120" w:type="dxa"/>
            </w:tcMar>
          </w:tcPr>
          <w:p>
            <w:pPr>
              <w:spacing w:after="0"/>
            </w:pPr>
            <w:r/>
            <w:r>
              <w:rPr>
                <w:rFonts w:ascii="Aptos" w:hAnsi="Aptos"/>
                <w:b w:val="0"/>
                <w:sz w:val="17"/>
              </w:rPr>
              <w:t>0–20 vehicles</w:t>
            </w:r>
          </w:p>
        </w:tc>
        <w:tc>
          <w:tcPr>
            <w:tcW w:type="dxa" w:w="1440"/>
            <w:vAlign w:val="center"/>
            <w:tcMar>
              <w:top w:w="100" w:type="dxa"/>
              <w:start w:w="120" w:type="dxa"/>
              <w:bottom w:w="100" w:type="dxa"/>
              <w:end w:w="120" w:type="dxa"/>
            </w:tcMar>
          </w:tcPr>
          <w:p>
            <w:pPr>
              <w:spacing w:after="0"/>
            </w:pPr>
            <w:r/>
            <w:r>
              <w:rPr>
                <w:rFonts w:ascii="Aptos" w:hAnsi="Aptos"/>
                <w:b w:val="0"/>
                <w:sz w:val="17"/>
              </w:rPr>
              <w:t>$149/mo</w:t>
            </w:r>
          </w:p>
        </w:tc>
        <w:tc>
          <w:tcPr>
            <w:tcW w:type="dxa" w:w="2304"/>
            <w:vAlign w:val="center"/>
            <w:tcMar>
              <w:top w:w="100" w:type="dxa"/>
              <w:start w:w="120" w:type="dxa"/>
              <w:bottom w:w="100" w:type="dxa"/>
              <w:end w:w="120" w:type="dxa"/>
            </w:tcMar>
          </w:tcPr>
          <w:p>
            <w:pPr>
              <w:spacing w:after="0"/>
            </w:pPr>
            <w:r/>
            <w:r>
              <w:rPr>
                <w:rFonts w:ascii="Aptos" w:hAnsi="Aptos"/>
                <w:b w:val="0"/>
                <w:sz w:val="17"/>
              </w:rPr>
              <w:t>Small independent dealer</w:t>
            </w:r>
          </w:p>
        </w:tc>
        <w:tc>
          <w:tcPr>
            <w:tcW w:type="dxa" w:w="3888"/>
            <w:vAlign w:val="center"/>
            <w:tcMar>
              <w:top w:w="100" w:type="dxa"/>
              <w:start w:w="120" w:type="dxa"/>
              <w:bottom w:w="100" w:type="dxa"/>
              <w:end w:w="120" w:type="dxa"/>
            </w:tcMar>
          </w:tcPr>
          <w:p>
            <w:pPr>
              <w:spacing w:after="0"/>
            </w:pPr>
            <w:r/>
            <w:r>
              <w:rPr>
                <w:rFonts w:ascii="Aptos" w:hAnsi="Aptos"/>
                <w:b w:val="0"/>
                <w:sz w:val="17"/>
              </w:rPr>
              <w:t>Run inventory and core documents in one place</w:t>
            </w:r>
          </w:p>
        </w:tc>
      </w:tr>
      <w:tr>
        <w:trPr>
          <w:cantSplit/>
        </w:trPr>
        <w:tc>
          <w:tcPr>
            <w:tcW w:type="dxa" w:w="1440"/>
            <w:shd w:fill="F6F9FC"/>
            <w:vAlign w:val="center"/>
            <w:tcMar>
              <w:top w:w="100" w:type="dxa"/>
              <w:start w:w="120" w:type="dxa"/>
              <w:bottom w:w="100" w:type="dxa"/>
              <w:end w:w="120" w:type="dxa"/>
            </w:tcMar>
          </w:tcPr>
          <w:p>
            <w:pPr>
              <w:spacing w:after="0"/>
            </w:pPr>
            <w:r/>
            <w:r>
              <w:rPr>
                <w:rFonts w:ascii="Aptos" w:hAnsi="Aptos"/>
                <w:b w:val="0"/>
                <w:sz w:val="17"/>
              </w:rPr>
              <w:t>Growth</w:t>
            </w:r>
          </w:p>
        </w:tc>
        <w:tc>
          <w:tcPr>
            <w:tcW w:type="dxa" w:w="1440"/>
            <w:shd w:fill="F6F9FC"/>
            <w:vAlign w:val="center"/>
            <w:tcMar>
              <w:top w:w="100" w:type="dxa"/>
              <w:start w:w="120" w:type="dxa"/>
              <w:bottom w:w="100" w:type="dxa"/>
              <w:end w:w="120" w:type="dxa"/>
            </w:tcMar>
          </w:tcPr>
          <w:p>
            <w:pPr>
              <w:spacing w:after="0"/>
            </w:pPr>
            <w:r/>
            <w:r>
              <w:rPr>
                <w:rFonts w:ascii="Aptos" w:hAnsi="Aptos"/>
                <w:b w:val="0"/>
                <w:sz w:val="17"/>
              </w:rPr>
              <w:t>21–50 vehicles</w:t>
            </w:r>
          </w:p>
        </w:tc>
        <w:tc>
          <w:tcPr>
            <w:tcW w:type="dxa" w:w="1440"/>
            <w:shd w:fill="F6F9FC"/>
            <w:vAlign w:val="center"/>
            <w:tcMar>
              <w:top w:w="100" w:type="dxa"/>
              <w:start w:w="120" w:type="dxa"/>
              <w:bottom w:w="100" w:type="dxa"/>
              <w:end w:w="120" w:type="dxa"/>
            </w:tcMar>
          </w:tcPr>
          <w:p>
            <w:pPr>
              <w:spacing w:after="0"/>
            </w:pPr>
            <w:r/>
            <w:r>
              <w:rPr>
                <w:rFonts w:ascii="Aptos" w:hAnsi="Aptos"/>
                <w:b w:val="0"/>
                <w:sz w:val="17"/>
              </w:rPr>
              <w:t>$249/mo</w:t>
            </w:r>
          </w:p>
        </w:tc>
        <w:tc>
          <w:tcPr>
            <w:tcW w:type="dxa" w:w="2304"/>
            <w:shd w:fill="F6F9FC"/>
            <w:vAlign w:val="center"/>
            <w:tcMar>
              <w:top w:w="100" w:type="dxa"/>
              <w:start w:w="120" w:type="dxa"/>
              <w:bottom w:w="100" w:type="dxa"/>
              <w:end w:w="120" w:type="dxa"/>
            </w:tcMar>
          </w:tcPr>
          <w:p>
            <w:pPr>
              <w:spacing w:after="0"/>
            </w:pPr>
            <w:r/>
            <w:r>
              <w:rPr>
                <w:rFonts w:ascii="Aptos" w:hAnsi="Aptos"/>
                <w:b w:val="0"/>
                <w:sz w:val="17"/>
              </w:rPr>
              <w:t>Growing single-location dealer</w:t>
            </w:r>
          </w:p>
        </w:tc>
        <w:tc>
          <w:tcPr>
            <w:tcW w:type="dxa" w:w="3888"/>
            <w:shd w:fill="F6F9FC"/>
            <w:vAlign w:val="center"/>
            <w:tcMar>
              <w:top w:w="100" w:type="dxa"/>
              <w:start w:w="120" w:type="dxa"/>
              <w:bottom w:w="100" w:type="dxa"/>
              <w:end w:w="120" w:type="dxa"/>
            </w:tcMar>
          </w:tcPr>
          <w:p>
            <w:pPr>
              <w:spacing w:after="0"/>
            </w:pPr>
            <w:r/>
            <w:r>
              <w:rPr>
                <w:rFonts w:ascii="Aptos" w:hAnsi="Aptos"/>
                <w:b w:val="0"/>
                <w:sz w:val="17"/>
              </w:rPr>
              <w:t>Add workflow, automation, reporting, and more users</w:t>
            </w:r>
          </w:p>
        </w:tc>
      </w:tr>
      <w:tr>
        <w:trPr>
          <w:cantSplit/>
        </w:trPr>
        <w:tc>
          <w:tcPr>
            <w:tcW w:type="dxa" w:w="1440"/>
            <w:vAlign w:val="center"/>
            <w:tcMar>
              <w:top w:w="100" w:type="dxa"/>
              <w:start w:w="120" w:type="dxa"/>
              <w:bottom w:w="100" w:type="dxa"/>
              <w:end w:w="120" w:type="dxa"/>
            </w:tcMar>
          </w:tcPr>
          <w:p>
            <w:pPr>
              <w:spacing w:after="0"/>
            </w:pPr>
            <w:r/>
            <w:r>
              <w:rPr>
                <w:rFonts w:ascii="Aptos" w:hAnsi="Aptos"/>
                <w:b w:val="0"/>
                <w:sz w:val="17"/>
              </w:rPr>
              <w:t>Scale</w:t>
            </w:r>
          </w:p>
        </w:tc>
        <w:tc>
          <w:tcPr>
            <w:tcW w:type="dxa" w:w="1440"/>
            <w:vAlign w:val="center"/>
            <w:tcMar>
              <w:top w:w="100" w:type="dxa"/>
              <w:start w:w="120" w:type="dxa"/>
              <w:bottom w:w="100" w:type="dxa"/>
              <w:end w:w="120" w:type="dxa"/>
            </w:tcMar>
          </w:tcPr>
          <w:p>
            <w:pPr>
              <w:spacing w:after="0"/>
            </w:pPr>
            <w:r/>
            <w:r>
              <w:rPr>
                <w:rFonts w:ascii="Aptos" w:hAnsi="Aptos"/>
                <w:b w:val="0"/>
                <w:sz w:val="17"/>
              </w:rPr>
              <w:t>51+ vehicles</w:t>
            </w:r>
          </w:p>
        </w:tc>
        <w:tc>
          <w:tcPr>
            <w:tcW w:type="dxa" w:w="1440"/>
            <w:vAlign w:val="center"/>
            <w:tcMar>
              <w:top w:w="100" w:type="dxa"/>
              <w:start w:w="120" w:type="dxa"/>
              <w:bottom w:w="100" w:type="dxa"/>
              <w:end w:w="120" w:type="dxa"/>
            </w:tcMar>
          </w:tcPr>
          <w:p>
            <w:pPr>
              <w:spacing w:after="0"/>
            </w:pPr>
            <w:r/>
            <w:r>
              <w:rPr>
                <w:rFonts w:ascii="Aptos" w:hAnsi="Aptos"/>
                <w:b w:val="0"/>
                <w:sz w:val="17"/>
              </w:rPr>
              <w:t>$399/mo from</w:t>
            </w:r>
          </w:p>
        </w:tc>
        <w:tc>
          <w:tcPr>
            <w:tcW w:type="dxa" w:w="2304"/>
            <w:vAlign w:val="center"/>
            <w:tcMar>
              <w:top w:w="100" w:type="dxa"/>
              <w:start w:w="120" w:type="dxa"/>
              <w:bottom w:w="100" w:type="dxa"/>
              <w:end w:w="120" w:type="dxa"/>
            </w:tcMar>
          </w:tcPr>
          <w:p>
            <w:pPr>
              <w:spacing w:after="0"/>
            </w:pPr>
            <w:r/>
            <w:r>
              <w:rPr>
                <w:rFonts w:ascii="Aptos" w:hAnsi="Aptos"/>
                <w:b w:val="0"/>
                <w:sz w:val="17"/>
              </w:rPr>
              <w:t>High-volume or multi-location dealer</w:t>
            </w:r>
          </w:p>
        </w:tc>
        <w:tc>
          <w:tcPr>
            <w:tcW w:type="dxa" w:w="3888"/>
            <w:vAlign w:val="center"/>
            <w:tcMar>
              <w:top w:w="100" w:type="dxa"/>
              <w:start w:w="120" w:type="dxa"/>
              <w:bottom w:w="100" w:type="dxa"/>
              <w:end w:w="120" w:type="dxa"/>
            </w:tcMar>
          </w:tcPr>
          <w:p>
            <w:pPr>
              <w:spacing w:after="0"/>
            </w:pPr>
            <w:r/>
            <w:r>
              <w:rPr>
                <w:rFonts w:ascii="Aptos" w:hAnsi="Aptos"/>
                <w:b w:val="0"/>
                <w:sz w:val="17"/>
              </w:rPr>
              <w:t>Advanced controls, integrations, and priority service</w:t>
            </w:r>
          </w:p>
        </w:tc>
      </w:tr>
    </w:tbl>
    <w:p>
      <w:pPr>
        <w:spacing w:after="0"/>
      </w:pPr>
    </w:p>
    <w:p>
      <w:pPr>
        <w:pStyle w:val="Heading2"/>
      </w:pPr>
      <w:r>
        <w:t>Boundary rule</w:t>
      </w:r>
    </w:p>
    <w:p>
      <w:r>
        <w:t>Count unique active vehicles listed in DealerOS at any time during the billing cycle. Sold, archived, deleted, and test records do not count. A customer moves up after exceeding its tier for 7 consecutive days or twice in a billing period; downgrades apply at the next renewal after one full cycle below the lower threshold.</w:t>
      </w:r>
    </w:p>
    <w:p>
      <w:pPr>
        <w:pStyle w:val="Heading2"/>
      </w:pPr>
      <w:r>
        <w:t>Recommended commercial rules</w:t>
      </w:r>
    </w:p>
    <w:p>
      <w:pPr>
        <w:pStyle w:val="ListBullet"/>
      </w:pPr>
      <w:r>
        <w:t>Monthly plans: month-to-month after a 3-month initial commitment.</w:t>
      </w:r>
    </w:p>
    <w:p>
      <w:pPr>
        <w:pStyle w:val="ListBullet"/>
      </w:pPr>
      <w:r>
        <w:t>Annual plans: 15% discount, paid upfront, non-cancelable except for uncured material breach.</w:t>
      </w:r>
    </w:p>
    <w:p>
      <w:pPr>
        <w:pStyle w:val="ListBullet"/>
      </w:pPr>
      <w:r>
        <w:t>One-time onboarding: Starter $499; Growth $799; Scale from $1,299.</w:t>
      </w:r>
    </w:p>
    <w:p>
      <w:pPr>
        <w:pStyle w:val="ListBullet"/>
      </w:pPr>
      <w:r>
        <w:t>No unlimited custom development in subscription fees. All custom work requires a written statement of work (SOW).</w:t>
      </w:r>
    </w:p>
    <w:p>
      <w:pPr>
        <w:pStyle w:val="ListBullet"/>
      </w:pPr>
      <w:r>
        <w:t>Third-party charges—credit reports, SMS, email overages, payment processing, vehicle-history reports, marketplace feeds, state forms, and external APIs—are passed through or separately quoted.</w:t>
      </w:r>
    </w:p>
    <w:p>
      <w:pPr>
        <w:pStyle w:val="ListBullet"/>
      </w:pPr>
      <w:r>
        <w:t>Taxes are additional where legally required.</w:t>
      </w:r>
    </w:p>
    <w:p>
      <w:pPr>
        <w:pStyle w:val="Heading2"/>
      </w:pPr>
      <w:r>
        <w:t>Why these prices are defensible</w:t>
      </w:r>
    </w:p>
    <w:p>
      <w:r>
        <w:t>As of September 11, 2026, public entry prices include Frazer at $129/month for its DMS and AutoManager advertising a DMS starting at $88/month; DealerCenter advertises a $99/month DMS offer. DealerOS should not compete only on being cheaper. The price premium must be supported by differentiated workflow, OCR/document automation, local onboarding, and clearly defined support.</w:t>
      </w:r>
    </w:p>
    <w:p>
      <w:r>
        <w:t>Source links: Frazer Pricing (frazer.com/pricing), AutoManager Pricing (automanager.com/pricing), DealerCenter Pricing (dealercenter.com/pricing).</w:t>
      </w:r>
    </w:p>
    <w:p>
      <w:r>
        <w:br w:type="page"/>
      </w:r>
    </w:p>
    <w:p>
      <w:pPr>
        <w:pStyle w:val="Heading1"/>
      </w:pPr>
      <w:r>
        <w:t>Three Pricing Models</w:t>
      </w:r>
    </w:p>
    <w:p>
      <w:pPr>
        <w:pStyle w:val="Heading2"/>
      </w:pPr>
      <w:r>
        <w:t>MODEL A — Inventory tiers (recommended)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02A43"/>
            <w:vAlign w:val="center"/>
            <w:tcMar>
              <w:top w:w="100" w:type="dxa"/>
              <w:start w:w="120" w:type="dxa"/>
              <w:bottom w:w="100" w:type="dxa"/>
              <w:end w:w="120" w:type="dxa"/>
            </w:tcMar>
          </w:tcPr>
          <w:p>
            <w:pPr>
              <w:spacing w:after="0"/>
            </w:pPr>
            <w:r/>
            <w:r>
              <w:rPr>
                <w:rFonts w:ascii="Aptos" w:hAnsi="Aptos"/>
                <w:b/>
                <w:color w:val="FFFFFF"/>
                <w:sz w:val="18"/>
              </w:rPr>
              <w:t>Plan</w:t>
            </w:r>
          </w:p>
        </w:tc>
        <w:tc>
          <w:tcPr>
            <w:tcW w:type="dxa" w:w="1694"/>
            <w:shd w:fill="102A43"/>
            <w:vAlign w:val="center"/>
            <w:tcMar>
              <w:top w:w="100" w:type="dxa"/>
              <w:start w:w="120" w:type="dxa"/>
              <w:bottom w:w="100" w:type="dxa"/>
              <w:end w:w="120" w:type="dxa"/>
            </w:tcMar>
          </w:tcPr>
          <w:p>
            <w:pPr>
              <w:spacing w:after="0"/>
            </w:pPr>
            <w:r/>
            <w:r>
              <w:rPr>
                <w:rFonts w:ascii="Aptos" w:hAnsi="Aptos"/>
                <w:b/>
                <w:color w:val="FFFFFF"/>
                <w:sz w:val="18"/>
              </w:rPr>
              <w:t>Monthly</w:t>
            </w:r>
          </w:p>
        </w:tc>
        <w:tc>
          <w:tcPr>
            <w:tcW w:type="dxa" w:w="1694"/>
            <w:shd w:fill="102A43"/>
            <w:vAlign w:val="center"/>
            <w:tcMar>
              <w:top w:w="100" w:type="dxa"/>
              <w:start w:w="120" w:type="dxa"/>
              <w:bottom w:w="100" w:type="dxa"/>
              <w:end w:w="120" w:type="dxa"/>
            </w:tcMar>
          </w:tcPr>
          <w:p>
            <w:pPr>
              <w:spacing w:after="0"/>
            </w:pPr>
            <w:r/>
            <w:r>
              <w:rPr>
                <w:rFonts w:ascii="Aptos" w:hAnsi="Aptos"/>
                <w:b/>
                <w:color w:val="FFFFFF"/>
                <w:sz w:val="18"/>
              </w:rPr>
              <w:t>Annual equivalent</w:t>
            </w:r>
          </w:p>
        </w:tc>
        <w:tc>
          <w:tcPr>
            <w:tcW w:type="dxa" w:w="1694"/>
            <w:shd w:fill="102A43"/>
            <w:vAlign w:val="center"/>
            <w:tcMar>
              <w:top w:w="100" w:type="dxa"/>
              <w:start w:w="120" w:type="dxa"/>
              <w:bottom w:w="100" w:type="dxa"/>
              <w:end w:w="120" w:type="dxa"/>
            </w:tcMar>
          </w:tcPr>
          <w:p>
            <w:pPr>
              <w:spacing w:after="0"/>
            </w:pPr>
            <w:r/>
            <w:r>
              <w:rPr>
                <w:rFonts w:ascii="Aptos" w:hAnsi="Aptos"/>
                <w:b/>
                <w:color w:val="FFFFFF"/>
                <w:sz w:val="18"/>
              </w:rPr>
              <w:t>Onboarding</w:t>
            </w:r>
          </w:p>
        </w:tc>
        <w:tc>
          <w:tcPr>
            <w:tcW w:type="dxa" w:w="1694"/>
            <w:shd w:fill="102A43"/>
            <w:vAlign w:val="center"/>
            <w:tcMar>
              <w:top w:w="100" w:type="dxa"/>
              <w:start w:w="120" w:type="dxa"/>
              <w:bottom w:w="100" w:type="dxa"/>
              <w:end w:w="120" w:type="dxa"/>
            </w:tcMar>
          </w:tcPr>
          <w:p>
            <w:pPr>
              <w:spacing w:after="0"/>
            </w:pPr>
            <w:r/>
            <w:r>
              <w:rPr>
                <w:rFonts w:ascii="Aptos" w:hAnsi="Aptos"/>
                <w:b/>
                <w:color w:val="FFFFFF"/>
                <w:sz w:val="18"/>
              </w:rPr>
              <w:t>Included users</w:t>
            </w:r>
          </w:p>
        </w:tc>
        <w:tc>
          <w:tcPr>
            <w:tcW w:type="dxa" w:w="1694"/>
            <w:shd w:fill="102A43"/>
            <w:vAlign w:val="center"/>
            <w:tcMar>
              <w:top w:w="100" w:type="dxa"/>
              <w:start w:w="120" w:type="dxa"/>
              <w:bottom w:w="100" w:type="dxa"/>
              <w:end w:w="120" w:type="dxa"/>
            </w:tcMar>
          </w:tcPr>
          <w:p>
            <w:pPr>
              <w:spacing w:after="0"/>
            </w:pPr>
            <w:r/>
            <w:r>
              <w:rPr>
                <w:rFonts w:ascii="Aptos" w:hAnsi="Aptos"/>
                <w:b/>
                <w:color w:val="FFFFFF"/>
                <w:sz w:val="18"/>
              </w:rPr>
              <w:t>Inventory</w:t>
            </w:r>
          </w:p>
        </w:tc>
      </w:tr>
      <w:tr>
        <w:trPr>
          <w:cantSplit/>
        </w:trPr>
        <w:tc>
          <w:tcPr>
            <w:tcW w:type="dxa" w:w="1694"/>
            <w:vAlign w:val="center"/>
            <w:tcMar>
              <w:top w:w="100" w:type="dxa"/>
              <w:start w:w="120" w:type="dxa"/>
              <w:bottom w:w="100" w:type="dxa"/>
              <w:end w:w="120" w:type="dxa"/>
            </w:tcMar>
          </w:tcPr>
          <w:p>
            <w:pPr>
              <w:spacing w:after="0"/>
            </w:pPr>
            <w:r/>
            <w:r>
              <w:rPr>
                <w:rFonts w:ascii="Aptos" w:hAnsi="Aptos"/>
                <w:b w:val="0"/>
                <w:sz w:val="17"/>
              </w:rPr>
              <w:t>Starter</w:t>
            </w:r>
          </w:p>
        </w:tc>
        <w:tc>
          <w:tcPr>
            <w:tcW w:type="dxa" w:w="1694"/>
            <w:vAlign w:val="center"/>
            <w:tcMar>
              <w:top w:w="100" w:type="dxa"/>
              <w:start w:w="120" w:type="dxa"/>
              <w:bottom w:w="100" w:type="dxa"/>
              <w:end w:w="120" w:type="dxa"/>
            </w:tcMar>
          </w:tcPr>
          <w:p>
            <w:pPr>
              <w:spacing w:after="0"/>
            </w:pPr>
            <w:r/>
            <w:r>
              <w:rPr>
                <w:rFonts w:ascii="Aptos" w:hAnsi="Aptos"/>
                <w:b w:val="0"/>
                <w:sz w:val="17"/>
              </w:rPr>
              <w:t>$149</w:t>
            </w:r>
          </w:p>
        </w:tc>
        <w:tc>
          <w:tcPr>
            <w:tcW w:type="dxa" w:w="1694"/>
            <w:vAlign w:val="center"/>
            <w:tcMar>
              <w:top w:w="100" w:type="dxa"/>
              <w:start w:w="120" w:type="dxa"/>
              <w:bottom w:w="100" w:type="dxa"/>
              <w:end w:w="120" w:type="dxa"/>
            </w:tcMar>
          </w:tcPr>
          <w:p>
            <w:pPr>
              <w:spacing w:after="0"/>
            </w:pPr>
            <w:r/>
            <w:r>
              <w:rPr>
                <w:rFonts w:ascii="Aptos" w:hAnsi="Aptos"/>
                <w:b w:val="0"/>
                <w:sz w:val="17"/>
              </w:rPr>
              <w:t>$127/mo ($1,519/yr)</w:t>
            </w:r>
          </w:p>
        </w:tc>
        <w:tc>
          <w:tcPr>
            <w:tcW w:type="dxa" w:w="1694"/>
            <w:vAlign w:val="center"/>
            <w:tcMar>
              <w:top w:w="100" w:type="dxa"/>
              <w:start w:w="120" w:type="dxa"/>
              <w:bottom w:w="100" w:type="dxa"/>
              <w:end w:w="120" w:type="dxa"/>
            </w:tcMar>
          </w:tcPr>
          <w:p>
            <w:pPr>
              <w:spacing w:after="0"/>
            </w:pPr>
            <w:r/>
            <w:r>
              <w:rPr>
                <w:rFonts w:ascii="Aptos" w:hAnsi="Aptos"/>
                <w:b w:val="0"/>
                <w:sz w:val="17"/>
              </w:rPr>
              <w:t>$499</w:t>
            </w:r>
          </w:p>
        </w:tc>
        <w:tc>
          <w:tcPr>
            <w:tcW w:type="dxa" w:w="1694"/>
            <w:vAlign w:val="center"/>
            <w:tcMar>
              <w:top w:w="100" w:type="dxa"/>
              <w:start w:w="120" w:type="dxa"/>
              <w:bottom w:w="100" w:type="dxa"/>
              <w:end w:w="120" w:type="dxa"/>
            </w:tcMar>
          </w:tcPr>
          <w:p>
            <w:pPr>
              <w:spacing w:after="0"/>
            </w:pPr>
            <w:r/>
            <w:r>
              <w:rPr>
                <w:rFonts w:ascii="Aptos" w:hAnsi="Aptos"/>
                <w:b w:val="0"/>
                <w:sz w:val="17"/>
              </w:rPr>
              <w:t>3</w:t>
            </w:r>
          </w:p>
        </w:tc>
        <w:tc>
          <w:tcPr>
            <w:tcW w:type="dxa" w:w="1694"/>
            <w:vAlign w:val="center"/>
            <w:tcMar>
              <w:top w:w="100" w:type="dxa"/>
              <w:start w:w="120" w:type="dxa"/>
              <w:bottom w:w="100" w:type="dxa"/>
              <w:end w:w="120" w:type="dxa"/>
            </w:tcMar>
          </w:tcPr>
          <w:p>
            <w:pPr>
              <w:spacing w:after="0"/>
            </w:pPr>
            <w:r/>
            <w:r>
              <w:rPr>
                <w:rFonts w:ascii="Aptos" w:hAnsi="Aptos"/>
                <w:b w:val="0"/>
                <w:sz w:val="17"/>
              </w:rPr>
              <w:t>0–20</w:t>
            </w:r>
          </w:p>
        </w:tc>
      </w:tr>
      <w:tr>
        <w:trPr>
          <w:cantSplit/>
        </w:trPr>
        <w:tc>
          <w:tcPr>
            <w:tcW w:type="dxa" w:w="1694"/>
            <w:shd w:fill="F6F9FC"/>
            <w:vAlign w:val="center"/>
            <w:tcMar>
              <w:top w:w="100" w:type="dxa"/>
              <w:start w:w="120" w:type="dxa"/>
              <w:bottom w:w="100" w:type="dxa"/>
              <w:end w:w="120" w:type="dxa"/>
            </w:tcMar>
          </w:tcPr>
          <w:p>
            <w:pPr>
              <w:spacing w:after="0"/>
            </w:pPr>
            <w:r/>
            <w:r>
              <w:rPr>
                <w:rFonts w:ascii="Aptos" w:hAnsi="Aptos"/>
                <w:b w:val="0"/>
                <w:sz w:val="17"/>
              </w:rPr>
              <w:t>Growth</w:t>
            </w:r>
          </w:p>
        </w:tc>
        <w:tc>
          <w:tcPr>
            <w:tcW w:type="dxa" w:w="1694"/>
            <w:shd w:fill="F6F9FC"/>
            <w:vAlign w:val="center"/>
            <w:tcMar>
              <w:top w:w="100" w:type="dxa"/>
              <w:start w:w="120" w:type="dxa"/>
              <w:bottom w:w="100" w:type="dxa"/>
              <w:end w:w="120" w:type="dxa"/>
            </w:tcMar>
          </w:tcPr>
          <w:p>
            <w:pPr>
              <w:spacing w:after="0"/>
            </w:pPr>
            <w:r/>
            <w:r>
              <w:rPr>
                <w:rFonts w:ascii="Aptos" w:hAnsi="Aptos"/>
                <w:b w:val="0"/>
                <w:sz w:val="17"/>
              </w:rPr>
              <w:t>$249</w:t>
            </w:r>
          </w:p>
        </w:tc>
        <w:tc>
          <w:tcPr>
            <w:tcW w:type="dxa" w:w="1694"/>
            <w:shd w:fill="F6F9FC"/>
            <w:vAlign w:val="center"/>
            <w:tcMar>
              <w:top w:w="100" w:type="dxa"/>
              <w:start w:w="120" w:type="dxa"/>
              <w:bottom w:w="100" w:type="dxa"/>
              <w:end w:w="120" w:type="dxa"/>
            </w:tcMar>
          </w:tcPr>
          <w:p>
            <w:pPr>
              <w:spacing w:after="0"/>
            </w:pPr>
            <w:r/>
            <w:r>
              <w:rPr>
                <w:rFonts w:ascii="Aptos" w:hAnsi="Aptos"/>
                <w:b w:val="0"/>
                <w:sz w:val="17"/>
              </w:rPr>
              <w:t>$212/mo ($2,539/yr)</w:t>
            </w:r>
          </w:p>
        </w:tc>
        <w:tc>
          <w:tcPr>
            <w:tcW w:type="dxa" w:w="1694"/>
            <w:shd w:fill="F6F9FC"/>
            <w:vAlign w:val="center"/>
            <w:tcMar>
              <w:top w:w="100" w:type="dxa"/>
              <w:start w:w="120" w:type="dxa"/>
              <w:bottom w:w="100" w:type="dxa"/>
              <w:end w:w="120" w:type="dxa"/>
            </w:tcMar>
          </w:tcPr>
          <w:p>
            <w:pPr>
              <w:spacing w:after="0"/>
            </w:pPr>
            <w:r/>
            <w:r>
              <w:rPr>
                <w:rFonts w:ascii="Aptos" w:hAnsi="Aptos"/>
                <w:b w:val="0"/>
                <w:sz w:val="17"/>
              </w:rPr>
              <w:t>$799</w:t>
            </w:r>
          </w:p>
        </w:tc>
        <w:tc>
          <w:tcPr>
            <w:tcW w:type="dxa" w:w="1694"/>
            <w:shd w:fill="F6F9FC"/>
            <w:vAlign w:val="center"/>
            <w:tcMar>
              <w:top w:w="100" w:type="dxa"/>
              <w:start w:w="120" w:type="dxa"/>
              <w:bottom w:w="100" w:type="dxa"/>
              <w:end w:w="120" w:type="dxa"/>
            </w:tcMar>
          </w:tcPr>
          <w:p>
            <w:pPr>
              <w:spacing w:after="0"/>
            </w:pPr>
            <w:r/>
            <w:r>
              <w:rPr>
                <w:rFonts w:ascii="Aptos" w:hAnsi="Aptos"/>
                <w:b w:val="0"/>
                <w:sz w:val="17"/>
              </w:rPr>
              <w:t>8</w:t>
            </w:r>
          </w:p>
        </w:tc>
        <w:tc>
          <w:tcPr>
            <w:tcW w:type="dxa" w:w="1694"/>
            <w:shd w:fill="F6F9FC"/>
            <w:vAlign w:val="center"/>
            <w:tcMar>
              <w:top w:w="100" w:type="dxa"/>
              <w:start w:w="120" w:type="dxa"/>
              <w:bottom w:w="100" w:type="dxa"/>
              <w:end w:w="120" w:type="dxa"/>
            </w:tcMar>
          </w:tcPr>
          <w:p>
            <w:pPr>
              <w:spacing w:after="0"/>
            </w:pPr>
            <w:r/>
            <w:r>
              <w:rPr>
                <w:rFonts w:ascii="Aptos" w:hAnsi="Aptos"/>
                <w:b w:val="0"/>
                <w:sz w:val="17"/>
              </w:rPr>
              <w:t>21–50</w:t>
            </w:r>
          </w:p>
        </w:tc>
      </w:tr>
      <w:tr>
        <w:trPr>
          <w:cantSplit/>
        </w:trPr>
        <w:tc>
          <w:tcPr>
            <w:tcW w:type="dxa" w:w="1694"/>
            <w:vAlign w:val="center"/>
            <w:tcMar>
              <w:top w:w="100" w:type="dxa"/>
              <w:start w:w="120" w:type="dxa"/>
              <w:bottom w:w="100" w:type="dxa"/>
              <w:end w:w="120" w:type="dxa"/>
            </w:tcMar>
          </w:tcPr>
          <w:p>
            <w:pPr>
              <w:spacing w:after="0"/>
            </w:pPr>
            <w:r/>
            <w:r>
              <w:rPr>
                <w:rFonts w:ascii="Aptos" w:hAnsi="Aptos"/>
                <w:b w:val="0"/>
                <w:sz w:val="17"/>
              </w:rPr>
              <w:t>Scale</w:t>
            </w:r>
          </w:p>
        </w:tc>
        <w:tc>
          <w:tcPr>
            <w:tcW w:type="dxa" w:w="1694"/>
            <w:vAlign w:val="center"/>
            <w:tcMar>
              <w:top w:w="100" w:type="dxa"/>
              <w:start w:w="120" w:type="dxa"/>
              <w:bottom w:w="100" w:type="dxa"/>
              <w:end w:w="120" w:type="dxa"/>
            </w:tcMar>
          </w:tcPr>
          <w:p>
            <w:pPr>
              <w:spacing w:after="0"/>
            </w:pPr>
            <w:r/>
            <w:r>
              <w:rPr>
                <w:rFonts w:ascii="Aptos" w:hAnsi="Aptos"/>
                <w:b w:val="0"/>
                <w:sz w:val="17"/>
              </w:rPr>
              <w:t>$399+</w:t>
            </w:r>
          </w:p>
        </w:tc>
        <w:tc>
          <w:tcPr>
            <w:tcW w:type="dxa" w:w="1694"/>
            <w:vAlign w:val="center"/>
            <w:tcMar>
              <w:top w:w="100" w:type="dxa"/>
              <w:start w:w="120" w:type="dxa"/>
              <w:bottom w:w="100" w:type="dxa"/>
              <w:end w:w="120" w:type="dxa"/>
            </w:tcMar>
          </w:tcPr>
          <w:p>
            <w:pPr>
              <w:spacing w:after="0"/>
            </w:pPr>
            <w:r/>
            <w:r>
              <w:rPr>
                <w:rFonts w:ascii="Aptos" w:hAnsi="Aptos"/>
                <w:b w:val="0"/>
                <w:sz w:val="17"/>
              </w:rPr>
              <w:t>$339/mo ($4,069/yr)</w:t>
            </w:r>
          </w:p>
        </w:tc>
        <w:tc>
          <w:tcPr>
            <w:tcW w:type="dxa" w:w="1694"/>
            <w:vAlign w:val="center"/>
            <w:tcMar>
              <w:top w:w="100" w:type="dxa"/>
              <w:start w:w="120" w:type="dxa"/>
              <w:bottom w:w="100" w:type="dxa"/>
              <w:end w:w="120" w:type="dxa"/>
            </w:tcMar>
          </w:tcPr>
          <w:p>
            <w:pPr>
              <w:spacing w:after="0"/>
            </w:pPr>
            <w:r/>
            <w:r>
              <w:rPr>
                <w:rFonts w:ascii="Aptos" w:hAnsi="Aptos"/>
                <w:b w:val="0"/>
                <w:sz w:val="17"/>
              </w:rPr>
              <w:t>$1,299+</w:t>
            </w:r>
          </w:p>
        </w:tc>
        <w:tc>
          <w:tcPr>
            <w:tcW w:type="dxa" w:w="1694"/>
            <w:vAlign w:val="center"/>
            <w:tcMar>
              <w:top w:w="100" w:type="dxa"/>
              <w:start w:w="120" w:type="dxa"/>
              <w:bottom w:w="100" w:type="dxa"/>
              <w:end w:w="120" w:type="dxa"/>
            </w:tcMar>
          </w:tcPr>
          <w:p>
            <w:pPr>
              <w:spacing w:after="0"/>
            </w:pPr>
            <w:r/>
            <w:r>
              <w:rPr>
                <w:rFonts w:ascii="Aptos" w:hAnsi="Aptos"/>
                <w:b w:val="0"/>
                <w:sz w:val="17"/>
              </w:rPr>
              <w:t>15</w:t>
            </w:r>
          </w:p>
        </w:tc>
        <w:tc>
          <w:tcPr>
            <w:tcW w:type="dxa" w:w="1694"/>
            <w:vAlign w:val="center"/>
            <w:tcMar>
              <w:top w:w="100" w:type="dxa"/>
              <w:start w:w="120" w:type="dxa"/>
              <w:bottom w:w="100" w:type="dxa"/>
              <w:end w:w="120" w:type="dxa"/>
            </w:tcMar>
          </w:tcPr>
          <w:p>
            <w:pPr>
              <w:spacing w:after="0"/>
            </w:pPr>
            <w:r/>
            <w:r>
              <w:rPr>
                <w:rFonts w:ascii="Aptos" w:hAnsi="Aptos"/>
                <w:b w:val="0"/>
                <w:sz w:val="17"/>
              </w:rPr>
              <w:t>51+</w:t>
            </w:r>
          </w:p>
        </w:tc>
      </w:tr>
    </w:tbl>
    <w:p>
      <w:pPr>
        <w:spacing w:after="0"/>
      </w:pPr>
    </w:p>
    <w:p>
      <w:r>
        <w:t>Use when: you want simple website pricing and predictable invoices. Example: a dealer with 37 active vehicles pays $249/month plus any selected add-ons.</w:t>
      </w:r>
    </w:p>
    <w:p>
      <w:pPr>
        <w:pStyle w:val="Heading2"/>
      </w:pPr>
      <w:r>
        <w:t>MODEL B — Platform fee plus usage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02A43"/>
            <w:vAlign w:val="center"/>
            <w:tcMar>
              <w:top w:w="100" w:type="dxa"/>
              <w:start w:w="120" w:type="dxa"/>
              <w:bottom w:w="100" w:type="dxa"/>
              <w:end w:w="120" w:type="dxa"/>
            </w:tcMar>
          </w:tcPr>
          <w:p>
            <w:pPr>
              <w:spacing w:after="0"/>
            </w:pPr>
            <w:r/>
            <w:r>
              <w:rPr>
                <w:rFonts w:ascii="Aptos" w:hAnsi="Aptos"/>
                <w:b/>
                <w:color w:val="FFFFFF"/>
                <w:sz w:val="18"/>
              </w:rPr>
              <w:t>Component</w:t>
            </w:r>
          </w:p>
        </w:tc>
        <w:tc>
          <w:tcPr>
            <w:tcW w:type="dxa" w:w="5083"/>
            <w:shd w:fill="102A43"/>
            <w:vAlign w:val="center"/>
            <w:tcMar>
              <w:top w:w="100" w:type="dxa"/>
              <w:start w:w="120" w:type="dxa"/>
              <w:bottom w:w="100" w:type="dxa"/>
              <w:end w:w="120" w:type="dxa"/>
            </w:tcMar>
          </w:tcPr>
          <w:p>
            <w:pPr>
              <w:spacing w:after="0"/>
            </w:pPr>
            <w:r/>
            <w:r>
              <w:rPr>
                <w:rFonts w:ascii="Aptos" w:hAnsi="Aptos"/>
                <w:b/>
                <w:color w:val="FFFFFF"/>
                <w:sz w:val="18"/>
              </w:rPr>
              <w:t>Price</w:t>
            </w:r>
          </w:p>
        </w:tc>
      </w:tr>
      <w:tr>
        <w:trPr>
          <w:cantSplit/>
        </w:trPr>
        <w:tc>
          <w:tcPr>
            <w:tcW w:type="dxa" w:w="5083"/>
            <w:vAlign w:val="center"/>
            <w:tcMar>
              <w:top w:w="100" w:type="dxa"/>
              <w:start w:w="120" w:type="dxa"/>
              <w:bottom w:w="100" w:type="dxa"/>
              <w:end w:w="120" w:type="dxa"/>
            </w:tcMar>
          </w:tcPr>
          <w:p>
            <w:pPr>
              <w:spacing w:after="0"/>
            </w:pPr>
            <w:r/>
            <w:r>
              <w:rPr>
                <w:rFonts w:ascii="Aptos" w:hAnsi="Aptos"/>
                <w:b w:val="0"/>
                <w:sz w:val="17"/>
              </w:rPr>
              <w:t>Base platform</w:t>
            </w:r>
          </w:p>
        </w:tc>
        <w:tc>
          <w:tcPr>
            <w:tcW w:type="dxa" w:w="5083"/>
            <w:vAlign w:val="center"/>
            <w:tcMar>
              <w:top w:w="100" w:type="dxa"/>
              <w:start w:w="120" w:type="dxa"/>
              <w:bottom w:w="100" w:type="dxa"/>
              <w:end w:w="120" w:type="dxa"/>
            </w:tcMar>
          </w:tcPr>
          <w:p>
            <w:pPr>
              <w:spacing w:after="0"/>
            </w:pPr>
            <w:r/>
            <w:r>
              <w:rPr>
                <w:rFonts w:ascii="Aptos" w:hAnsi="Aptos"/>
                <w:b w:val="0"/>
                <w:sz w:val="17"/>
              </w:rPr>
              <w:t>$99/month</w:t>
            </w:r>
          </w:p>
        </w:tc>
      </w:tr>
      <w:tr>
        <w:trPr>
          <w:cantSplit/>
        </w:trPr>
        <w:tc>
          <w:tcPr>
            <w:tcW w:type="dxa" w:w="5083"/>
            <w:shd w:fill="F6F9FC"/>
            <w:vAlign w:val="center"/>
            <w:tcMar>
              <w:top w:w="100" w:type="dxa"/>
              <w:start w:w="120" w:type="dxa"/>
              <w:bottom w:w="100" w:type="dxa"/>
              <w:end w:w="120" w:type="dxa"/>
            </w:tcMar>
          </w:tcPr>
          <w:p>
            <w:pPr>
              <w:spacing w:after="0"/>
            </w:pPr>
            <w:r/>
            <w:r>
              <w:rPr>
                <w:rFonts w:ascii="Aptos" w:hAnsi="Aptos"/>
                <w:b w:val="0"/>
                <w:sz w:val="17"/>
              </w:rPr>
              <w:t>Active vehicle usage</w:t>
            </w:r>
          </w:p>
        </w:tc>
        <w:tc>
          <w:tcPr>
            <w:tcW w:type="dxa" w:w="5083"/>
            <w:shd w:fill="F6F9FC"/>
            <w:vAlign w:val="center"/>
            <w:tcMar>
              <w:top w:w="100" w:type="dxa"/>
              <w:start w:w="120" w:type="dxa"/>
              <w:bottom w:w="100" w:type="dxa"/>
              <w:end w:w="120" w:type="dxa"/>
            </w:tcMar>
          </w:tcPr>
          <w:p>
            <w:pPr>
              <w:spacing w:after="0"/>
            </w:pPr>
            <w:r/>
            <w:r>
              <w:rPr>
                <w:rFonts w:ascii="Aptos" w:hAnsi="Aptos"/>
                <w:b w:val="0"/>
                <w:sz w:val="17"/>
              </w:rPr>
              <w:t>$4 per vehicle/month</w:t>
            </w:r>
          </w:p>
        </w:tc>
      </w:tr>
      <w:tr>
        <w:trPr>
          <w:cantSplit/>
        </w:trPr>
        <w:tc>
          <w:tcPr>
            <w:tcW w:type="dxa" w:w="5083"/>
            <w:vAlign w:val="center"/>
            <w:tcMar>
              <w:top w:w="100" w:type="dxa"/>
              <w:start w:w="120" w:type="dxa"/>
              <w:bottom w:w="100" w:type="dxa"/>
              <w:end w:w="120" w:type="dxa"/>
            </w:tcMar>
          </w:tcPr>
          <w:p>
            <w:pPr>
              <w:spacing w:after="0"/>
            </w:pPr>
            <w:r/>
            <w:r>
              <w:rPr>
                <w:rFonts w:ascii="Aptos" w:hAnsi="Aptos"/>
                <w:b w:val="0"/>
                <w:sz w:val="17"/>
              </w:rPr>
              <w:t>Monthly minimum</w:t>
            </w:r>
          </w:p>
        </w:tc>
        <w:tc>
          <w:tcPr>
            <w:tcW w:type="dxa" w:w="5083"/>
            <w:vAlign w:val="center"/>
            <w:tcMar>
              <w:top w:w="100" w:type="dxa"/>
              <w:start w:w="120" w:type="dxa"/>
              <w:bottom w:w="100" w:type="dxa"/>
              <w:end w:w="120" w:type="dxa"/>
            </w:tcMar>
          </w:tcPr>
          <w:p>
            <w:pPr>
              <w:spacing w:after="0"/>
            </w:pPr>
            <w:r/>
            <w:r>
              <w:rPr>
                <w:rFonts w:ascii="Aptos" w:hAnsi="Aptos"/>
                <w:b w:val="0"/>
                <w:sz w:val="17"/>
              </w:rPr>
              <w:t>$129</w:t>
            </w:r>
          </w:p>
        </w:tc>
      </w:tr>
      <w:tr>
        <w:trPr>
          <w:cantSplit/>
        </w:trPr>
        <w:tc>
          <w:tcPr>
            <w:tcW w:type="dxa" w:w="5083"/>
            <w:shd w:fill="F6F9FC"/>
            <w:vAlign w:val="center"/>
            <w:tcMar>
              <w:top w:w="100" w:type="dxa"/>
              <w:start w:w="120" w:type="dxa"/>
              <w:bottom w:w="100" w:type="dxa"/>
              <w:end w:w="120" w:type="dxa"/>
            </w:tcMar>
          </w:tcPr>
          <w:p>
            <w:pPr>
              <w:spacing w:after="0"/>
            </w:pPr>
            <w:r/>
            <w:r>
              <w:rPr>
                <w:rFonts w:ascii="Aptos" w:hAnsi="Aptos"/>
                <w:b w:val="0"/>
                <w:sz w:val="17"/>
              </w:rPr>
              <w:t>Monthly maximum for one location</w:t>
            </w:r>
          </w:p>
        </w:tc>
        <w:tc>
          <w:tcPr>
            <w:tcW w:type="dxa" w:w="5083"/>
            <w:shd w:fill="F6F9FC"/>
            <w:vAlign w:val="center"/>
            <w:tcMar>
              <w:top w:w="100" w:type="dxa"/>
              <w:start w:w="120" w:type="dxa"/>
              <w:bottom w:w="100" w:type="dxa"/>
              <w:end w:w="120" w:type="dxa"/>
            </w:tcMar>
          </w:tcPr>
          <w:p>
            <w:pPr>
              <w:spacing w:after="0"/>
            </w:pPr>
            <w:r/>
            <w:r>
              <w:rPr>
                <w:rFonts w:ascii="Aptos" w:hAnsi="Aptos"/>
                <w:b w:val="0"/>
                <w:sz w:val="17"/>
              </w:rPr>
              <w:t>$449</w:t>
            </w:r>
          </w:p>
        </w:tc>
      </w:tr>
      <w:tr>
        <w:trPr>
          <w:cantSplit/>
        </w:trPr>
        <w:tc>
          <w:tcPr>
            <w:tcW w:type="dxa" w:w="5083"/>
            <w:vAlign w:val="center"/>
            <w:tcMar>
              <w:top w:w="100" w:type="dxa"/>
              <w:start w:w="120" w:type="dxa"/>
              <w:bottom w:w="100" w:type="dxa"/>
              <w:end w:w="120" w:type="dxa"/>
            </w:tcMar>
          </w:tcPr>
          <w:p>
            <w:pPr>
              <w:spacing w:after="0"/>
            </w:pPr>
            <w:r/>
            <w:r>
              <w:rPr>
                <w:rFonts w:ascii="Aptos" w:hAnsi="Aptos"/>
                <w:b w:val="0"/>
                <w:sz w:val="17"/>
              </w:rPr>
              <w:t>Onboarding</w:t>
            </w:r>
          </w:p>
        </w:tc>
        <w:tc>
          <w:tcPr>
            <w:tcW w:type="dxa" w:w="5083"/>
            <w:vAlign w:val="center"/>
            <w:tcMar>
              <w:top w:w="100" w:type="dxa"/>
              <w:start w:w="120" w:type="dxa"/>
              <w:bottom w:w="100" w:type="dxa"/>
              <w:end w:w="120" w:type="dxa"/>
            </w:tcMar>
          </w:tcPr>
          <w:p>
            <w:pPr>
              <w:spacing w:after="0"/>
            </w:pPr>
            <w:r/>
            <w:r>
              <w:rPr>
                <w:rFonts w:ascii="Aptos" w:hAnsi="Aptos"/>
                <w:b w:val="0"/>
                <w:sz w:val="17"/>
              </w:rPr>
              <w:t>$599</w:t>
            </w:r>
          </w:p>
        </w:tc>
      </w:tr>
      <w:tr>
        <w:trPr>
          <w:cantSplit/>
        </w:trPr>
        <w:tc>
          <w:tcPr>
            <w:tcW w:type="dxa" w:w="5083"/>
            <w:shd w:fill="F6F9FC"/>
            <w:vAlign w:val="center"/>
            <w:tcMar>
              <w:top w:w="100" w:type="dxa"/>
              <w:start w:w="120" w:type="dxa"/>
              <w:bottom w:w="100" w:type="dxa"/>
              <w:end w:w="120" w:type="dxa"/>
            </w:tcMar>
          </w:tcPr>
          <w:p>
            <w:pPr>
              <w:spacing w:after="0"/>
            </w:pPr>
            <w:r/>
            <w:r>
              <w:rPr>
                <w:rFonts w:ascii="Aptos" w:hAnsi="Aptos"/>
                <w:b w:val="0"/>
                <w:sz w:val="17"/>
              </w:rPr>
              <w:t>Additional location</w:t>
            </w:r>
          </w:p>
        </w:tc>
        <w:tc>
          <w:tcPr>
            <w:tcW w:type="dxa" w:w="5083"/>
            <w:shd w:fill="F6F9FC"/>
            <w:vAlign w:val="center"/>
            <w:tcMar>
              <w:top w:w="100" w:type="dxa"/>
              <w:start w:w="120" w:type="dxa"/>
              <w:bottom w:w="100" w:type="dxa"/>
              <w:end w:w="120" w:type="dxa"/>
            </w:tcMar>
          </w:tcPr>
          <w:p>
            <w:pPr>
              <w:spacing w:after="0"/>
            </w:pPr>
            <w:r/>
            <w:r>
              <w:rPr>
                <w:rFonts w:ascii="Aptos" w:hAnsi="Aptos"/>
                <w:b w:val="0"/>
                <w:sz w:val="17"/>
              </w:rPr>
              <w:t>$149/month</w:t>
            </w:r>
          </w:p>
        </w:tc>
      </w:tr>
    </w:tbl>
    <w:p>
      <w:pPr>
        <w:spacing w:after="0"/>
      </w:pPr>
    </w:p>
    <w:p>
      <w:r>
        <w:t>Use when: inventory fluctuates and prospects resist tier jumps. Example: 37 active vehicles = $99 + (37 × $4) = $247/month.</w:t>
      </w:r>
    </w:p>
    <w:p>
      <w:pPr>
        <w:pStyle w:val="Heading2"/>
      </w:pPr>
      <w:r>
        <w:t>MODEL C — Commitment/value bundles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02A43"/>
            <w:vAlign w:val="center"/>
            <w:tcMar>
              <w:top w:w="100" w:type="dxa"/>
              <w:start w:w="120" w:type="dxa"/>
              <w:bottom w:w="100" w:type="dxa"/>
              <w:end w:w="120" w:type="dxa"/>
            </w:tcMar>
          </w:tcPr>
          <w:p>
            <w:pPr>
              <w:spacing w:after="0"/>
            </w:pPr>
            <w:r/>
            <w:r>
              <w:rPr>
                <w:rFonts w:ascii="Aptos" w:hAnsi="Aptos"/>
                <w:b/>
                <w:color w:val="FFFFFF"/>
                <w:sz w:val="18"/>
              </w:rPr>
              <w:t>Plan</w:t>
            </w:r>
          </w:p>
        </w:tc>
        <w:tc>
          <w:tcPr>
            <w:tcW w:type="dxa" w:w="2541"/>
            <w:shd w:fill="102A43"/>
            <w:vAlign w:val="center"/>
            <w:tcMar>
              <w:top w:w="100" w:type="dxa"/>
              <w:start w:w="120" w:type="dxa"/>
              <w:bottom w:w="100" w:type="dxa"/>
              <w:end w:w="120" w:type="dxa"/>
            </w:tcMar>
          </w:tcPr>
          <w:p>
            <w:pPr>
              <w:spacing w:after="0"/>
            </w:pPr>
            <w:r/>
            <w:r>
              <w:rPr>
                <w:rFonts w:ascii="Aptos" w:hAnsi="Aptos"/>
                <w:b/>
                <w:color w:val="FFFFFF"/>
                <w:sz w:val="18"/>
              </w:rPr>
              <w:t>Month-to-month</w:t>
            </w:r>
          </w:p>
        </w:tc>
        <w:tc>
          <w:tcPr>
            <w:tcW w:type="dxa" w:w="2541"/>
            <w:shd w:fill="102A43"/>
            <w:vAlign w:val="center"/>
            <w:tcMar>
              <w:top w:w="100" w:type="dxa"/>
              <w:start w:w="120" w:type="dxa"/>
              <w:bottom w:w="100" w:type="dxa"/>
              <w:end w:w="120" w:type="dxa"/>
            </w:tcMar>
          </w:tcPr>
          <w:p>
            <w:pPr>
              <w:spacing w:after="0"/>
            </w:pPr>
            <w:r/>
            <w:r>
              <w:rPr>
                <w:rFonts w:ascii="Aptos" w:hAnsi="Aptos"/>
                <w:b/>
                <w:color w:val="FFFFFF"/>
                <w:sz w:val="18"/>
              </w:rPr>
              <w:t>12-month monthly billing</w:t>
            </w:r>
          </w:p>
        </w:tc>
        <w:tc>
          <w:tcPr>
            <w:tcW w:type="dxa" w:w="2541"/>
            <w:shd w:fill="102A43"/>
            <w:vAlign w:val="center"/>
            <w:tcMar>
              <w:top w:w="100" w:type="dxa"/>
              <w:start w:w="120" w:type="dxa"/>
              <w:bottom w:w="100" w:type="dxa"/>
              <w:end w:w="120" w:type="dxa"/>
            </w:tcMar>
          </w:tcPr>
          <w:p>
            <w:pPr>
              <w:spacing w:after="0"/>
            </w:pPr>
            <w:r/>
            <w:r>
              <w:rPr>
                <w:rFonts w:ascii="Aptos" w:hAnsi="Aptos"/>
                <w:b/>
                <w:color w:val="FFFFFF"/>
                <w:sz w:val="18"/>
              </w:rPr>
              <w:t>Annual prepay</w:t>
            </w:r>
          </w:p>
        </w:tc>
      </w:tr>
      <w:tr>
        <w:trPr>
          <w:cantSplit/>
        </w:trPr>
        <w:tc>
          <w:tcPr>
            <w:tcW w:type="dxa" w:w="2541"/>
            <w:vAlign w:val="center"/>
            <w:tcMar>
              <w:top w:w="100" w:type="dxa"/>
              <w:start w:w="120" w:type="dxa"/>
              <w:bottom w:w="100" w:type="dxa"/>
              <w:end w:w="120" w:type="dxa"/>
            </w:tcMar>
          </w:tcPr>
          <w:p>
            <w:pPr>
              <w:spacing w:after="0"/>
            </w:pPr>
            <w:r/>
            <w:r>
              <w:rPr>
                <w:rFonts w:ascii="Aptos" w:hAnsi="Aptos"/>
                <w:b w:val="0"/>
                <w:sz w:val="17"/>
              </w:rPr>
              <w:t>Starter</w:t>
            </w:r>
          </w:p>
        </w:tc>
        <w:tc>
          <w:tcPr>
            <w:tcW w:type="dxa" w:w="2541"/>
            <w:vAlign w:val="center"/>
            <w:tcMar>
              <w:top w:w="100" w:type="dxa"/>
              <w:start w:w="120" w:type="dxa"/>
              <w:bottom w:w="100" w:type="dxa"/>
              <w:end w:w="120" w:type="dxa"/>
            </w:tcMar>
          </w:tcPr>
          <w:p>
            <w:pPr>
              <w:spacing w:after="0"/>
            </w:pPr>
            <w:r/>
            <w:r>
              <w:rPr>
                <w:rFonts w:ascii="Aptos" w:hAnsi="Aptos"/>
                <w:b w:val="0"/>
                <w:sz w:val="17"/>
              </w:rPr>
              <w:t>$169</w:t>
            </w:r>
          </w:p>
        </w:tc>
        <w:tc>
          <w:tcPr>
            <w:tcW w:type="dxa" w:w="2541"/>
            <w:vAlign w:val="center"/>
            <w:tcMar>
              <w:top w:w="100" w:type="dxa"/>
              <w:start w:w="120" w:type="dxa"/>
              <w:bottom w:w="100" w:type="dxa"/>
              <w:end w:w="120" w:type="dxa"/>
            </w:tcMar>
          </w:tcPr>
          <w:p>
            <w:pPr>
              <w:spacing w:after="0"/>
            </w:pPr>
            <w:r/>
            <w:r>
              <w:rPr>
                <w:rFonts w:ascii="Aptos" w:hAnsi="Aptos"/>
                <w:b w:val="0"/>
                <w:sz w:val="17"/>
              </w:rPr>
              <w:t>$149</w:t>
            </w:r>
          </w:p>
        </w:tc>
        <w:tc>
          <w:tcPr>
            <w:tcW w:type="dxa" w:w="2541"/>
            <w:vAlign w:val="center"/>
            <w:tcMar>
              <w:top w:w="100" w:type="dxa"/>
              <w:start w:w="120" w:type="dxa"/>
              <w:bottom w:w="100" w:type="dxa"/>
              <w:end w:w="120" w:type="dxa"/>
            </w:tcMar>
          </w:tcPr>
          <w:p>
            <w:pPr>
              <w:spacing w:after="0"/>
            </w:pPr>
            <w:r/>
            <w:r>
              <w:rPr>
                <w:rFonts w:ascii="Aptos" w:hAnsi="Aptos"/>
                <w:b w:val="0"/>
                <w:sz w:val="17"/>
              </w:rPr>
              <w:t>$1,519</w:t>
            </w:r>
          </w:p>
        </w:tc>
      </w:tr>
      <w:tr>
        <w:trPr>
          <w:cantSplit/>
        </w:trPr>
        <w:tc>
          <w:tcPr>
            <w:tcW w:type="dxa" w:w="2541"/>
            <w:shd w:fill="F6F9FC"/>
            <w:vAlign w:val="center"/>
            <w:tcMar>
              <w:top w:w="100" w:type="dxa"/>
              <w:start w:w="120" w:type="dxa"/>
              <w:bottom w:w="100" w:type="dxa"/>
              <w:end w:w="120" w:type="dxa"/>
            </w:tcMar>
          </w:tcPr>
          <w:p>
            <w:pPr>
              <w:spacing w:after="0"/>
            </w:pPr>
            <w:r/>
            <w:r>
              <w:rPr>
                <w:rFonts w:ascii="Aptos" w:hAnsi="Aptos"/>
                <w:b w:val="0"/>
                <w:sz w:val="17"/>
              </w:rPr>
              <w:t>Growth</w:t>
            </w:r>
          </w:p>
        </w:tc>
        <w:tc>
          <w:tcPr>
            <w:tcW w:type="dxa" w:w="2541"/>
            <w:shd w:fill="F6F9FC"/>
            <w:vAlign w:val="center"/>
            <w:tcMar>
              <w:top w:w="100" w:type="dxa"/>
              <w:start w:w="120" w:type="dxa"/>
              <w:bottom w:w="100" w:type="dxa"/>
              <w:end w:w="120" w:type="dxa"/>
            </w:tcMar>
          </w:tcPr>
          <w:p>
            <w:pPr>
              <w:spacing w:after="0"/>
            </w:pPr>
            <w:r/>
            <w:r>
              <w:rPr>
                <w:rFonts w:ascii="Aptos" w:hAnsi="Aptos"/>
                <w:b w:val="0"/>
                <w:sz w:val="17"/>
              </w:rPr>
              <w:t>$289</w:t>
            </w:r>
          </w:p>
        </w:tc>
        <w:tc>
          <w:tcPr>
            <w:tcW w:type="dxa" w:w="2541"/>
            <w:shd w:fill="F6F9FC"/>
            <w:vAlign w:val="center"/>
            <w:tcMar>
              <w:top w:w="100" w:type="dxa"/>
              <w:start w:w="120" w:type="dxa"/>
              <w:bottom w:w="100" w:type="dxa"/>
              <w:end w:w="120" w:type="dxa"/>
            </w:tcMar>
          </w:tcPr>
          <w:p>
            <w:pPr>
              <w:spacing w:after="0"/>
            </w:pPr>
            <w:r/>
            <w:r>
              <w:rPr>
                <w:rFonts w:ascii="Aptos" w:hAnsi="Aptos"/>
                <w:b w:val="0"/>
                <w:sz w:val="17"/>
              </w:rPr>
              <w:t>$249</w:t>
            </w:r>
          </w:p>
        </w:tc>
        <w:tc>
          <w:tcPr>
            <w:tcW w:type="dxa" w:w="2541"/>
            <w:shd w:fill="F6F9FC"/>
            <w:vAlign w:val="center"/>
            <w:tcMar>
              <w:top w:w="100" w:type="dxa"/>
              <w:start w:w="120" w:type="dxa"/>
              <w:bottom w:w="100" w:type="dxa"/>
              <w:end w:w="120" w:type="dxa"/>
            </w:tcMar>
          </w:tcPr>
          <w:p>
            <w:pPr>
              <w:spacing w:after="0"/>
            </w:pPr>
            <w:r/>
            <w:r>
              <w:rPr>
                <w:rFonts w:ascii="Aptos" w:hAnsi="Aptos"/>
                <w:b w:val="0"/>
                <w:sz w:val="17"/>
              </w:rPr>
              <w:t>$2,539</w:t>
            </w:r>
          </w:p>
        </w:tc>
      </w:tr>
      <w:tr>
        <w:trPr>
          <w:cantSplit/>
        </w:trPr>
        <w:tc>
          <w:tcPr>
            <w:tcW w:type="dxa" w:w="2541"/>
            <w:vAlign w:val="center"/>
            <w:tcMar>
              <w:top w:w="100" w:type="dxa"/>
              <w:start w:w="120" w:type="dxa"/>
              <w:bottom w:w="100" w:type="dxa"/>
              <w:end w:w="120" w:type="dxa"/>
            </w:tcMar>
          </w:tcPr>
          <w:p>
            <w:pPr>
              <w:spacing w:after="0"/>
            </w:pPr>
            <w:r/>
            <w:r>
              <w:rPr>
                <w:rFonts w:ascii="Aptos" w:hAnsi="Aptos"/>
                <w:b w:val="0"/>
                <w:sz w:val="17"/>
              </w:rPr>
              <w:t>Scale</w:t>
            </w:r>
          </w:p>
        </w:tc>
        <w:tc>
          <w:tcPr>
            <w:tcW w:type="dxa" w:w="2541"/>
            <w:vAlign w:val="center"/>
            <w:tcMar>
              <w:top w:w="100" w:type="dxa"/>
              <w:start w:w="120" w:type="dxa"/>
              <w:bottom w:w="100" w:type="dxa"/>
              <w:end w:w="120" w:type="dxa"/>
            </w:tcMar>
          </w:tcPr>
          <w:p>
            <w:pPr>
              <w:spacing w:after="0"/>
            </w:pPr>
            <w:r/>
            <w:r>
              <w:rPr>
                <w:rFonts w:ascii="Aptos" w:hAnsi="Aptos"/>
                <w:b w:val="0"/>
                <w:sz w:val="17"/>
              </w:rPr>
              <w:t>$449</w:t>
            </w:r>
          </w:p>
        </w:tc>
        <w:tc>
          <w:tcPr>
            <w:tcW w:type="dxa" w:w="2541"/>
            <w:vAlign w:val="center"/>
            <w:tcMar>
              <w:top w:w="100" w:type="dxa"/>
              <w:start w:w="120" w:type="dxa"/>
              <w:bottom w:w="100" w:type="dxa"/>
              <w:end w:w="120" w:type="dxa"/>
            </w:tcMar>
          </w:tcPr>
          <w:p>
            <w:pPr>
              <w:spacing w:after="0"/>
            </w:pPr>
            <w:r/>
            <w:r>
              <w:rPr>
                <w:rFonts w:ascii="Aptos" w:hAnsi="Aptos"/>
                <w:b w:val="0"/>
                <w:sz w:val="17"/>
              </w:rPr>
              <w:t>$399</w:t>
            </w:r>
          </w:p>
        </w:tc>
        <w:tc>
          <w:tcPr>
            <w:tcW w:type="dxa" w:w="2541"/>
            <w:vAlign w:val="center"/>
            <w:tcMar>
              <w:top w:w="100" w:type="dxa"/>
              <w:start w:w="120" w:type="dxa"/>
              <w:bottom w:w="100" w:type="dxa"/>
              <w:end w:w="120" w:type="dxa"/>
            </w:tcMar>
          </w:tcPr>
          <w:p>
            <w:pPr>
              <w:spacing w:after="0"/>
            </w:pPr>
            <w:r/>
            <w:r>
              <w:rPr>
                <w:rFonts w:ascii="Aptos" w:hAnsi="Aptos"/>
                <w:b w:val="0"/>
                <w:sz w:val="17"/>
              </w:rPr>
              <w:t>$4,069 from</w:t>
            </w:r>
          </w:p>
        </w:tc>
      </w:tr>
    </w:tbl>
    <w:p>
      <w:pPr>
        <w:spacing w:after="0"/>
      </w:pPr>
    </w:p>
    <w:p>
      <w:r>
        <w:t>Use when: the dealership requests a discount. The discount is exchanged for commitment, not given without consideration.</w:t>
      </w:r>
    </w:p>
    <w:p>
      <w:pPr>
        <w:pStyle w:val="Heading2"/>
      </w:pPr>
      <w:r>
        <w:t>Guardrails</w:t>
      </w:r>
    </w:p>
    <w:p>
      <w:pPr>
        <w:pStyle w:val="ListBullet"/>
      </w:pPr>
      <w:r>
        <w:t>Never discount onboarding below actual migration and training cost.</w:t>
      </w:r>
    </w:p>
    <w:p>
      <w:pPr>
        <w:pStyle w:val="ListBullet"/>
      </w:pPr>
      <w:r>
        <w:t>Cap promotional discounts at 15% and add an expiration date.</w:t>
      </w:r>
    </w:p>
    <w:p>
      <w:pPr>
        <w:pStyle w:val="ListBullet"/>
      </w:pPr>
      <w:r>
        <w:t>Quote multi-location, custom forms, custom integrations, and white-label use separately.</w:t>
      </w:r>
    </w:p>
    <w:p>
      <w:pPr>
        <w:pStyle w:val="ListBullet"/>
      </w:pPr>
      <w:r>
        <w:t>Review pricing every six months, but honor signed order-form pricing during the committed term.</w:t>
      </w:r>
    </w:p>
    <w:p>
      <w:pPr>
        <w:pStyle w:val="Heading1"/>
      </w:pPr>
      <w:r>
        <w:t>Package Feature Structure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456"/>
            <w:shd w:fill="102A43"/>
            <w:vAlign w:val="center"/>
            <w:tcMar>
              <w:top w:w="100" w:type="dxa"/>
              <w:start w:w="120" w:type="dxa"/>
              <w:bottom w:w="100" w:type="dxa"/>
              <w:end w:w="120" w:type="dxa"/>
            </w:tcMar>
          </w:tcPr>
          <w:p>
            <w:pPr>
              <w:spacing w:after="0"/>
            </w:pPr>
            <w:r/>
            <w:r>
              <w:rPr>
                <w:rFonts w:ascii="Aptos" w:hAnsi="Aptos"/>
                <w:b/>
                <w:color w:val="FFFFFF"/>
                <w:sz w:val="18"/>
              </w:rPr>
              <w:t>Capability</w:t>
            </w:r>
          </w:p>
        </w:tc>
        <w:tc>
          <w:tcPr>
            <w:tcW w:type="dxa" w:w="2232"/>
            <w:shd w:fill="102A43"/>
            <w:vAlign w:val="center"/>
            <w:tcMar>
              <w:top w:w="100" w:type="dxa"/>
              <w:start w:w="120" w:type="dxa"/>
              <w:bottom w:w="100" w:type="dxa"/>
              <w:end w:w="120" w:type="dxa"/>
            </w:tcMar>
          </w:tcPr>
          <w:p>
            <w:pPr>
              <w:spacing w:after="0"/>
            </w:pPr>
            <w:r/>
            <w:r>
              <w:rPr>
                <w:rFonts w:ascii="Aptos" w:hAnsi="Aptos"/>
                <w:b/>
                <w:color w:val="FFFFFF"/>
                <w:sz w:val="18"/>
              </w:rPr>
              <w:t>Starter</w:t>
            </w:r>
          </w:p>
        </w:tc>
        <w:tc>
          <w:tcPr>
            <w:tcW w:type="dxa" w:w="2232"/>
            <w:shd w:fill="102A43"/>
            <w:vAlign w:val="center"/>
            <w:tcMar>
              <w:top w:w="100" w:type="dxa"/>
              <w:start w:w="120" w:type="dxa"/>
              <w:bottom w:w="100" w:type="dxa"/>
              <w:end w:w="120" w:type="dxa"/>
            </w:tcMar>
          </w:tcPr>
          <w:p>
            <w:pPr>
              <w:spacing w:after="0"/>
            </w:pPr>
            <w:r/>
            <w:r>
              <w:rPr>
                <w:rFonts w:ascii="Aptos" w:hAnsi="Aptos"/>
                <w:b/>
                <w:color w:val="FFFFFF"/>
                <w:sz w:val="18"/>
              </w:rPr>
              <w:t>Growth</w:t>
            </w:r>
          </w:p>
        </w:tc>
        <w:tc>
          <w:tcPr>
            <w:tcW w:type="dxa" w:w="2232"/>
            <w:shd w:fill="102A43"/>
            <w:vAlign w:val="center"/>
            <w:tcMar>
              <w:top w:w="100" w:type="dxa"/>
              <w:start w:w="120" w:type="dxa"/>
              <w:bottom w:w="100" w:type="dxa"/>
              <w:end w:w="120" w:type="dxa"/>
            </w:tcMar>
          </w:tcPr>
          <w:p>
            <w:pPr>
              <w:spacing w:after="0"/>
            </w:pPr>
            <w:r/>
            <w:r>
              <w:rPr>
                <w:rFonts w:ascii="Aptos" w:hAnsi="Aptos"/>
                <w:b/>
                <w:color w:val="FFFFFF"/>
                <w:sz w:val="18"/>
              </w:rPr>
              <w:t>Scale</w:t>
            </w:r>
          </w:p>
        </w:tc>
      </w:tr>
      <w:tr>
        <w:trPr>
          <w:cantSplit/>
        </w:trPr>
        <w:tc>
          <w:tcPr>
            <w:tcW w:type="dxa" w:w="3456"/>
            <w:vAlign w:val="center"/>
            <w:tcMar>
              <w:top w:w="100" w:type="dxa"/>
              <w:start w:w="120" w:type="dxa"/>
              <w:bottom w:w="100" w:type="dxa"/>
              <w:end w:w="120" w:type="dxa"/>
            </w:tcMar>
          </w:tcPr>
          <w:p>
            <w:pPr>
              <w:spacing w:after="0"/>
            </w:pPr>
            <w:r/>
            <w:r>
              <w:rPr>
                <w:rFonts w:ascii="Aptos" w:hAnsi="Aptos"/>
                <w:b w:val="0"/>
                <w:sz w:val="17"/>
              </w:rPr>
              <w:t>Inventory and vehicle records</w:t>
            </w:r>
          </w:p>
        </w:tc>
        <w:tc>
          <w:tcPr>
            <w:tcW w:type="dxa" w:w="2232"/>
            <w:vAlign w:val="center"/>
            <w:tcMar>
              <w:top w:w="100" w:type="dxa"/>
              <w:start w:w="120" w:type="dxa"/>
              <w:bottom w:w="100" w:type="dxa"/>
              <w:end w:w="120" w:type="dxa"/>
            </w:tcMar>
          </w:tcPr>
          <w:p>
            <w:pPr>
              <w:spacing w:after="0"/>
            </w:pPr>
            <w:r/>
            <w:r>
              <w:rPr>
                <w:rFonts w:ascii="Aptos" w:hAnsi="Aptos"/>
                <w:b w:val="0"/>
                <w:sz w:val="17"/>
              </w:rPr>
              <w:t>Included</w:t>
            </w:r>
          </w:p>
        </w:tc>
        <w:tc>
          <w:tcPr>
            <w:tcW w:type="dxa" w:w="2232"/>
            <w:vAlign w:val="center"/>
            <w:tcMar>
              <w:top w:w="100" w:type="dxa"/>
              <w:start w:w="120" w:type="dxa"/>
              <w:bottom w:w="100" w:type="dxa"/>
              <w:end w:w="120" w:type="dxa"/>
            </w:tcMar>
          </w:tcPr>
          <w:p>
            <w:pPr>
              <w:spacing w:after="0"/>
            </w:pPr>
            <w:r/>
            <w:r>
              <w:rPr>
                <w:rFonts w:ascii="Aptos" w:hAnsi="Aptos"/>
                <w:b w:val="0"/>
                <w:sz w:val="17"/>
              </w:rPr>
              <w:t>Included</w:t>
            </w:r>
          </w:p>
        </w:tc>
        <w:tc>
          <w:tcPr>
            <w:tcW w:type="dxa" w:w="2232"/>
            <w:vAlign w:val="center"/>
            <w:tcMar>
              <w:top w:w="100" w:type="dxa"/>
              <w:start w:w="120" w:type="dxa"/>
              <w:bottom w:w="100" w:type="dxa"/>
              <w:end w:w="120" w:type="dxa"/>
            </w:tcMar>
          </w:tcPr>
          <w:p>
            <w:pPr>
              <w:spacing w:after="0"/>
            </w:pPr>
            <w:r/>
            <w:r>
              <w:rPr>
                <w:rFonts w:ascii="Aptos" w:hAnsi="Aptos"/>
                <w:b w:val="0"/>
                <w:sz w:val="17"/>
              </w:rPr>
              <w:t>Included</w:t>
            </w:r>
          </w:p>
        </w:tc>
      </w:tr>
      <w:tr>
        <w:trPr>
          <w:cantSplit/>
        </w:trPr>
        <w:tc>
          <w:tcPr>
            <w:tcW w:type="dxa" w:w="3456"/>
            <w:shd w:fill="F6F9FC"/>
            <w:vAlign w:val="center"/>
            <w:tcMar>
              <w:top w:w="100" w:type="dxa"/>
              <w:start w:w="120" w:type="dxa"/>
              <w:bottom w:w="100" w:type="dxa"/>
              <w:end w:w="120" w:type="dxa"/>
            </w:tcMar>
          </w:tcPr>
          <w:p>
            <w:pPr>
              <w:spacing w:after="0"/>
            </w:pPr>
            <w:r/>
            <w:r>
              <w:rPr>
                <w:rFonts w:ascii="Aptos" w:hAnsi="Aptos"/>
                <w:b w:val="0"/>
                <w:sz w:val="17"/>
              </w:rPr>
              <w:t>VIN decode and vehicle profile</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Included</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Included</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Included</w:t>
            </w:r>
          </w:p>
        </w:tc>
      </w:tr>
      <w:tr>
        <w:trPr>
          <w:cantSplit/>
        </w:trPr>
        <w:tc>
          <w:tcPr>
            <w:tcW w:type="dxa" w:w="3456"/>
            <w:vAlign w:val="center"/>
            <w:tcMar>
              <w:top w:w="100" w:type="dxa"/>
              <w:start w:w="120" w:type="dxa"/>
              <w:bottom w:w="100" w:type="dxa"/>
              <w:end w:w="120" w:type="dxa"/>
            </w:tcMar>
          </w:tcPr>
          <w:p>
            <w:pPr>
              <w:spacing w:after="0"/>
            </w:pPr>
            <w:r/>
            <w:r>
              <w:rPr>
                <w:rFonts w:ascii="Aptos" w:hAnsi="Aptos"/>
                <w:b w:val="0"/>
                <w:sz w:val="17"/>
              </w:rPr>
              <w:t>Document upload and storage</w:t>
            </w:r>
          </w:p>
        </w:tc>
        <w:tc>
          <w:tcPr>
            <w:tcW w:type="dxa" w:w="2232"/>
            <w:vAlign w:val="center"/>
            <w:tcMar>
              <w:top w:w="100" w:type="dxa"/>
              <w:start w:w="120" w:type="dxa"/>
              <w:bottom w:w="100" w:type="dxa"/>
              <w:end w:w="120" w:type="dxa"/>
            </w:tcMar>
          </w:tcPr>
          <w:p>
            <w:pPr>
              <w:spacing w:after="0"/>
            </w:pPr>
            <w:r/>
            <w:r>
              <w:rPr>
                <w:rFonts w:ascii="Aptos" w:hAnsi="Aptos"/>
                <w:b w:val="0"/>
                <w:sz w:val="17"/>
              </w:rPr>
              <w:t>Included</w:t>
            </w:r>
          </w:p>
        </w:tc>
        <w:tc>
          <w:tcPr>
            <w:tcW w:type="dxa" w:w="2232"/>
            <w:vAlign w:val="center"/>
            <w:tcMar>
              <w:top w:w="100" w:type="dxa"/>
              <w:start w:w="120" w:type="dxa"/>
              <w:bottom w:w="100" w:type="dxa"/>
              <w:end w:w="120" w:type="dxa"/>
            </w:tcMar>
          </w:tcPr>
          <w:p>
            <w:pPr>
              <w:spacing w:after="0"/>
            </w:pPr>
            <w:r/>
            <w:r>
              <w:rPr>
                <w:rFonts w:ascii="Aptos" w:hAnsi="Aptos"/>
                <w:b w:val="0"/>
                <w:sz w:val="17"/>
              </w:rPr>
              <w:t>Included</w:t>
            </w:r>
          </w:p>
        </w:tc>
        <w:tc>
          <w:tcPr>
            <w:tcW w:type="dxa" w:w="2232"/>
            <w:vAlign w:val="center"/>
            <w:tcMar>
              <w:top w:w="100" w:type="dxa"/>
              <w:start w:w="120" w:type="dxa"/>
              <w:bottom w:w="100" w:type="dxa"/>
              <w:end w:w="120" w:type="dxa"/>
            </w:tcMar>
          </w:tcPr>
          <w:p>
            <w:pPr>
              <w:spacing w:after="0"/>
            </w:pPr>
            <w:r/>
            <w:r>
              <w:rPr>
                <w:rFonts w:ascii="Aptos" w:hAnsi="Aptos"/>
                <w:b w:val="0"/>
                <w:sz w:val="17"/>
              </w:rPr>
              <w:t>Included</w:t>
            </w:r>
          </w:p>
        </w:tc>
      </w:tr>
      <w:tr>
        <w:trPr>
          <w:cantSplit/>
        </w:trPr>
        <w:tc>
          <w:tcPr>
            <w:tcW w:type="dxa" w:w="3456"/>
            <w:shd w:fill="F6F9FC"/>
            <w:vAlign w:val="center"/>
            <w:tcMar>
              <w:top w:w="100" w:type="dxa"/>
              <w:start w:w="120" w:type="dxa"/>
              <w:bottom w:w="100" w:type="dxa"/>
              <w:end w:w="120" w:type="dxa"/>
            </w:tcMar>
          </w:tcPr>
          <w:p>
            <w:pPr>
              <w:spacing w:after="0"/>
            </w:pPr>
            <w:r/>
            <w:r>
              <w:rPr>
                <w:rFonts w:ascii="Aptos" w:hAnsi="Aptos"/>
                <w:b w:val="0"/>
                <w:sz w:val="17"/>
              </w:rPr>
              <w:t>Standard forms/PDF export</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Included</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Included</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Included</w:t>
            </w:r>
          </w:p>
        </w:tc>
      </w:tr>
      <w:tr>
        <w:trPr>
          <w:cantSplit/>
        </w:trPr>
        <w:tc>
          <w:tcPr>
            <w:tcW w:type="dxa" w:w="3456"/>
            <w:vAlign w:val="center"/>
            <w:tcMar>
              <w:top w:w="100" w:type="dxa"/>
              <w:start w:w="120" w:type="dxa"/>
              <w:bottom w:w="100" w:type="dxa"/>
              <w:end w:w="120" w:type="dxa"/>
            </w:tcMar>
          </w:tcPr>
          <w:p>
            <w:pPr>
              <w:spacing w:after="0"/>
            </w:pPr>
            <w:r/>
            <w:r>
              <w:rPr>
                <w:rFonts w:ascii="Aptos" w:hAnsi="Aptos"/>
                <w:b w:val="0"/>
                <w:sz w:val="17"/>
              </w:rPr>
              <w:t>OCR-assisted data entry</w:t>
            </w:r>
          </w:p>
        </w:tc>
        <w:tc>
          <w:tcPr>
            <w:tcW w:type="dxa" w:w="2232"/>
            <w:vAlign w:val="center"/>
            <w:tcMar>
              <w:top w:w="100" w:type="dxa"/>
              <w:start w:w="120" w:type="dxa"/>
              <w:bottom w:w="100" w:type="dxa"/>
              <w:end w:w="120" w:type="dxa"/>
            </w:tcMar>
          </w:tcPr>
          <w:p>
            <w:pPr>
              <w:spacing w:after="0"/>
            </w:pPr>
            <w:r/>
            <w:r>
              <w:rPr>
                <w:rFonts w:ascii="Aptos" w:hAnsi="Aptos"/>
                <w:b w:val="0"/>
                <w:sz w:val="17"/>
              </w:rPr>
              <w:t>Allowance: 100 pages/mo</w:t>
            </w:r>
          </w:p>
        </w:tc>
        <w:tc>
          <w:tcPr>
            <w:tcW w:type="dxa" w:w="2232"/>
            <w:vAlign w:val="center"/>
            <w:tcMar>
              <w:top w:w="100" w:type="dxa"/>
              <w:start w:w="120" w:type="dxa"/>
              <w:bottom w:w="100" w:type="dxa"/>
              <w:end w:w="120" w:type="dxa"/>
            </w:tcMar>
          </w:tcPr>
          <w:p>
            <w:pPr>
              <w:spacing w:after="0"/>
            </w:pPr>
            <w:r/>
            <w:r>
              <w:rPr>
                <w:rFonts w:ascii="Aptos" w:hAnsi="Aptos"/>
                <w:b w:val="0"/>
                <w:sz w:val="17"/>
              </w:rPr>
              <w:t>Allowance: 300 pages/mo</w:t>
            </w:r>
          </w:p>
        </w:tc>
        <w:tc>
          <w:tcPr>
            <w:tcW w:type="dxa" w:w="2232"/>
            <w:vAlign w:val="center"/>
            <w:tcMar>
              <w:top w:w="100" w:type="dxa"/>
              <w:start w:w="120" w:type="dxa"/>
              <w:bottom w:w="100" w:type="dxa"/>
              <w:end w:w="120" w:type="dxa"/>
            </w:tcMar>
          </w:tcPr>
          <w:p>
            <w:pPr>
              <w:spacing w:after="0"/>
            </w:pPr>
            <w:r/>
            <w:r>
              <w:rPr>
                <w:rFonts w:ascii="Aptos" w:hAnsi="Aptos"/>
                <w:b w:val="0"/>
                <w:sz w:val="17"/>
              </w:rPr>
              <w:t>Allowance: 750 pages/mo</w:t>
            </w:r>
          </w:p>
        </w:tc>
      </w:tr>
      <w:tr>
        <w:trPr>
          <w:cantSplit/>
        </w:trPr>
        <w:tc>
          <w:tcPr>
            <w:tcW w:type="dxa" w:w="3456"/>
            <w:shd w:fill="F6F9FC"/>
            <w:vAlign w:val="center"/>
            <w:tcMar>
              <w:top w:w="100" w:type="dxa"/>
              <w:start w:w="120" w:type="dxa"/>
              <w:bottom w:w="100" w:type="dxa"/>
              <w:end w:w="120" w:type="dxa"/>
            </w:tcMar>
          </w:tcPr>
          <w:p>
            <w:pPr>
              <w:spacing w:after="0"/>
            </w:pPr>
            <w:r/>
            <w:r>
              <w:rPr>
                <w:rFonts w:ascii="Aptos" w:hAnsi="Aptos"/>
                <w:b w:val="0"/>
                <w:sz w:val="17"/>
              </w:rPr>
              <w:t>Sales and customer records</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Core</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Advanced</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Advanced</w:t>
            </w:r>
          </w:p>
        </w:tc>
      </w:tr>
      <w:tr>
        <w:trPr>
          <w:cantSplit/>
        </w:trPr>
        <w:tc>
          <w:tcPr>
            <w:tcW w:type="dxa" w:w="3456"/>
            <w:vAlign w:val="center"/>
            <w:tcMar>
              <w:top w:w="100" w:type="dxa"/>
              <w:start w:w="120" w:type="dxa"/>
              <w:bottom w:w="100" w:type="dxa"/>
              <w:end w:w="120" w:type="dxa"/>
            </w:tcMar>
          </w:tcPr>
          <w:p>
            <w:pPr>
              <w:spacing w:after="0"/>
            </w:pPr>
            <w:r/>
            <w:r>
              <w:rPr>
                <w:rFonts w:ascii="Aptos" w:hAnsi="Aptos"/>
                <w:b w:val="0"/>
                <w:sz w:val="17"/>
              </w:rPr>
              <w:t>Dashboard and reports</w:t>
            </w:r>
          </w:p>
        </w:tc>
        <w:tc>
          <w:tcPr>
            <w:tcW w:type="dxa" w:w="2232"/>
            <w:vAlign w:val="center"/>
            <w:tcMar>
              <w:top w:w="100" w:type="dxa"/>
              <w:start w:w="120" w:type="dxa"/>
              <w:bottom w:w="100" w:type="dxa"/>
              <w:end w:w="120" w:type="dxa"/>
            </w:tcMar>
          </w:tcPr>
          <w:p>
            <w:pPr>
              <w:spacing w:after="0"/>
            </w:pPr>
            <w:r/>
            <w:r>
              <w:rPr>
                <w:rFonts w:ascii="Aptos" w:hAnsi="Aptos"/>
                <w:b w:val="0"/>
                <w:sz w:val="17"/>
              </w:rPr>
              <w:t>Standard</w:t>
            </w:r>
          </w:p>
        </w:tc>
        <w:tc>
          <w:tcPr>
            <w:tcW w:type="dxa" w:w="2232"/>
            <w:vAlign w:val="center"/>
            <w:tcMar>
              <w:top w:w="100" w:type="dxa"/>
              <w:start w:w="120" w:type="dxa"/>
              <w:bottom w:w="100" w:type="dxa"/>
              <w:end w:w="120" w:type="dxa"/>
            </w:tcMar>
          </w:tcPr>
          <w:p>
            <w:pPr>
              <w:spacing w:after="0"/>
            </w:pPr>
            <w:r/>
            <w:r>
              <w:rPr>
                <w:rFonts w:ascii="Aptos" w:hAnsi="Aptos"/>
                <w:b w:val="0"/>
                <w:sz w:val="17"/>
              </w:rPr>
              <w:t>Advanced</w:t>
            </w:r>
          </w:p>
        </w:tc>
        <w:tc>
          <w:tcPr>
            <w:tcW w:type="dxa" w:w="2232"/>
            <w:vAlign w:val="center"/>
            <w:tcMar>
              <w:top w:w="100" w:type="dxa"/>
              <w:start w:w="120" w:type="dxa"/>
              <w:bottom w:w="100" w:type="dxa"/>
              <w:end w:w="120" w:type="dxa"/>
            </w:tcMar>
          </w:tcPr>
          <w:p>
            <w:pPr>
              <w:spacing w:after="0"/>
            </w:pPr>
            <w:r/>
            <w:r>
              <w:rPr>
                <w:rFonts w:ascii="Aptos" w:hAnsi="Aptos"/>
                <w:b w:val="0"/>
                <w:sz w:val="17"/>
              </w:rPr>
              <w:t>Advanced + custom</w:t>
            </w:r>
          </w:p>
        </w:tc>
      </w:tr>
      <w:tr>
        <w:trPr>
          <w:cantSplit/>
        </w:trPr>
        <w:tc>
          <w:tcPr>
            <w:tcW w:type="dxa" w:w="3456"/>
            <w:shd w:fill="F6F9FC"/>
            <w:vAlign w:val="center"/>
            <w:tcMar>
              <w:top w:w="100" w:type="dxa"/>
              <w:start w:w="120" w:type="dxa"/>
              <w:bottom w:w="100" w:type="dxa"/>
              <w:end w:w="120" w:type="dxa"/>
            </w:tcMar>
          </w:tcPr>
          <w:p>
            <w:pPr>
              <w:spacing w:after="0"/>
            </w:pPr>
            <w:r/>
            <w:r>
              <w:rPr>
                <w:rFonts w:ascii="Aptos" w:hAnsi="Aptos"/>
                <w:b w:val="0"/>
                <w:sz w:val="17"/>
              </w:rPr>
              <w:t>Roles and permissions</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Basic</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Advanced</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Advanced</w:t>
            </w:r>
          </w:p>
        </w:tc>
      </w:tr>
      <w:tr>
        <w:trPr>
          <w:cantSplit/>
        </w:trPr>
        <w:tc>
          <w:tcPr>
            <w:tcW w:type="dxa" w:w="3456"/>
            <w:vAlign w:val="center"/>
            <w:tcMar>
              <w:top w:w="100" w:type="dxa"/>
              <w:start w:w="120" w:type="dxa"/>
              <w:bottom w:w="100" w:type="dxa"/>
              <w:end w:w="120" w:type="dxa"/>
            </w:tcMar>
          </w:tcPr>
          <w:p>
            <w:pPr>
              <w:spacing w:after="0"/>
            </w:pPr>
            <w:r/>
            <w:r>
              <w:rPr>
                <w:rFonts w:ascii="Aptos" w:hAnsi="Aptos"/>
                <w:b w:val="0"/>
                <w:sz w:val="17"/>
              </w:rPr>
              <w:t>Users</w:t>
            </w:r>
          </w:p>
        </w:tc>
        <w:tc>
          <w:tcPr>
            <w:tcW w:type="dxa" w:w="2232"/>
            <w:vAlign w:val="center"/>
            <w:tcMar>
              <w:top w:w="100" w:type="dxa"/>
              <w:start w:w="120" w:type="dxa"/>
              <w:bottom w:w="100" w:type="dxa"/>
              <w:end w:w="120" w:type="dxa"/>
            </w:tcMar>
          </w:tcPr>
          <w:p>
            <w:pPr>
              <w:spacing w:after="0"/>
            </w:pPr>
            <w:r/>
            <w:r>
              <w:rPr>
                <w:rFonts w:ascii="Aptos" w:hAnsi="Aptos"/>
                <w:b w:val="0"/>
                <w:sz w:val="17"/>
              </w:rPr>
              <w:t>3</w:t>
            </w:r>
          </w:p>
        </w:tc>
        <w:tc>
          <w:tcPr>
            <w:tcW w:type="dxa" w:w="2232"/>
            <w:vAlign w:val="center"/>
            <w:tcMar>
              <w:top w:w="100" w:type="dxa"/>
              <w:start w:w="120" w:type="dxa"/>
              <w:bottom w:w="100" w:type="dxa"/>
              <w:end w:w="120" w:type="dxa"/>
            </w:tcMar>
          </w:tcPr>
          <w:p>
            <w:pPr>
              <w:spacing w:after="0"/>
            </w:pPr>
            <w:r/>
            <w:r>
              <w:rPr>
                <w:rFonts w:ascii="Aptos" w:hAnsi="Aptos"/>
                <w:b w:val="0"/>
                <w:sz w:val="17"/>
              </w:rPr>
              <w:t>8</w:t>
            </w:r>
          </w:p>
        </w:tc>
        <w:tc>
          <w:tcPr>
            <w:tcW w:type="dxa" w:w="2232"/>
            <w:vAlign w:val="center"/>
            <w:tcMar>
              <w:top w:w="100" w:type="dxa"/>
              <w:start w:w="120" w:type="dxa"/>
              <w:bottom w:w="100" w:type="dxa"/>
              <w:end w:w="120" w:type="dxa"/>
            </w:tcMar>
          </w:tcPr>
          <w:p>
            <w:pPr>
              <w:spacing w:after="0"/>
            </w:pPr>
            <w:r/>
            <w:r>
              <w:rPr>
                <w:rFonts w:ascii="Aptos" w:hAnsi="Aptos"/>
                <w:b w:val="0"/>
                <w:sz w:val="17"/>
              </w:rPr>
              <w:t>15</w:t>
            </w:r>
          </w:p>
        </w:tc>
      </w:tr>
      <w:tr>
        <w:trPr>
          <w:cantSplit/>
        </w:trPr>
        <w:tc>
          <w:tcPr>
            <w:tcW w:type="dxa" w:w="3456"/>
            <w:shd w:fill="F6F9FC"/>
            <w:vAlign w:val="center"/>
            <w:tcMar>
              <w:top w:w="100" w:type="dxa"/>
              <w:start w:w="120" w:type="dxa"/>
              <w:bottom w:w="100" w:type="dxa"/>
              <w:end w:w="120" w:type="dxa"/>
            </w:tcMar>
          </w:tcPr>
          <w:p>
            <w:pPr>
              <w:spacing w:after="0"/>
            </w:pPr>
            <w:r/>
            <w:r>
              <w:rPr>
                <w:rFonts w:ascii="Aptos" w:hAnsi="Aptos"/>
                <w:b w:val="0"/>
                <w:sz w:val="17"/>
              </w:rPr>
              <w:t>Locations</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1</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1</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1; extra locations quoted</w:t>
            </w:r>
          </w:p>
        </w:tc>
      </w:tr>
      <w:tr>
        <w:trPr>
          <w:cantSplit/>
        </w:trPr>
        <w:tc>
          <w:tcPr>
            <w:tcW w:type="dxa" w:w="3456"/>
            <w:vAlign w:val="center"/>
            <w:tcMar>
              <w:top w:w="100" w:type="dxa"/>
              <w:start w:w="120" w:type="dxa"/>
              <w:bottom w:w="100" w:type="dxa"/>
              <w:end w:w="120" w:type="dxa"/>
            </w:tcMar>
          </w:tcPr>
          <w:p>
            <w:pPr>
              <w:spacing w:after="0"/>
            </w:pPr>
            <w:r/>
            <w:r>
              <w:rPr>
                <w:rFonts w:ascii="Aptos" w:hAnsi="Aptos"/>
                <w:b w:val="0"/>
                <w:sz w:val="17"/>
              </w:rPr>
              <w:t>Data export</w:t>
            </w:r>
          </w:p>
        </w:tc>
        <w:tc>
          <w:tcPr>
            <w:tcW w:type="dxa" w:w="2232"/>
            <w:vAlign w:val="center"/>
            <w:tcMar>
              <w:top w:w="100" w:type="dxa"/>
              <w:start w:w="120" w:type="dxa"/>
              <w:bottom w:w="100" w:type="dxa"/>
              <w:end w:w="120" w:type="dxa"/>
            </w:tcMar>
          </w:tcPr>
          <w:p>
            <w:pPr>
              <w:spacing w:after="0"/>
            </w:pPr>
            <w:r/>
            <w:r>
              <w:rPr>
                <w:rFonts w:ascii="Aptos" w:hAnsi="Aptos"/>
                <w:b w:val="0"/>
                <w:sz w:val="17"/>
              </w:rPr>
              <w:t>CSV/PDF</w:t>
            </w:r>
          </w:p>
        </w:tc>
        <w:tc>
          <w:tcPr>
            <w:tcW w:type="dxa" w:w="2232"/>
            <w:vAlign w:val="center"/>
            <w:tcMar>
              <w:top w:w="100" w:type="dxa"/>
              <w:start w:w="120" w:type="dxa"/>
              <w:bottom w:w="100" w:type="dxa"/>
              <w:end w:w="120" w:type="dxa"/>
            </w:tcMar>
          </w:tcPr>
          <w:p>
            <w:pPr>
              <w:spacing w:after="0"/>
            </w:pPr>
            <w:r/>
            <w:r>
              <w:rPr>
                <w:rFonts w:ascii="Aptos" w:hAnsi="Aptos"/>
                <w:b w:val="0"/>
                <w:sz w:val="17"/>
              </w:rPr>
              <w:t>CSV/PDF</w:t>
            </w:r>
          </w:p>
        </w:tc>
        <w:tc>
          <w:tcPr>
            <w:tcW w:type="dxa" w:w="2232"/>
            <w:vAlign w:val="center"/>
            <w:tcMar>
              <w:top w:w="100" w:type="dxa"/>
              <w:start w:w="120" w:type="dxa"/>
              <w:bottom w:w="100" w:type="dxa"/>
              <w:end w:w="120" w:type="dxa"/>
            </w:tcMar>
          </w:tcPr>
          <w:p>
            <w:pPr>
              <w:spacing w:after="0"/>
            </w:pPr>
            <w:r/>
            <w:r>
              <w:rPr>
                <w:rFonts w:ascii="Aptos" w:hAnsi="Aptos"/>
                <w:b w:val="0"/>
                <w:sz w:val="17"/>
              </w:rPr>
              <w:t>CSV/PDF + scheduled</w:t>
            </w:r>
          </w:p>
        </w:tc>
      </w:tr>
      <w:tr>
        <w:trPr>
          <w:cantSplit/>
        </w:trPr>
        <w:tc>
          <w:tcPr>
            <w:tcW w:type="dxa" w:w="3456"/>
            <w:shd w:fill="F6F9FC"/>
            <w:vAlign w:val="center"/>
            <w:tcMar>
              <w:top w:w="100" w:type="dxa"/>
              <w:start w:w="120" w:type="dxa"/>
              <w:bottom w:w="100" w:type="dxa"/>
              <w:end w:w="120" w:type="dxa"/>
            </w:tcMar>
          </w:tcPr>
          <w:p>
            <w:pPr>
              <w:spacing w:after="0"/>
            </w:pPr>
            <w:r/>
            <w:r>
              <w:rPr>
                <w:rFonts w:ascii="Aptos" w:hAnsi="Aptos"/>
                <w:b w:val="0"/>
                <w:sz w:val="17"/>
              </w:rPr>
              <w:t>Training</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1 remote session</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2 remote sessions</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3 remote sessions</w:t>
            </w:r>
          </w:p>
        </w:tc>
      </w:tr>
      <w:tr>
        <w:trPr>
          <w:cantSplit/>
        </w:trPr>
        <w:tc>
          <w:tcPr>
            <w:tcW w:type="dxa" w:w="3456"/>
            <w:vAlign w:val="center"/>
            <w:tcMar>
              <w:top w:w="100" w:type="dxa"/>
              <w:start w:w="120" w:type="dxa"/>
              <w:bottom w:w="100" w:type="dxa"/>
              <w:end w:w="120" w:type="dxa"/>
            </w:tcMar>
          </w:tcPr>
          <w:p>
            <w:pPr>
              <w:spacing w:after="0"/>
            </w:pPr>
            <w:r/>
            <w:r>
              <w:rPr>
                <w:rFonts w:ascii="Aptos" w:hAnsi="Aptos"/>
                <w:b w:val="0"/>
                <w:sz w:val="17"/>
              </w:rPr>
              <w:t>Support</w:t>
            </w:r>
          </w:p>
        </w:tc>
        <w:tc>
          <w:tcPr>
            <w:tcW w:type="dxa" w:w="2232"/>
            <w:vAlign w:val="center"/>
            <w:tcMar>
              <w:top w:w="100" w:type="dxa"/>
              <w:start w:w="120" w:type="dxa"/>
              <w:bottom w:w="100" w:type="dxa"/>
              <w:end w:w="120" w:type="dxa"/>
            </w:tcMar>
          </w:tcPr>
          <w:p>
            <w:pPr>
              <w:spacing w:after="0"/>
            </w:pPr>
            <w:r/>
            <w:r>
              <w:rPr>
                <w:rFonts w:ascii="Aptos" w:hAnsi="Aptos"/>
                <w:b w:val="0"/>
                <w:sz w:val="17"/>
              </w:rPr>
              <w:t>Email, 2 business days</w:t>
            </w:r>
          </w:p>
        </w:tc>
        <w:tc>
          <w:tcPr>
            <w:tcW w:type="dxa" w:w="2232"/>
            <w:vAlign w:val="center"/>
            <w:tcMar>
              <w:top w:w="100" w:type="dxa"/>
              <w:start w:w="120" w:type="dxa"/>
              <w:bottom w:w="100" w:type="dxa"/>
              <w:end w:w="120" w:type="dxa"/>
            </w:tcMar>
          </w:tcPr>
          <w:p>
            <w:pPr>
              <w:spacing w:after="0"/>
            </w:pPr>
            <w:r/>
            <w:r>
              <w:rPr>
                <w:rFonts w:ascii="Aptos" w:hAnsi="Aptos"/>
                <w:b w:val="0"/>
                <w:sz w:val="17"/>
              </w:rPr>
              <w:t>Email/chat, 1 business day</w:t>
            </w:r>
          </w:p>
        </w:tc>
        <w:tc>
          <w:tcPr>
            <w:tcW w:type="dxa" w:w="2232"/>
            <w:vAlign w:val="center"/>
            <w:tcMar>
              <w:top w:w="100" w:type="dxa"/>
              <w:start w:w="120" w:type="dxa"/>
              <w:bottom w:w="100" w:type="dxa"/>
              <w:end w:w="120" w:type="dxa"/>
            </w:tcMar>
          </w:tcPr>
          <w:p>
            <w:pPr>
              <w:spacing w:after="0"/>
            </w:pPr>
            <w:r/>
            <w:r>
              <w:rPr>
                <w:rFonts w:ascii="Aptos" w:hAnsi="Aptos"/>
                <w:b w:val="0"/>
                <w:sz w:val="17"/>
              </w:rPr>
              <w:t>Priority, 4 business hours</w:t>
            </w:r>
          </w:p>
        </w:tc>
      </w:tr>
      <w:tr>
        <w:trPr>
          <w:cantSplit/>
        </w:trPr>
        <w:tc>
          <w:tcPr>
            <w:tcW w:type="dxa" w:w="3456"/>
            <w:shd w:fill="F6F9FC"/>
            <w:vAlign w:val="center"/>
            <w:tcMar>
              <w:top w:w="100" w:type="dxa"/>
              <w:start w:w="120" w:type="dxa"/>
              <w:bottom w:w="100" w:type="dxa"/>
              <w:end w:w="120" w:type="dxa"/>
            </w:tcMar>
          </w:tcPr>
          <w:p>
            <w:pPr>
              <w:spacing w:after="0"/>
            </w:pPr>
            <w:r/>
            <w:r>
              <w:rPr>
                <w:rFonts w:ascii="Aptos" w:hAnsi="Aptos"/>
                <w:b w:val="0"/>
                <w:sz w:val="17"/>
              </w:rPr>
              <w:t>API/integrations</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Add-on</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Selected add-ons</w:t>
            </w:r>
          </w:p>
        </w:tc>
        <w:tc>
          <w:tcPr>
            <w:tcW w:type="dxa" w:w="2232"/>
            <w:shd w:fill="F6F9FC"/>
            <w:vAlign w:val="center"/>
            <w:tcMar>
              <w:top w:w="100" w:type="dxa"/>
              <w:start w:w="120" w:type="dxa"/>
              <w:bottom w:w="100" w:type="dxa"/>
              <w:end w:w="120" w:type="dxa"/>
            </w:tcMar>
          </w:tcPr>
          <w:p>
            <w:pPr>
              <w:spacing w:after="0"/>
            </w:pPr>
            <w:r/>
            <w:r>
              <w:rPr>
                <w:rFonts w:ascii="Aptos" w:hAnsi="Aptos"/>
                <w:b w:val="0"/>
                <w:sz w:val="17"/>
              </w:rPr>
              <w:t>Quoted</w:t>
            </w:r>
          </w:p>
        </w:tc>
      </w:tr>
      <w:tr>
        <w:trPr>
          <w:cantSplit/>
        </w:trPr>
        <w:tc>
          <w:tcPr>
            <w:tcW w:type="dxa" w:w="3456"/>
            <w:vAlign w:val="center"/>
            <w:tcMar>
              <w:top w:w="100" w:type="dxa"/>
              <w:start w:w="120" w:type="dxa"/>
              <w:bottom w:w="100" w:type="dxa"/>
              <w:end w:w="120" w:type="dxa"/>
            </w:tcMar>
          </w:tcPr>
          <w:p>
            <w:pPr>
              <w:spacing w:after="0"/>
            </w:pPr>
            <w:r/>
            <w:r>
              <w:rPr>
                <w:rFonts w:ascii="Aptos" w:hAnsi="Aptos"/>
                <w:b w:val="0"/>
                <w:sz w:val="17"/>
              </w:rPr>
              <w:t>Custom development</w:t>
            </w:r>
          </w:p>
        </w:tc>
        <w:tc>
          <w:tcPr>
            <w:tcW w:type="dxa" w:w="2232"/>
            <w:vAlign w:val="center"/>
            <w:tcMar>
              <w:top w:w="100" w:type="dxa"/>
              <w:start w:w="120" w:type="dxa"/>
              <w:bottom w:w="100" w:type="dxa"/>
              <w:end w:w="120" w:type="dxa"/>
            </w:tcMar>
          </w:tcPr>
          <w:p>
            <w:pPr>
              <w:spacing w:after="0"/>
            </w:pPr>
            <w:r/>
            <w:r>
              <w:rPr>
                <w:rFonts w:ascii="Aptos" w:hAnsi="Aptos"/>
                <w:b w:val="0"/>
                <w:sz w:val="17"/>
              </w:rPr>
              <w:t>SOW</w:t>
            </w:r>
          </w:p>
        </w:tc>
        <w:tc>
          <w:tcPr>
            <w:tcW w:type="dxa" w:w="2232"/>
            <w:vAlign w:val="center"/>
            <w:tcMar>
              <w:top w:w="100" w:type="dxa"/>
              <w:start w:w="120" w:type="dxa"/>
              <w:bottom w:w="100" w:type="dxa"/>
              <w:end w:w="120" w:type="dxa"/>
            </w:tcMar>
          </w:tcPr>
          <w:p>
            <w:pPr>
              <w:spacing w:after="0"/>
            </w:pPr>
            <w:r/>
            <w:r>
              <w:rPr>
                <w:rFonts w:ascii="Aptos" w:hAnsi="Aptos"/>
                <w:b w:val="0"/>
                <w:sz w:val="17"/>
              </w:rPr>
              <w:t>SOW</w:t>
            </w:r>
          </w:p>
        </w:tc>
        <w:tc>
          <w:tcPr>
            <w:tcW w:type="dxa" w:w="2232"/>
            <w:vAlign w:val="center"/>
            <w:tcMar>
              <w:top w:w="100" w:type="dxa"/>
              <w:start w:w="120" w:type="dxa"/>
              <w:bottom w:w="100" w:type="dxa"/>
              <w:end w:w="120" w:type="dxa"/>
            </w:tcMar>
          </w:tcPr>
          <w:p>
            <w:pPr>
              <w:spacing w:after="0"/>
            </w:pPr>
            <w:r/>
            <w:r>
              <w:rPr>
                <w:rFonts w:ascii="Aptos" w:hAnsi="Aptos"/>
                <w:b w:val="0"/>
                <w:sz w:val="17"/>
              </w:rPr>
              <w:t>SOW</w:t>
            </w:r>
          </w:p>
        </w:tc>
      </w:tr>
    </w:tbl>
    <w:p>
      <w:pPr>
        <w:spacing w:after="0"/>
      </w:pPr>
    </w:p>
    <w:p>
      <w:pPr>
        <w:pStyle w:val="Heading2"/>
      </w:pPr>
      <w:r>
        <w:t>Do not advertise unverified capabilities</w:t>
      </w:r>
    </w:p>
    <w:p>
      <w:r>
        <w:t>Mark accounting, lender integrations, payments, auctions, insurance, warranty, marketing automation, mobile scanning, marketplace syndication, e-signature, and state-specific compliance as “available,” “beta,” or “coming soon” only after the engineering team confirms production status and support responsibility.</w:t>
      </w:r>
    </w:p>
    <w:p>
      <w:pPr>
        <w:pStyle w:val="Heading2"/>
      </w:pPr>
      <w:r>
        <w:t>Recommended add-ons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02A43"/>
            <w:vAlign w:val="center"/>
            <w:tcMar>
              <w:top w:w="100" w:type="dxa"/>
              <w:start w:w="120" w:type="dxa"/>
              <w:bottom w:w="100" w:type="dxa"/>
              <w:end w:w="120" w:type="dxa"/>
            </w:tcMar>
          </w:tcPr>
          <w:p>
            <w:pPr>
              <w:spacing w:after="0"/>
            </w:pPr>
            <w:r/>
            <w:r>
              <w:rPr>
                <w:rFonts w:ascii="Aptos" w:hAnsi="Aptos"/>
                <w:b/>
                <w:color w:val="FFFFFF"/>
                <w:sz w:val="18"/>
              </w:rPr>
              <w:t>Add-on</w:t>
            </w:r>
          </w:p>
        </w:tc>
        <w:tc>
          <w:tcPr>
            <w:tcW w:type="dxa" w:w="3389"/>
            <w:shd w:fill="102A43"/>
            <w:vAlign w:val="center"/>
            <w:tcMar>
              <w:top w:w="100" w:type="dxa"/>
              <w:start w:w="120" w:type="dxa"/>
              <w:bottom w:w="100" w:type="dxa"/>
              <w:end w:w="120" w:type="dxa"/>
            </w:tcMar>
          </w:tcPr>
          <w:p>
            <w:pPr>
              <w:spacing w:after="0"/>
            </w:pPr>
            <w:r/>
            <w:r>
              <w:rPr>
                <w:rFonts w:ascii="Aptos" w:hAnsi="Aptos"/>
                <w:b/>
                <w:color w:val="FFFFFF"/>
                <w:sz w:val="18"/>
              </w:rPr>
              <w:t>Suggested price</w:t>
            </w:r>
          </w:p>
        </w:tc>
        <w:tc>
          <w:tcPr>
            <w:tcW w:type="dxa" w:w="3389"/>
            <w:shd w:fill="102A43"/>
            <w:vAlign w:val="center"/>
            <w:tcMar>
              <w:top w:w="100" w:type="dxa"/>
              <w:start w:w="120" w:type="dxa"/>
              <w:bottom w:w="100" w:type="dxa"/>
              <w:end w:w="120" w:type="dxa"/>
            </w:tcMar>
          </w:tcPr>
          <w:p>
            <w:pPr>
              <w:spacing w:after="0"/>
            </w:pPr>
            <w:r/>
            <w:r>
              <w:rPr>
                <w:rFonts w:ascii="Aptos" w:hAnsi="Aptos"/>
                <w:b/>
                <w:color w:val="FFFFFF"/>
                <w:sz w:val="18"/>
              </w:rPr>
              <w:t>Rule</w:t>
            </w:r>
          </w:p>
        </w:tc>
      </w:tr>
      <w:tr>
        <w:trPr>
          <w:cantSplit/>
        </w:trPr>
        <w:tc>
          <w:tcPr>
            <w:tcW w:type="dxa" w:w="3389"/>
            <w:vAlign w:val="center"/>
            <w:tcMar>
              <w:top w:w="100" w:type="dxa"/>
              <w:start w:w="120" w:type="dxa"/>
              <w:bottom w:w="100" w:type="dxa"/>
              <w:end w:w="120" w:type="dxa"/>
            </w:tcMar>
          </w:tcPr>
          <w:p>
            <w:pPr>
              <w:spacing w:after="0"/>
            </w:pPr>
            <w:r/>
            <w:r>
              <w:rPr>
                <w:rFonts w:ascii="Aptos" w:hAnsi="Aptos"/>
                <w:b w:val="0"/>
                <w:sz w:val="17"/>
              </w:rPr>
              <w:t>Additional user</w:t>
            </w:r>
          </w:p>
        </w:tc>
        <w:tc>
          <w:tcPr>
            <w:tcW w:type="dxa" w:w="3389"/>
            <w:vAlign w:val="center"/>
            <w:tcMar>
              <w:top w:w="100" w:type="dxa"/>
              <w:start w:w="120" w:type="dxa"/>
              <w:bottom w:w="100" w:type="dxa"/>
              <w:end w:w="120" w:type="dxa"/>
            </w:tcMar>
          </w:tcPr>
          <w:p>
            <w:pPr>
              <w:spacing w:after="0"/>
            </w:pPr>
            <w:r/>
            <w:r>
              <w:rPr>
                <w:rFonts w:ascii="Aptos" w:hAnsi="Aptos"/>
                <w:b w:val="0"/>
                <w:sz w:val="17"/>
              </w:rPr>
              <w:t>$15/user/month</w:t>
            </w:r>
          </w:p>
        </w:tc>
        <w:tc>
          <w:tcPr>
            <w:tcW w:type="dxa" w:w="3389"/>
            <w:vAlign w:val="center"/>
            <w:tcMar>
              <w:top w:w="100" w:type="dxa"/>
              <w:start w:w="120" w:type="dxa"/>
              <w:bottom w:w="100" w:type="dxa"/>
              <w:end w:w="120" w:type="dxa"/>
            </w:tcMar>
          </w:tcPr>
          <w:p>
            <w:pPr>
              <w:spacing w:after="0"/>
            </w:pPr>
            <w:r/>
            <w:r>
              <w:rPr>
                <w:rFonts w:ascii="Aptos" w:hAnsi="Aptos"/>
                <w:b w:val="0"/>
                <w:sz w:val="17"/>
              </w:rPr>
              <w:t>Only after included limit</w:t>
            </w:r>
          </w:p>
        </w:tc>
      </w:tr>
      <w:tr>
        <w:trPr>
          <w:cantSplit/>
        </w:trPr>
        <w:tc>
          <w:tcPr>
            <w:tcW w:type="dxa" w:w="3389"/>
            <w:shd w:fill="F6F9FC"/>
            <w:vAlign w:val="center"/>
            <w:tcMar>
              <w:top w:w="100" w:type="dxa"/>
              <w:start w:w="120" w:type="dxa"/>
              <w:bottom w:w="100" w:type="dxa"/>
              <w:end w:w="120" w:type="dxa"/>
            </w:tcMar>
          </w:tcPr>
          <w:p>
            <w:pPr>
              <w:spacing w:after="0"/>
            </w:pPr>
            <w:r/>
            <w:r>
              <w:rPr>
                <w:rFonts w:ascii="Aptos" w:hAnsi="Aptos"/>
                <w:b w:val="0"/>
                <w:sz w:val="17"/>
              </w:rPr>
              <w:t>Additional location</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$149/month</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Separate inventory and staff</w:t>
            </w:r>
          </w:p>
        </w:tc>
      </w:tr>
      <w:tr>
        <w:trPr>
          <w:cantSplit/>
        </w:trPr>
        <w:tc>
          <w:tcPr>
            <w:tcW w:type="dxa" w:w="3389"/>
            <w:vAlign w:val="center"/>
            <w:tcMar>
              <w:top w:w="100" w:type="dxa"/>
              <w:start w:w="120" w:type="dxa"/>
              <w:bottom w:w="100" w:type="dxa"/>
              <w:end w:w="120" w:type="dxa"/>
            </w:tcMar>
          </w:tcPr>
          <w:p>
            <w:pPr>
              <w:spacing w:after="0"/>
            </w:pPr>
            <w:r/>
            <w:r>
              <w:rPr>
                <w:rFonts w:ascii="Aptos" w:hAnsi="Aptos"/>
                <w:b w:val="0"/>
                <w:sz w:val="17"/>
              </w:rPr>
              <w:t>OCR overage</w:t>
            </w:r>
          </w:p>
        </w:tc>
        <w:tc>
          <w:tcPr>
            <w:tcW w:type="dxa" w:w="3389"/>
            <w:vAlign w:val="center"/>
            <w:tcMar>
              <w:top w:w="100" w:type="dxa"/>
              <w:start w:w="120" w:type="dxa"/>
              <w:bottom w:w="100" w:type="dxa"/>
              <w:end w:w="120" w:type="dxa"/>
            </w:tcMar>
          </w:tcPr>
          <w:p>
            <w:pPr>
              <w:spacing w:after="0"/>
            </w:pPr>
            <w:r/>
            <w:r>
              <w:rPr>
                <w:rFonts w:ascii="Aptos" w:hAnsi="Aptos"/>
                <w:b w:val="0"/>
                <w:sz w:val="17"/>
              </w:rPr>
              <w:t>$0.15/page</w:t>
            </w:r>
          </w:p>
        </w:tc>
        <w:tc>
          <w:tcPr>
            <w:tcW w:type="dxa" w:w="3389"/>
            <w:vAlign w:val="center"/>
            <w:tcMar>
              <w:top w:w="100" w:type="dxa"/>
              <w:start w:w="120" w:type="dxa"/>
              <w:bottom w:w="100" w:type="dxa"/>
              <w:end w:w="120" w:type="dxa"/>
            </w:tcMar>
          </w:tcPr>
          <w:p>
            <w:pPr>
              <w:spacing w:after="0"/>
            </w:pPr>
            <w:r/>
            <w:r>
              <w:rPr>
                <w:rFonts w:ascii="Aptos" w:hAnsi="Aptos"/>
                <w:b w:val="0"/>
                <w:sz w:val="17"/>
              </w:rPr>
              <w:t>Round to monthly usage</w:t>
            </w:r>
          </w:p>
        </w:tc>
      </w:tr>
      <w:tr>
        <w:trPr>
          <w:cantSplit/>
        </w:trPr>
        <w:tc>
          <w:tcPr>
            <w:tcW w:type="dxa" w:w="3389"/>
            <w:shd w:fill="F6F9FC"/>
            <w:vAlign w:val="center"/>
            <w:tcMar>
              <w:top w:w="100" w:type="dxa"/>
              <w:start w:w="120" w:type="dxa"/>
              <w:bottom w:w="100" w:type="dxa"/>
              <w:end w:w="120" w:type="dxa"/>
            </w:tcMar>
          </w:tcPr>
          <w:p>
            <w:pPr>
              <w:spacing w:after="0"/>
            </w:pPr>
            <w:r/>
            <w:r>
              <w:rPr>
                <w:rFonts w:ascii="Aptos" w:hAnsi="Aptos"/>
                <w:b w:val="0"/>
                <w:sz w:val="17"/>
              </w:rPr>
              <w:t>SMS</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$25/month + usage</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Carrier/provider costs separate</w:t>
            </w:r>
          </w:p>
        </w:tc>
      </w:tr>
      <w:tr>
        <w:trPr>
          <w:cantSplit/>
        </w:trPr>
        <w:tc>
          <w:tcPr>
            <w:tcW w:type="dxa" w:w="3389"/>
            <w:vAlign w:val="center"/>
            <w:tcMar>
              <w:top w:w="100" w:type="dxa"/>
              <w:start w:w="120" w:type="dxa"/>
              <w:bottom w:w="100" w:type="dxa"/>
              <w:end w:w="120" w:type="dxa"/>
            </w:tcMar>
          </w:tcPr>
          <w:p>
            <w:pPr>
              <w:spacing w:after="0"/>
            </w:pPr>
            <w:r/>
            <w:r>
              <w:rPr>
                <w:rFonts w:ascii="Aptos" w:hAnsi="Aptos"/>
                <w:b w:val="0"/>
                <w:sz w:val="17"/>
              </w:rPr>
              <w:t>Website inventory feed</w:t>
            </w:r>
          </w:p>
        </w:tc>
        <w:tc>
          <w:tcPr>
            <w:tcW w:type="dxa" w:w="3389"/>
            <w:vAlign w:val="center"/>
            <w:tcMar>
              <w:top w:w="100" w:type="dxa"/>
              <w:start w:w="120" w:type="dxa"/>
              <w:bottom w:w="100" w:type="dxa"/>
              <w:end w:w="120" w:type="dxa"/>
            </w:tcMar>
          </w:tcPr>
          <w:p>
            <w:pPr>
              <w:spacing w:after="0"/>
            </w:pPr>
            <w:r/>
            <w:r>
              <w:rPr>
                <w:rFonts w:ascii="Aptos" w:hAnsi="Aptos"/>
                <w:b w:val="0"/>
                <w:sz w:val="17"/>
              </w:rPr>
              <w:t>$79/month</w:t>
            </w:r>
          </w:p>
        </w:tc>
        <w:tc>
          <w:tcPr>
            <w:tcW w:type="dxa" w:w="3389"/>
            <w:vAlign w:val="center"/>
            <w:tcMar>
              <w:top w:w="100" w:type="dxa"/>
              <w:start w:w="120" w:type="dxa"/>
              <w:bottom w:w="100" w:type="dxa"/>
              <w:end w:w="120" w:type="dxa"/>
            </w:tcMar>
          </w:tcPr>
          <w:p>
            <w:pPr>
              <w:spacing w:after="0"/>
            </w:pPr>
            <w:r/>
            <w:r>
              <w:rPr>
                <w:rFonts w:ascii="Aptos" w:hAnsi="Aptos"/>
                <w:b w:val="0"/>
                <w:sz w:val="17"/>
              </w:rPr>
              <w:t>One website/domain</w:t>
            </w:r>
          </w:p>
        </w:tc>
      </w:tr>
      <w:tr>
        <w:trPr>
          <w:cantSplit/>
        </w:trPr>
        <w:tc>
          <w:tcPr>
            <w:tcW w:type="dxa" w:w="3389"/>
            <w:shd w:fill="F6F9FC"/>
            <w:vAlign w:val="center"/>
            <w:tcMar>
              <w:top w:w="100" w:type="dxa"/>
              <w:start w:w="120" w:type="dxa"/>
              <w:bottom w:w="100" w:type="dxa"/>
              <w:end w:w="120" w:type="dxa"/>
            </w:tcMar>
          </w:tcPr>
          <w:p>
            <w:pPr>
              <w:spacing w:after="0"/>
            </w:pPr>
            <w:r/>
            <w:r>
              <w:rPr>
                <w:rFonts w:ascii="Aptos" w:hAnsi="Aptos"/>
                <w:b w:val="0"/>
                <w:sz w:val="17"/>
              </w:rPr>
              <w:t>Custom form template</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$150–$500 one-time</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Complexity based</w:t>
            </w:r>
          </w:p>
        </w:tc>
      </w:tr>
      <w:tr>
        <w:trPr>
          <w:cantSplit/>
        </w:trPr>
        <w:tc>
          <w:tcPr>
            <w:tcW w:type="dxa" w:w="3389"/>
            <w:vAlign w:val="center"/>
            <w:tcMar>
              <w:top w:w="100" w:type="dxa"/>
              <w:start w:w="120" w:type="dxa"/>
              <w:bottom w:w="100" w:type="dxa"/>
              <w:end w:w="120" w:type="dxa"/>
            </w:tcMar>
          </w:tcPr>
          <w:p>
            <w:pPr>
              <w:spacing w:after="0"/>
            </w:pPr>
            <w:r/>
            <w:r>
              <w:rPr>
                <w:rFonts w:ascii="Aptos" w:hAnsi="Aptos"/>
                <w:b w:val="0"/>
                <w:sz w:val="17"/>
              </w:rPr>
              <w:t>Data migration</w:t>
            </w:r>
          </w:p>
        </w:tc>
        <w:tc>
          <w:tcPr>
            <w:tcW w:type="dxa" w:w="3389"/>
            <w:vAlign w:val="center"/>
            <w:tcMar>
              <w:top w:w="100" w:type="dxa"/>
              <w:start w:w="120" w:type="dxa"/>
              <w:bottom w:w="100" w:type="dxa"/>
              <w:end w:w="120" w:type="dxa"/>
            </w:tcMar>
          </w:tcPr>
          <w:p>
            <w:pPr>
              <w:spacing w:after="0"/>
            </w:pPr>
            <w:r/>
            <w:r>
              <w:rPr>
                <w:rFonts w:ascii="Aptos" w:hAnsi="Aptos"/>
                <w:b w:val="0"/>
                <w:sz w:val="17"/>
              </w:rPr>
              <w:t>$250–$1,500 one-time</w:t>
            </w:r>
          </w:p>
        </w:tc>
        <w:tc>
          <w:tcPr>
            <w:tcW w:type="dxa" w:w="3389"/>
            <w:vAlign w:val="center"/>
            <w:tcMar>
              <w:top w:w="100" w:type="dxa"/>
              <w:start w:w="120" w:type="dxa"/>
              <w:bottom w:w="100" w:type="dxa"/>
              <w:end w:w="120" w:type="dxa"/>
            </w:tcMar>
          </w:tcPr>
          <w:p>
            <w:pPr>
              <w:spacing w:after="0"/>
            </w:pPr>
            <w:r/>
            <w:r>
              <w:rPr>
                <w:rFonts w:ascii="Aptos" w:hAnsi="Aptos"/>
                <w:b w:val="0"/>
                <w:sz w:val="17"/>
              </w:rPr>
              <w:t>After sample-file review</w:t>
            </w:r>
          </w:p>
        </w:tc>
      </w:tr>
      <w:tr>
        <w:trPr>
          <w:cantSplit/>
        </w:trPr>
        <w:tc>
          <w:tcPr>
            <w:tcW w:type="dxa" w:w="3389"/>
            <w:shd w:fill="F6F9FC"/>
            <w:vAlign w:val="center"/>
            <w:tcMar>
              <w:top w:w="100" w:type="dxa"/>
              <w:start w:w="120" w:type="dxa"/>
              <w:bottom w:w="100" w:type="dxa"/>
              <w:end w:w="120" w:type="dxa"/>
            </w:tcMar>
          </w:tcPr>
          <w:p>
            <w:pPr>
              <w:spacing w:after="0"/>
            </w:pPr>
            <w:r/>
            <w:r>
              <w:rPr>
                <w:rFonts w:ascii="Aptos" w:hAnsi="Aptos"/>
                <w:b w:val="0"/>
                <w:sz w:val="17"/>
              </w:rPr>
              <w:t>Custom integration</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From $1,500 setup + support</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Separate SOW</w:t>
            </w:r>
          </w:p>
        </w:tc>
      </w:tr>
      <w:tr>
        <w:trPr>
          <w:cantSplit/>
        </w:trPr>
        <w:tc>
          <w:tcPr>
            <w:tcW w:type="dxa" w:w="3389"/>
            <w:vAlign w:val="center"/>
            <w:tcMar>
              <w:top w:w="100" w:type="dxa"/>
              <w:start w:w="120" w:type="dxa"/>
              <w:bottom w:w="100" w:type="dxa"/>
              <w:end w:w="120" w:type="dxa"/>
            </w:tcMar>
          </w:tcPr>
          <w:p>
            <w:pPr>
              <w:spacing w:after="0"/>
            </w:pPr>
            <w:r/>
            <w:r>
              <w:rPr>
                <w:rFonts w:ascii="Aptos" w:hAnsi="Aptos"/>
                <w:b w:val="0"/>
                <w:sz w:val="17"/>
              </w:rPr>
              <w:t>Premium onboarding</w:t>
            </w:r>
          </w:p>
        </w:tc>
        <w:tc>
          <w:tcPr>
            <w:tcW w:type="dxa" w:w="3389"/>
            <w:vAlign w:val="center"/>
            <w:tcMar>
              <w:top w:w="100" w:type="dxa"/>
              <w:start w:w="120" w:type="dxa"/>
              <w:bottom w:w="100" w:type="dxa"/>
              <w:end w:w="120" w:type="dxa"/>
            </w:tcMar>
          </w:tcPr>
          <w:p>
            <w:pPr>
              <w:spacing w:after="0"/>
            </w:pPr>
            <w:r/>
            <w:r>
              <w:rPr>
                <w:rFonts w:ascii="Aptos" w:hAnsi="Aptos"/>
                <w:b w:val="0"/>
                <w:sz w:val="17"/>
              </w:rPr>
              <w:t>$1,500 one-time</w:t>
            </w:r>
          </w:p>
        </w:tc>
        <w:tc>
          <w:tcPr>
            <w:tcW w:type="dxa" w:w="3389"/>
            <w:vAlign w:val="center"/>
            <w:tcMar>
              <w:top w:w="100" w:type="dxa"/>
              <w:start w:w="120" w:type="dxa"/>
              <w:bottom w:w="100" w:type="dxa"/>
              <w:end w:w="120" w:type="dxa"/>
            </w:tcMar>
          </w:tcPr>
          <w:p>
            <w:pPr>
              <w:spacing w:after="0"/>
            </w:pPr>
            <w:r/>
            <w:r>
              <w:rPr>
                <w:rFonts w:ascii="Aptos" w:hAnsi="Aptos"/>
                <w:b w:val="0"/>
                <w:sz w:val="17"/>
              </w:rPr>
              <w:t>Migration, configuration, and staff training</w:t>
            </w:r>
          </w:p>
        </w:tc>
      </w:tr>
    </w:tbl>
    <w:p>
      <w:pPr>
        <w:spacing w:after="0"/>
      </w:pPr>
    </w:p>
    <w:p>
      <w:pPr>
        <w:pStyle w:val="Heading1"/>
      </w:pPr>
      <w:r>
        <w:t>Website Pricing Page — Ready-to-Publish Copy</w:t>
      </w:r>
    </w:p>
    <w:p>
      <w:pPr>
        <w:pStyle w:val="Heading2"/>
      </w:pPr>
      <w:r>
        <w:t>Hero</w:t>
      </w:r>
    </w:p>
    <w:p>
      <w:r>
        <w:t>Run your dealership from one clear workspace.</w:t>
        <w:br/>
        <w:t>Manage vehicles, customers, sales records, documents, and daily dealership workflows without scattered spreadsheets and repeated data entry.</w:t>
      </w:r>
    </w:p>
    <w:p>
      <w:r>
        <w:t>Primary CTA: Book a Demo    Secondary CTA: View Plans</w:t>
      </w:r>
    </w:p>
    <w:p>
      <w:pPr>
        <w:pStyle w:val="Heading2"/>
      </w:pPr>
      <w:r>
        <w:t>Pricing headline</w:t>
      </w:r>
    </w:p>
    <w:p>
      <w:r>
        <w:t>Straightforward pricing based on active inventory</w:t>
      </w:r>
    </w:p>
    <w:p>
      <w:r>
        <w:t>Pricing subhead: Start with the plan that matches the number of vehicles you actively manage. Upgrade as your dealership grows.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240"/>
            <w:shd w:fill="102A43"/>
            <w:vAlign w:val="center"/>
            <w:tcMar>
              <w:top w:w="100" w:type="dxa"/>
              <w:start w:w="120" w:type="dxa"/>
              <w:bottom w:w="100" w:type="dxa"/>
              <w:end w:w="120" w:type="dxa"/>
            </w:tcMar>
          </w:tcPr>
          <w:p>
            <w:pPr>
              <w:spacing w:after="0"/>
            </w:pPr>
            <w:r/>
            <w:r>
              <w:rPr>
                <w:rFonts w:ascii="Aptos" w:hAnsi="Aptos"/>
                <w:b/>
                <w:color w:val="FFFFFF"/>
                <w:sz w:val="18"/>
              </w:rPr>
              <w:t>STARTER — $149/mo</w:t>
            </w:r>
          </w:p>
        </w:tc>
        <w:tc>
          <w:tcPr>
            <w:tcW w:type="dxa" w:w="3240"/>
            <w:shd w:fill="102A43"/>
            <w:vAlign w:val="center"/>
            <w:tcMar>
              <w:top w:w="100" w:type="dxa"/>
              <w:start w:w="120" w:type="dxa"/>
              <w:bottom w:w="100" w:type="dxa"/>
              <w:end w:w="120" w:type="dxa"/>
            </w:tcMar>
          </w:tcPr>
          <w:p>
            <w:pPr>
              <w:spacing w:after="0"/>
            </w:pPr>
            <w:r/>
            <w:r>
              <w:rPr>
                <w:rFonts w:ascii="Aptos" w:hAnsi="Aptos"/>
                <w:b/>
                <w:color w:val="FFFFFF"/>
                <w:sz w:val="18"/>
              </w:rPr>
              <w:t>GROWTH — $249/mo • MOST POPULAR</w:t>
            </w:r>
          </w:p>
        </w:tc>
        <w:tc>
          <w:tcPr>
            <w:tcW w:type="dxa" w:w="3240"/>
            <w:shd w:fill="102A43"/>
            <w:vAlign w:val="center"/>
            <w:tcMar>
              <w:top w:w="100" w:type="dxa"/>
              <w:start w:w="120" w:type="dxa"/>
              <w:bottom w:w="100" w:type="dxa"/>
              <w:end w:w="120" w:type="dxa"/>
            </w:tcMar>
          </w:tcPr>
          <w:p>
            <w:pPr>
              <w:spacing w:after="0"/>
            </w:pPr>
            <w:r/>
            <w:r>
              <w:rPr>
                <w:rFonts w:ascii="Aptos" w:hAnsi="Aptos"/>
                <w:b/>
                <w:color w:val="FFFFFF"/>
                <w:sz w:val="18"/>
              </w:rPr>
              <w:t>SCALE — From $399/mo</w:t>
            </w:r>
          </w:p>
        </w:tc>
      </w:tr>
      <w:tr>
        <w:trPr>
          <w:cantSplit/>
        </w:trPr>
        <w:tc>
          <w:tcPr>
            <w:tcW w:type="dxa" w:w="3240"/>
            <w:vAlign w:val="center"/>
            <w:tcMar>
              <w:top w:w="100" w:type="dxa"/>
              <w:start w:w="120" w:type="dxa"/>
              <w:bottom w:w="100" w:type="dxa"/>
              <w:end w:w="120" w:type="dxa"/>
            </w:tcMar>
          </w:tcPr>
          <w:p>
            <w:pPr>
              <w:spacing w:after="0"/>
            </w:pPr>
            <w:r/>
            <w:r>
              <w:rPr>
                <w:rFonts w:ascii="Aptos" w:hAnsi="Aptos"/>
                <w:b w:val="0"/>
                <w:sz w:val="17"/>
              </w:rPr>
              <w:t>0–20 active vehicles</w:t>
            </w:r>
          </w:p>
        </w:tc>
        <w:tc>
          <w:tcPr>
            <w:tcW w:type="dxa" w:w="3240"/>
            <w:vAlign w:val="center"/>
            <w:tcMar>
              <w:top w:w="100" w:type="dxa"/>
              <w:start w:w="120" w:type="dxa"/>
              <w:bottom w:w="100" w:type="dxa"/>
              <w:end w:w="120" w:type="dxa"/>
            </w:tcMar>
          </w:tcPr>
          <w:p>
            <w:pPr>
              <w:spacing w:after="0"/>
            </w:pPr>
            <w:r/>
            <w:r>
              <w:rPr>
                <w:rFonts w:ascii="Aptos" w:hAnsi="Aptos"/>
                <w:b w:val="0"/>
                <w:sz w:val="17"/>
              </w:rPr>
              <w:t>21–50 active vehicles</w:t>
            </w:r>
          </w:p>
        </w:tc>
        <w:tc>
          <w:tcPr>
            <w:tcW w:type="dxa" w:w="3240"/>
            <w:vAlign w:val="center"/>
            <w:tcMar>
              <w:top w:w="100" w:type="dxa"/>
              <w:start w:w="120" w:type="dxa"/>
              <w:bottom w:w="100" w:type="dxa"/>
              <w:end w:w="120" w:type="dxa"/>
            </w:tcMar>
          </w:tcPr>
          <w:p>
            <w:pPr>
              <w:spacing w:after="0"/>
            </w:pPr>
            <w:r/>
            <w:r>
              <w:rPr>
                <w:rFonts w:ascii="Aptos" w:hAnsi="Aptos"/>
                <w:b w:val="0"/>
                <w:sz w:val="17"/>
              </w:rPr>
              <w:t>51+ active vehicles</w:t>
            </w:r>
          </w:p>
        </w:tc>
      </w:tr>
      <w:tr>
        <w:trPr>
          <w:cantSplit/>
        </w:trPr>
        <w:tc>
          <w:tcPr>
            <w:tcW w:type="dxa" w:w="3240"/>
            <w:shd w:fill="F6F9FC"/>
            <w:vAlign w:val="center"/>
            <w:tcMar>
              <w:top w:w="100" w:type="dxa"/>
              <w:start w:w="120" w:type="dxa"/>
              <w:bottom w:w="100" w:type="dxa"/>
              <w:end w:w="120" w:type="dxa"/>
            </w:tcMar>
          </w:tcPr>
          <w:p>
            <w:pPr>
              <w:spacing w:after="0"/>
            </w:pPr>
            <w:r/>
            <w:r>
              <w:rPr>
                <w:rFonts w:ascii="Aptos" w:hAnsi="Aptos"/>
                <w:b w:val="0"/>
                <w:sz w:val="17"/>
              </w:rPr>
              <w:t>3 users • 1 location</w:t>
            </w:r>
          </w:p>
        </w:tc>
        <w:tc>
          <w:tcPr>
            <w:tcW w:type="dxa" w:w="3240"/>
            <w:shd w:fill="F6F9FC"/>
            <w:vAlign w:val="center"/>
            <w:tcMar>
              <w:top w:w="100" w:type="dxa"/>
              <w:start w:w="120" w:type="dxa"/>
              <w:bottom w:w="100" w:type="dxa"/>
              <w:end w:w="120" w:type="dxa"/>
            </w:tcMar>
          </w:tcPr>
          <w:p>
            <w:pPr>
              <w:spacing w:after="0"/>
            </w:pPr>
            <w:r/>
            <w:r>
              <w:rPr>
                <w:rFonts w:ascii="Aptos" w:hAnsi="Aptos"/>
                <w:b w:val="0"/>
                <w:sz w:val="17"/>
              </w:rPr>
              <w:t>8 users • 1 location</w:t>
            </w:r>
          </w:p>
        </w:tc>
        <w:tc>
          <w:tcPr>
            <w:tcW w:type="dxa" w:w="3240"/>
            <w:shd w:fill="F6F9FC"/>
            <w:vAlign w:val="center"/>
            <w:tcMar>
              <w:top w:w="100" w:type="dxa"/>
              <w:start w:w="120" w:type="dxa"/>
              <w:bottom w:w="100" w:type="dxa"/>
              <w:end w:w="120" w:type="dxa"/>
            </w:tcMar>
          </w:tcPr>
          <w:p>
            <w:pPr>
              <w:spacing w:after="0"/>
            </w:pPr>
            <w:r/>
            <w:r>
              <w:rPr>
                <w:rFonts w:ascii="Aptos" w:hAnsi="Aptos"/>
                <w:b w:val="0"/>
                <w:sz w:val="17"/>
              </w:rPr>
              <w:t>15 users • 1 location</w:t>
            </w:r>
          </w:p>
        </w:tc>
      </w:tr>
      <w:tr>
        <w:trPr>
          <w:cantSplit/>
        </w:trPr>
        <w:tc>
          <w:tcPr>
            <w:tcW w:type="dxa" w:w="3240"/>
            <w:vAlign w:val="center"/>
            <w:tcMar>
              <w:top w:w="100" w:type="dxa"/>
              <w:start w:w="120" w:type="dxa"/>
              <w:bottom w:w="100" w:type="dxa"/>
              <w:end w:w="120" w:type="dxa"/>
            </w:tcMar>
          </w:tcPr>
          <w:p>
            <w:pPr>
              <w:spacing w:after="0"/>
            </w:pPr>
            <w:r/>
            <w:r>
              <w:rPr>
                <w:rFonts w:ascii="Aptos" w:hAnsi="Aptos"/>
                <w:b w:val="0"/>
                <w:sz w:val="17"/>
              </w:rPr>
              <w:t>Inventory and VIN records</w:t>
            </w:r>
          </w:p>
        </w:tc>
        <w:tc>
          <w:tcPr>
            <w:tcW w:type="dxa" w:w="3240"/>
            <w:vAlign w:val="center"/>
            <w:tcMar>
              <w:top w:w="100" w:type="dxa"/>
              <w:start w:w="120" w:type="dxa"/>
              <w:bottom w:w="100" w:type="dxa"/>
              <w:end w:w="120" w:type="dxa"/>
            </w:tcMar>
          </w:tcPr>
          <w:p>
            <w:pPr>
              <w:spacing w:after="0"/>
            </w:pPr>
            <w:r/>
            <w:r>
              <w:rPr>
                <w:rFonts w:ascii="Aptos" w:hAnsi="Aptos"/>
                <w:b w:val="0"/>
                <w:sz w:val="17"/>
              </w:rPr>
              <w:t>Everything in Starter</w:t>
            </w:r>
          </w:p>
        </w:tc>
        <w:tc>
          <w:tcPr>
            <w:tcW w:type="dxa" w:w="3240"/>
            <w:vAlign w:val="center"/>
            <w:tcMar>
              <w:top w:w="100" w:type="dxa"/>
              <w:start w:w="120" w:type="dxa"/>
              <w:bottom w:w="100" w:type="dxa"/>
              <w:end w:w="120" w:type="dxa"/>
            </w:tcMar>
          </w:tcPr>
          <w:p>
            <w:pPr>
              <w:spacing w:after="0"/>
            </w:pPr>
            <w:r/>
            <w:r>
              <w:rPr>
                <w:rFonts w:ascii="Aptos" w:hAnsi="Aptos"/>
                <w:b w:val="0"/>
                <w:sz w:val="17"/>
              </w:rPr>
              <w:t>Everything in Growth</w:t>
            </w:r>
          </w:p>
        </w:tc>
      </w:tr>
      <w:tr>
        <w:trPr>
          <w:cantSplit/>
        </w:trPr>
        <w:tc>
          <w:tcPr>
            <w:tcW w:type="dxa" w:w="3240"/>
            <w:shd w:fill="F6F9FC"/>
            <w:vAlign w:val="center"/>
            <w:tcMar>
              <w:top w:w="100" w:type="dxa"/>
              <w:start w:w="120" w:type="dxa"/>
              <w:bottom w:w="100" w:type="dxa"/>
              <w:end w:w="120" w:type="dxa"/>
            </w:tcMar>
          </w:tcPr>
          <w:p>
            <w:pPr>
              <w:spacing w:after="0"/>
            </w:pPr>
            <w:r/>
            <w:r>
              <w:rPr>
                <w:rFonts w:ascii="Aptos" w:hAnsi="Aptos"/>
                <w:b w:val="0"/>
                <w:sz w:val="17"/>
              </w:rPr>
              <w:t>Customer and sales records</w:t>
            </w:r>
          </w:p>
        </w:tc>
        <w:tc>
          <w:tcPr>
            <w:tcW w:type="dxa" w:w="3240"/>
            <w:shd w:fill="F6F9FC"/>
            <w:vAlign w:val="center"/>
            <w:tcMar>
              <w:top w:w="100" w:type="dxa"/>
              <w:start w:w="120" w:type="dxa"/>
              <w:bottom w:w="100" w:type="dxa"/>
              <w:end w:w="120" w:type="dxa"/>
            </w:tcMar>
          </w:tcPr>
          <w:p>
            <w:pPr>
              <w:spacing w:after="0"/>
            </w:pPr>
            <w:r/>
            <w:r>
              <w:rPr>
                <w:rFonts w:ascii="Aptos" w:hAnsi="Aptos"/>
                <w:b w:val="0"/>
                <w:sz w:val="17"/>
              </w:rPr>
              <w:t>Advanced workflows and reports</w:t>
            </w:r>
          </w:p>
        </w:tc>
        <w:tc>
          <w:tcPr>
            <w:tcW w:type="dxa" w:w="3240"/>
            <w:shd w:fill="F6F9FC"/>
            <w:vAlign w:val="center"/>
            <w:tcMar>
              <w:top w:w="100" w:type="dxa"/>
              <w:start w:w="120" w:type="dxa"/>
              <w:bottom w:w="100" w:type="dxa"/>
              <w:end w:w="120" w:type="dxa"/>
            </w:tcMar>
          </w:tcPr>
          <w:p>
            <w:pPr>
              <w:spacing w:after="0"/>
            </w:pPr>
            <w:r/>
            <w:r>
              <w:rPr>
                <w:rFonts w:ascii="Aptos" w:hAnsi="Aptos"/>
                <w:b w:val="0"/>
                <w:sz w:val="17"/>
              </w:rPr>
              <w:t>Priority support and controls</w:t>
            </w:r>
          </w:p>
        </w:tc>
      </w:tr>
      <w:tr>
        <w:trPr>
          <w:cantSplit/>
        </w:trPr>
        <w:tc>
          <w:tcPr>
            <w:tcW w:type="dxa" w:w="3240"/>
            <w:vAlign w:val="center"/>
            <w:tcMar>
              <w:top w:w="100" w:type="dxa"/>
              <w:start w:w="120" w:type="dxa"/>
              <w:bottom w:w="100" w:type="dxa"/>
              <w:end w:w="120" w:type="dxa"/>
            </w:tcMar>
          </w:tcPr>
          <w:p>
            <w:pPr>
              <w:spacing w:after="0"/>
            </w:pPr>
            <w:r/>
            <w:r>
              <w:rPr>
                <w:rFonts w:ascii="Aptos" w:hAnsi="Aptos"/>
                <w:b w:val="0"/>
                <w:sz w:val="17"/>
              </w:rPr>
              <w:t>Standard forms and PDF exports</w:t>
            </w:r>
          </w:p>
        </w:tc>
        <w:tc>
          <w:tcPr>
            <w:tcW w:type="dxa" w:w="3240"/>
            <w:vAlign w:val="center"/>
            <w:tcMar>
              <w:top w:w="100" w:type="dxa"/>
              <w:start w:w="120" w:type="dxa"/>
              <w:bottom w:w="100" w:type="dxa"/>
              <w:end w:w="120" w:type="dxa"/>
            </w:tcMar>
          </w:tcPr>
          <w:p>
            <w:pPr>
              <w:spacing w:after="0"/>
            </w:pPr>
            <w:r/>
            <w:r>
              <w:rPr>
                <w:rFonts w:ascii="Aptos" w:hAnsi="Aptos"/>
                <w:b w:val="0"/>
                <w:sz w:val="17"/>
              </w:rPr>
              <w:t>300 OCR pages/month</w:t>
            </w:r>
          </w:p>
        </w:tc>
        <w:tc>
          <w:tcPr>
            <w:tcW w:type="dxa" w:w="3240"/>
            <w:vAlign w:val="center"/>
            <w:tcMar>
              <w:top w:w="100" w:type="dxa"/>
              <w:start w:w="120" w:type="dxa"/>
              <w:bottom w:w="100" w:type="dxa"/>
              <w:end w:w="120" w:type="dxa"/>
            </w:tcMar>
          </w:tcPr>
          <w:p>
            <w:pPr>
              <w:spacing w:after="0"/>
            </w:pPr>
            <w:r/>
            <w:r>
              <w:rPr>
                <w:rFonts w:ascii="Aptos" w:hAnsi="Aptos"/>
                <w:b w:val="0"/>
                <w:sz w:val="17"/>
              </w:rPr>
              <w:t>750 OCR pages/month</w:t>
            </w:r>
          </w:p>
        </w:tc>
      </w:tr>
      <w:tr>
        <w:trPr>
          <w:cantSplit/>
        </w:trPr>
        <w:tc>
          <w:tcPr>
            <w:tcW w:type="dxa" w:w="3240"/>
            <w:shd w:fill="F6F9FC"/>
            <w:vAlign w:val="center"/>
            <w:tcMar>
              <w:top w:w="100" w:type="dxa"/>
              <w:start w:w="120" w:type="dxa"/>
              <w:bottom w:w="100" w:type="dxa"/>
              <w:end w:w="120" w:type="dxa"/>
            </w:tcMar>
          </w:tcPr>
          <w:p>
            <w:pPr>
              <w:spacing w:after="0"/>
            </w:pPr>
            <w:r/>
            <w:r>
              <w:rPr>
                <w:rFonts w:ascii="Aptos" w:hAnsi="Aptos"/>
                <w:b w:val="0"/>
                <w:sz w:val="17"/>
              </w:rPr>
              <w:t>100 OCR pages/month</w:t>
            </w:r>
          </w:p>
        </w:tc>
        <w:tc>
          <w:tcPr>
            <w:tcW w:type="dxa" w:w="3240"/>
            <w:shd w:fill="F6F9FC"/>
            <w:vAlign w:val="center"/>
            <w:tcMar>
              <w:top w:w="100" w:type="dxa"/>
              <w:start w:w="120" w:type="dxa"/>
              <w:bottom w:w="100" w:type="dxa"/>
              <w:end w:w="120" w:type="dxa"/>
            </w:tcMar>
          </w:tcPr>
          <w:p>
            <w:pPr>
              <w:spacing w:after="0"/>
            </w:pPr>
            <w:r/>
            <w:r>
              <w:rPr>
                <w:rFonts w:ascii="Aptos" w:hAnsi="Aptos"/>
                <w:b w:val="0"/>
                <w:sz w:val="17"/>
              </w:rPr>
              <w:t>2 onboarding sessions</w:t>
            </w:r>
          </w:p>
        </w:tc>
        <w:tc>
          <w:tcPr>
            <w:tcW w:type="dxa" w:w="3240"/>
            <w:shd w:fill="F6F9FC"/>
            <w:vAlign w:val="center"/>
            <w:tcMar>
              <w:top w:w="100" w:type="dxa"/>
              <w:start w:w="120" w:type="dxa"/>
              <w:bottom w:w="100" w:type="dxa"/>
              <w:end w:w="120" w:type="dxa"/>
            </w:tcMar>
          </w:tcPr>
          <w:p>
            <w:pPr>
              <w:spacing w:after="0"/>
            </w:pPr>
            <w:r/>
            <w:r>
              <w:rPr>
                <w:rFonts w:ascii="Aptos" w:hAnsi="Aptos"/>
                <w:b w:val="0"/>
                <w:sz w:val="17"/>
              </w:rPr>
              <w:t>3 onboarding sessions</w:t>
            </w:r>
          </w:p>
        </w:tc>
      </w:tr>
      <w:tr>
        <w:trPr>
          <w:cantSplit/>
        </w:trPr>
        <w:tc>
          <w:tcPr>
            <w:tcW w:type="dxa" w:w="3240"/>
            <w:vAlign w:val="center"/>
            <w:tcMar>
              <w:top w:w="100" w:type="dxa"/>
              <w:start w:w="120" w:type="dxa"/>
              <w:bottom w:w="100" w:type="dxa"/>
              <w:end w:w="120" w:type="dxa"/>
            </w:tcMar>
          </w:tcPr>
          <w:p>
            <w:pPr>
              <w:spacing w:after="0"/>
            </w:pPr>
            <w:r/>
            <w:r>
              <w:rPr>
                <w:rFonts w:ascii="Aptos" w:hAnsi="Aptos"/>
                <w:b w:val="0"/>
                <w:sz w:val="17"/>
              </w:rPr>
              <w:t>CTA: Start with Starter</w:t>
            </w:r>
          </w:p>
        </w:tc>
        <w:tc>
          <w:tcPr>
            <w:tcW w:type="dxa" w:w="3240"/>
            <w:vAlign w:val="center"/>
            <w:tcMar>
              <w:top w:w="100" w:type="dxa"/>
              <w:start w:w="120" w:type="dxa"/>
              <w:bottom w:w="100" w:type="dxa"/>
              <w:end w:w="120" w:type="dxa"/>
            </w:tcMar>
          </w:tcPr>
          <w:p>
            <w:pPr>
              <w:spacing w:after="0"/>
            </w:pPr>
            <w:r/>
            <w:r>
              <w:rPr>
                <w:rFonts w:ascii="Aptos" w:hAnsi="Aptos"/>
                <w:b w:val="0"/>
                <w:sz w:val="17"/>
              </w:rPr>
              <w:t>CTA: Choose Growth</w:t>
            </w:r>
          </w:p>
        </w:tc>
        <w:tc>
          <w:tcPr>
            <w:tcW w:type="dxa" w:w="3240"/>
            <w:vAlign w:val="center"/>
            <w:tcMar>
              <w:top w:w="100" w:type="dxa"/>
              <w:start w:w="120" w:type="dxa"/>
              <w:bottom w:w="100" w:type="dxa"/>
              <w:end w:w="120" w:type="dxa"/>
            </w:tcMar>
          </w:tcPr>
          <w:p>
            <w:pPr>
              <w:spacing w:after="0"/>
            </w:pPr>
            <w:r/>
            <w:r>
              <w:rPr>
                <w:rFonts w:ascii="Aptos" w:hAnsi="Aptos"/>
                <w:b w:val="0"/>
                <w:sz w:val="17"/>
              </w:rPr>
              <w:t>CTA: Talk to Sales</w:t>
            </w:r>
          </w:p>
        </w:tc>
      </w:tr>
    </w:tbl>
    <w:p>
      <w:pPr>
        <w:spacing w:after="0"/>
      </w:pPr>
    </w:p>
    <w:p>
      <w:pPr>
        <w:pStyle w:val="Heading2"/>
      </w:pPr>
      <w:r>
        <w:t>Trust strip</w:t>
      </w:r>
    </w:p>
    <w:p>
      <w:r>
        <w:t>Built for independent dealerships • Guided onboarding • Secure role-based access • Exportable records • No per-user fees within plan limits</w:t>
      </w:r>
    </w:p>
    <w:p>
      <w:pPr>
        <w:pStyle w:val="Heading2"/>
      </w:pPr>
      <w:r>
        <w:t>How DealerOS helps</w:t>
      </w:r>
    </w:p>
    <w:p>
      <w:pPr>
        <w:pStyle w:val="ListBullet"/>
      </w:pPr>
      <w:r>
        <w:t>Reduce duplicate entry: keep vehicle, customer, and document information connected.</w:t>
      </w:r>
    </w:p>
    <w:p>
      <w:pPr>
        <w:pStyle w:val="ListBullet"/>
      </w:pPr>
      <w:r>
        <w:t>Move faster: use OCR-assisted entry and reusable workflows for repetitive paperwork.</w:t>
      </w:r>
    </w:p>
    <w:p>
      <w:pPr>
        <w:pStyle w:val="ListBullet"/>
      </w:pPr>
      <w:r>
        <w:t>See the operation clearly: monitor inventory, sales activity, tasks, and exceptions from one dashboard.</w:t>
      </w:r>
    </w:p>
    <w:p>
      <w:pPr>
        <w:pStyle w:val="ListBullet"/>
      </w:pPr>
      <w:r>
        <w:t>Standardize the team: use consistent processes, permissions, and records instead of individual spreadsheets.</w:t>
      </w:r>
    </w:p>
    <w:p>
      <w:pPr>
        <w:pStyle w:val="ListBullet"/>
      </w:pPr>
      <w:r>
        <w:t>Grow without changing systems: move to the next inventory tier as volume increases.</w:t>
      </w:r>
    </w:p>
    <w:p>
      <w:r>
        <w:t>Accuracy rule: use measurable claims such as “reduce entry time by X%” only after a documented customer study. Do not publish “80–90% faster” without baseline timing, sample size, and calculation.</w:t>
      </w:r>
    </w:p>
    <w:p>
      <w:pPr>
        <w:pStyle w:val="Heading1"/>
      </w:pPr>
      <w:r>
        <w:t>Website Page Architecture</w:t>
      </w:r>
    </w:p>
    <w:p>
      <w:r>
        <w:t>1. Hero: outcome statement, product screenshot, Book a Demo CTA.</w:t>
      </w:r>
    </w:p>
    <w:p>
      <w:r>
        <w:t>2. Problem strip: scattered tools, repeated entry, missing documents, limited visibility.</w:t>
      </w:r>
    </w:p>
    <w:p>
      <w:r>
        <w:t>3. Core workflows: inventory, customers, deals, documents, reporting.</w:t>
      </w:r>
    </w:p>
    <w:p>
      <w:r>
        <w:t>4. Interactive product tour: 4–6 real screens with short captions.</w:t>
      </w:r>
    </w:p>
    <w:p>
      <w:r>
        <w:t>5. Pricing: three cards, inventory definition, monthly/annual toggle.</w:t>
      </w:r>
    </w:p>
    <w:p>
      <w:r>
        <w:t>6. Implementation: discovery, migration, setup, training, go-live.</w:t>
      </w:r>
    </w:p>
    <w:p>
      <w:r>
        <w:t>7. Security and data: permissions, encryption, backups, retention, subprocessors—only verified claims.</w:t>
      </w:r>
    </w:p>
    <w:p>
      <w:r>
        <w:t>8. Proof: named customer story with permission and measurable before/after evidence.</w:t>
      </w:r>
    </w:p>
    <w:p>
      <w:r>
        <w:t>9. FAQ: billing, inventory counting, migration, integrations, cancellation, support.</w:t>
      </w:r>
    </w:p>
    <w:p>
      <w:r>
        <w:t>10. Final CTA: Book a 20-minute workflow review.</w:t>
      </w:r>
    </w:p>
    <w:p>
      <w:pPr>
        <w:pStyle w:val="Heading2"/>
      </w:pPr>
      <w:r>
        <w:t>Recommended homepage headline</w:t>
      </w:r>
    </w:p>
    <w:p>
      <w:r>
        <w:t>The operating system for independent dealerships</w:t>
      </w:r>
    </w:p>
    <w:p>
      <w:r>
        <w:t>Supporting line: DealerOS brings inventory, customers, sales records, documents, and dealership workflows into one organized platform.</w:t>
      </w:r>
    </w:p>
    <w:p>
      <w:pPr>
        <w:pStyle w:val="Heading2"/>
      </w:pPr>
      <w:r>
        <w:t>Recommended proof language</w:t>
      </w:r>
    </w:p>
    <w:p>
      <w:r>
        <w:t>“Used in daily dealership operations” may be used only with written customer approval. Never imply certification by a dealership, RMV, lender, manufacturer, or government agency unless formally granted.</w:t>
      </w:r>
    </w:p>
    <w:p>
      <w:pPr>
        <w:pStyle w:val="Heading2"/>
      </w:pPr>
      <w:r>
        <w:t>Pricing FAQ</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02A43"/>
            <w:vAlign w:val="center"/>
            <w:tcMar>
              <w:top w:w="100" w:type="dxa"/>
              <w:start w:w="120" w:type="dxa"/>
              <w:bottom w:w="100" w:type="dxa"/>
              <w:end w:w="120" w:type="dxa"/>
            </w:tcMar>
          </w:tcPr>
          <w:p>
            <w:pPr>
              <w:spacing w:after="0"/>
            </w:pPr>
            <w:r/>
            <w:r>
              <w:rPr>
                <w:rFonts w:ascii="Aptos" w:hAnsi="Aptos"/>
                <w:b/>
                <w:color w:val="FFFFFF"/>
                <w:sz w:val="18"/>
              </w:rPr>
              <w:t>Question</w:t>
            </w:r>
          </w:p>
        </w:tc>
        <w:tc>
          <w:tcPr>
            <w:tcW w:type="dxa" w:w="6624"/>
            <w:shd w:fill="102A43"/>
            <w:vAlign w:val="center"/>
            <w:tcMar>
              <w:top w:w="100" w:type="dxa"/>
              <w:start w:w="120" w:type="dxa"/>
              <w:bottom w:w="100" w:type="dxa"/>
              <w:end w:w="120" w:type="dxa"/>
            </w:tcMar>
          </w:tcPr>
          <w:p>
            <w:pPr>
              <w:spacing w:after="0"/>
            </w:pPr>
            <w:r/>
            <w:r>
              <w:rPr>
                <w:rFonts w:ascii="Aptos" w:hAnsi="Aptos"/>
                <w:b/>
                <w:color w:val="FFFFFF"/>
                <w:sz w:val="18"/>
              </w:rPr>
              <w:t>Answer</w:t>
            </w:r>
          </w:p>
        </w:tc>
      </w:tr>
      <w:tr>
        <w:trPr>
          <w:cantSplit/>
        </w:trPr>
        <w:tc>
          <w:tcPr>
            <w:tcW w:type="dxa" w:w="3168"/>
            <w:vAlign w:val="center"/>
            <w:tcMar>
              <w:top w:w="100" w:type="dxa"/>
              <w:start w:w="120" w:type="dxa"/>
              <w:bottom w:w="100" w:type="dxa"/>
              <w:end w:w="120" w:type="dxa"/>
            </w:tcMar>
          </w:tcPr>
          <w:p>
            <w:pPr>
              <w:spacing w:after="0"/>
            </w:pPr>
            <w:r/>
            <w:r>
              <w:rPr>
                <w:rFonts w:ascii="Aptos" w:hAnsi="Aptos"/>
                <w:b w:val="0"/>
                <w:sz w:val="17"/>
              </w:rPr>
              <w:t>What is an active vehicle?</w:t>
            </w:r>
          </w:p>
        </w:tc>
        <w:tc>
          <w:tcPr>
            <w:tcW w:type="dxa" w:w="6624"/>
            <w:vAlign w:val="center"/>
            <w:tcMar>
              <w:top w:w="100" w:type="dxa"/>
              <w:start w:w="120" w:type="dxa"/>
              <w:bottom w:w="100" w:type="dxa"/>
              <w:end w:w="120" w:type="dxa"/>
            </w:tcMar>
          </w:tcPr>
          <w:p>
            <w:pPr>
              <w:spacing w:after="0"/>
            </w:pPr>
            <w:r/>
            <w:r>
              <w:rPr>
                <w:rFonts w:ascii="Aptos" w:hAnsi="Aptos"/>
                <w:b w:val="0"/>
                <w:sz w:val="17"/>
              </w:rPr>
              <w:t>A unique vehicle record currently listed as active inventory. Sold, archived, deleted, and test records do not count.</w:t>
            </w:r>
          </w:p>
        </w:tc>
      </w:tr>
      <w:tr>
        <w:trPr>
          <w:cantSplit/>
        </w:trPr>
        <w:tc>
          <w:tcPr>
            <w:tcW w:type="dxa" w:w="3168"/>
            <w:shd w:fill="F6F9FC"/>
            <w:vAlign w:val="center"/>
            <w:tcMar>
              <w:top w:w="100" w:type="dxa"/>
              <w:start w:w="120" w:type="dxa"/>
              <w:bottom w:w="100" w:type="dxa"/>
              <w:end w:w="120" w:type="dxa"/>
            </w:tcMar>
          </w:tcPr>
          <w:p>
            <w:pPr>
              <w:spacing w:after="0"/>
            </w:pPr>
            <w:r/>
            <w:r>
              <w:rPr>
                <w:rFonts w:ascii="Aptos" w:hAnsi="Aptos"/>
                <w:b w:val="0"/>
                <w:sz w:val="17"/>
              </w:rPr>
              <w:t>What happens if we exceed our limit?</w:t>
            </w:r>
          </w:p>
        </w:tc>
        <w:tc>
          <w:tcPr>
            <w:tcW w:type="dxa" w:w="6624"/>
            <w:shd w:fill="F6F9FC"/>
            <w:vAlign w:val="center"/>
            <w:tcMar>
              <w:top w:w="100" w:type="dxa"/>
              <w:start w:w="120" w:type="dxa"/>
              <w:bottom w:w="100" w:type="dxa"/>
              <w:end w:w="120" w:type="dxa"/>
            </w:tcMar>
          </w:tcPr>
          <w:p>
            <w:pPr>
              <w:spacing w:after="0"/>
            </w:pPr>
            <w:r/>
            <w:r>
              <w:rPr>
                <w:rFonts w:ascii="Aptos" w:hAnsi="Aptos"/>
                <w:b w:val="0"/>
                <w:sz w:val="17"/>
              </w:rPr>
              <w:t>We notify you and move the account to the correct tier under the order-form measurement rule.</w:t>
            </w:r>
          </w:p>
        </w:tc>
      </w:tr>
      <w:tr>
        <w:trPr>
          <w:cantSplit/>
        </w:trPr>
        <w:tc>
          <w:tcPr>
            <w:tcW w:type="dxa" w:w="3168"/>
            <w:vAlign w:val="center"/>
            <w:tcMar>
              <w:top w:w="100" w:type="dxa"/>
              <w:start w:w="120" w:type="dxa"/>
              <w:bottom w:w="100" w:type="dxa"/>
              <w:end w:w="120" w:type="dxa"/>
            </w:tcMar>
          </w:tcPr>
          <w:p>
            <w:pPr>
              <w:spacing w:after="0"/>
            </w:pPr>
            <w:r/>
            <w:r>
              <w:rPr>
                <w:rFonts w:ascii="Aptos" w:hAnsi="Aptos"/>
                <w:b w:val="0"/>
                <w:sz w:val="17"/>
              </w:rPr>
              <w:t>Are integrations included?</w:t>
            </w:r>
          </w:p>
        </w:tc>
        <w:tc>
          <w:tcPr>
            <w:tcW w:type="dxa" w:w="6624"/>
            <w:vAlign w:val="center"/>
            <w:tcMar>
              <w:top w:w="100" w:type="dxa"/>
              <w:start w:w="120" w:type="dxa"/>
              <w:bottom w:w="100" w:type="dxa"/>
              <w:end w:w="120" w:type="dxa"/>
            </w:tcMar>
          </w:tcPr>
          <w:p>
            <w:pPr>
              <w:spacing w:after="0"/>
            </w:pPr>
            <w:r/>
            <w:r>
              <w:rPr>
                <w:rFonts w:ascii="Aptos" w:hAnsi="Aptos"/>
                <w:b w:val="0"/>
                <w:sz w:val="17"/>
              </w:rPr>
              <w:t>Only integrations named in the signed order form are included. Third-party charges are separate.</w:t>
            </w:r>
          </w:p>
        </w:tc>
      </w:tr>
      <w:tr>
        <w:trPr>
          <w:cantSplit/>
        </w:trPr>
        <w:tc>
          <w:tcPr>
            <w:tcW w:type="dxa" w:w="3168"/>
            <w:shd w:fill="F6F9FC"/>
            <w:vAlign w:val="center"/>
            <w:tcMar>
              <w:top w:w="100" w:type="dxa"/>
              <w:start w:w="120" w:type="dxa"/>
              <w:bottom w:w="100" w:type="dxa"/>
              <w:end w:w="120" w:type="dxa"/>
            </w:tcMar>
          </w:tcPr>
          <w:p>
            <w:pPr>
              <w:spacing w:after="0"/>
            </w:pPr>
            <w:r/>
            <w:r>
              <w:rPr>
                <w:rFonts w:ascii="Aptos" w:hAnsi="Aptos"/>
                <w:b w:val="0"/>
                <w:sz w:val="17"/>
              </w:rPr>
              <w:t>Can we cancel?</w:t>
            </w:r>
          </w:p>
        </w:tc>
        <w:tc>
          <w:tcPr>
            <w:tcW w:type="dxa" w:w="6624"/>
            <w:shd w:fill="F6F9FC"/>
            <w:vAlign w:val="center"/>
            <w:tcMar>
              <w:top w:w="100" w:type="dxa"/>
              <w:start w:w="120" w:type="dxa"/>
              <w:bottom w:w="100" w:type="dxa"/>
              <w:end w:w="120" w:type="dxa"/>
            </w:tcMar>
          </w:tcPr>
          <w:p>
            <w:pPr>
              <w:spacing w:after="0"/>
            </w:pPr>
            <w:r/>
            <w:r>
              <w:rPr>
                <w:rFonts w:ascii="Aptos" w:hAnsi="Aptos"/>
                <w:b w:val="0"/>
                <w:sz w:val="17"/>
              </w:rPr>
              <w:t>Monthly service continues under the signed initial term and cancellation terms. Annual prepayments are non-refundable except as stated in the agreement.</w:t>
            </w:r>
          </w:p>
        </w:tc>
      </w:tr>
      <w:tr>
        <w:trPr>
          <w:cantSplit/>
        </w:trPr>
        <w:tc>
          <w:tcPr>
            <w:tcW w:type="dxa" w:w="3168"/>
            <w:vAlign w:val="center"/>
            <w:tcMar>
              <w:top w:w="100" w:type="dxa"/>
              <w:start w:w="120" w:type="dxa"/>
              <w:bottom w:w="100" w:type="dxa"/>
              <w:end w:w="120" w:type="dxa"/>
            </w:tcMar>
          </w:tcPr>
          <w:p>
            <w:pPr>
              <w:spacing w:after="0"/>
            </w:pPr>
            <w:r/>
            <w:r>
              <w:rPr>
                <w:rFonts w:ascii="Aptos" w:hAnsi="Aptos"/>
                <w:b w:val="0"/>
                <w:sz w:val="17"/>
              </w:rPr>
              <w:t>Do you migrate our data?</w:t>
            </w:r>
          </w:p>
        </w:tc>
        <w:tc>
          <w:tcPr>
            <w:tcW w:type="dxa" w:w="6624"/>
            <w:vAlign w:val="center"/>
            <w:tcMar>
              <w:top w:w="100" w:type="dxa"/>
              <w:start w:w="120" w:type="dxa"/>
              <w:bottom w:w="100" w:type="dxa"/>
              <w:end w:w="120" w:type="dxa"/>
            </w:tcMar>
          </w:tcPr>
          <w:p>
            <w:pPr>
              <w:spacing w:after="0"/>
            </w:pPr>
            <w:r/>
            <w:r>
              <w:rPr>
                <w:rFonts w:ascii="Aptos" w:hAnsi="Aptos"/>
                <w:b w:val="0"/>
                <w:sz w:val="17"/>
              </w:rPr>
              <w:t>Migration is scoped after we inspect the source data. Standard onboarding and migration are defined in the order form.</w:t>
            </w:r>
          </w:p>
        </w:tc>
      </w:tr>
      <w:tr>
        <w:trPr>
          <w:cantSplit/>
        </w:trPr>
        <w:tc>
          <w:tcPr>
            <w:tcW w:type="dxa" w:w="3168"/>
            <w:shd w:fill="F6F9FC"/>
            <w:vAlign w:val="center"/>
            <w:tcMar>
              <w:top w:w="100" w:type="dxa"/>
              <w:start w:w="120" w:type="dxa"/>
              <w:bottom w:w="100" w:type="dxa"/>
              <w:end w:w="120" w:type="dxa"/>
            </w:tcMar>
          </w:tcPr>
          <w:p>
            <w:pPr>
              <w:spacing w:after="0"/>
            </w:pPr>
            <w:r/>
            <w:r>
              <w:rPr>
                <w:rFonts w:ascii="Aptos" w:hAnsi="Aptos"/>
                <w:b w:val="0"/>
                <w:sz w:val="17"/>
              </w:rPr>
              <w:t>Is training included?</w:t>
            </w:r>
          </w:p>
        </w:tc>
        <w:tc>
          <w:tcPr>
            <w:tcW w:type="dxa" w:w="6624"/>
            <w:shd w:fill="F6F9FC"/>
            <w:vAlign w:val="center"/>
            <w:tcMar>
              <w:top w:w="100" w:type="dxa"/>
              <w:start w:w="120" w:type="dxa"/>
              <w:bottom w:w="100" w:type="dxa"/>
              <w:end w:w="120" w:type="dxa"/>
            </w:tcMar>
          </w:tcPr>
          <w:p>
            <w:pPr>
              <w:spacing w:after="0"/>
            </w:pPr>
            <w:r/>
            <w:r>
              <w:rPr>
                <w:rFonts w:ascii="Aptos" w:hAnsi="Aptos"/>
                <w:b w:val="0"/>
                <w:sz w:val="17"/>
              </w:rPr>
              <w:t>Yes, according to the plan. Additional training can be purchased.</w:t>
            </w:r>
          </w:p>
        </w:tc>
      </w:tr>
      <w:tr>
        <w:trPr>
          <w:cantSplit/>
        </w:trPr>
        <w:tc>
          <w:tcPr>
            <w:tcW w:type="dxa" w:w="3168"/>
            <w:vAlign w:val="center"/>
            <w:tcMar>
              <w:top w:w="100" w:type="dxa"/>
              <w:start w:w="120" w:type="dxa"/>
              <w:bottom w:w="100" w:type="dxa"/>
              <w:end w:w="120" w:type="dxa"/>
            </w:tcMar>
          </w:tcPr>
          <w:p>
            <w:pPr>
              <w:spacing w:after="0"/>
            </w:pPr>
            <w:r/>
            <w:r>
              <w:rPr>
                <w:rFonts w:ascii="Aptos" w:hAnsi="Aptos"/>
                <w:b w:val="0"/>
                <w:sz w:val="17"/>
              </w:rPr>
              <w:t>Do you offer a free trial?</w:t>
            </w:r>
          </w:p>
        </w:tc>
        <w:tc>
          <w:tcPr>
            <w:tcW w:type="dxa" w:w="6624"/>
            <w:vAlign w:val="center"/>
            <w:tcMar>
              <w:top w:w="100" w:type="dxa"/>
              <w:start w:w="120" w:type="dxa"/>
              <w:bottom w:w="100" w:type="dxa"/>
              <w:end w:w="120" w:type="dxa"/>
            </w:tcMar>
          </w:tcPr>
          <w:p>
            <w:pPr>
              <w:spacing w:after="0"/>
            </w:pPr>
            <w:r/>
            <w:r>
              <w:rPr>
                <w:rFonts w:ascii="Aptos" w:hAnsi="Aptos"/>
                <w:b w:val="0"/>
                <w:sz w:val="17"/>
              </w:rPr>
              <w:t>Recommended: use a guided 14-day pilot with sample data or a limited paid pilot; do not expose live dealership data before security and access setup.</w:t>
            </w:r>
          </w:p>
        </w:tc>
      </w:tr>
    </w:tbl>
    <w:p>
      <w:pPr>
        <w:spacing w:after="0"/>
      </w:pPr>
    </w:p>
    <w:p>
      <w:pPr>
        <w:pStyle w:val="Heading1"/>
      </w:pPr>
      <w:r>
        <w:t>Sales and Onboarding Process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02A43"/>
            <w:vAlign w:val="center"/>
            <w:tcMar>
              <w:top w:w="100" w:type="dxa"/>
              <w:start w:w="120" w:type="dxa"/>
              <w:bottom w:w="100" w:type="dxa"/>
              <w:end w:w="120" w:type="dxa"/>
            </w:tcMar>
          </w:tcPr>
          <w:p>
            <w:pPr>
              <w:spacing w:after="0"/>
            </w:pPr>
            <w:r/>
            <w:r>
              <w:rPr>
                <w:rFonts w:ascii="Aptos" w:hAnsi="Aptos"/>
                <w:b/>
                <w:color w:val="FFFFFF"/>
                <w:sz w:val="18"/>
              </w:rPr>
              <w:t>Stage</w:t>
            </w:r>
          </w:p>
        </w:tc>
        <w:tc>
          <w:tcPr>
            <w:tcW w:type="dxa" w:w="2016"/>
            <w:shd w:fill="102A43"/>
            <w:vAlign w:val="center"/>
            <w:tcMar>
              <w:top w:w="100" w:type="dxa"/>
              <w:start w:w="120" w:type="dxa"/>
              <w:bottom w:w="100" w:type="dxa"/>
              <w:end w:w="120" w:type="dxa"/>
            </w:tcMar>
          </w:tcPr>
          <w:p>
            <w:pPr>
              <w:spacing w:after="0"/>
            </w:pPr>
            <w:r/>
            <w:r>
              <w:rPr>
                <w:rFonts w:ascii="Aptos" w:hAnsi="Aptos"/>
                <w:b/>
                <w:color w:val="FFFFFF"/>
                <w:sz w:val="18"/>
              </w:rPr>
              <w:t>Owner</w:t>
            </w:r>
          </w:p>
        </w:tc>
        <w:tc>
          <w:tcPr>
            <w:tcW w:type="dxa" w:w="5976"/>
            <w:shd w:fill="102A43"/>
            <w:vAlign w:val="center"/>
            <w:tcMar>
              <w:top w:w="100" w:type="dxa"/>
              <w:start w:w="120" w:type="dxa"/>
              <w:bottom w:w="100" w:type="dxa"/>
              <w:end w:w="120" w:type="dxa"/>
            </w:tcMar>
          </w:tcPr>
          <w:p>
            <w:pPr>
              <w:spacing w:after="0"/>
            </w:pPr>
            <w:r/>
            <w:r>
              <w:rPr>
                <w:rFonts w:ascii="Aptos" w:hAnsi="Aptos"/>
                <w:b/>
                <w:color w:val="FFFFFF"/>
                <w:sz w:val="18"/>
              </w:rPr>
              <w:t>Exit criterion</w:t>
            </w:r>
          </w:p>
        </w:tc>
      </w:tr>
      <w:tr>
        <w:trPr>
          <w:cantSplit/>
        </w:trPr>
        <w:tc>
          <w:tcPr>
            <w:tcW w:type="dxa" w:w="1800"/>
            <w:vAlign w:val="center"/>
            <w:tcMar>
              <w:top w:w="100" w:type="dxa"/>
              <w:start w:w="120" w:type="dxa"/>
              <w:bottom w:w="100" w:type="dxa"/>
              <w:end w:w="120" w:type="dxa"/>
            </w:tcMar>
          </w:tcPr>
          <w:p>
            <w:pPr>
              <w:spacing w:after="0"/>
            </w:pPr>
            <w:r/>
            <w:r>
              <w:rPr>
                <w:rFonts w:ascii="Aptos" w:hAnsi="Aptos"/>
                <w:b w:val="0"/>
                <w:sz w:val="17"/>
              </w:rPr>
              <w:t>1. Discovery</w:t>
            </w:r>
          </w:p>
        </w:tc>
        <w:tc>
          <w:tcPr>
            <w:tcW w:type="dxa" w:w="2016"/>
            <w:vAlign w:val="center"/>
            <w:tcMar>
              <w:top w:w="100" w:type="dxa"/>
              <w:start w:w="120" w:type="dxa"/>
              <w:bottom w:w="100" w:type="dxa"/>
              <w:end w:w="120" w:type="dxa"/>
            </w:tcMar>
          </w:tcPr>
          <w:p>
            <w:pPr>
              <w:spacing w:after="0"/>
            </w:pPr>
            <w:r/>
            <w:r>
              <w:rPr>
                <w:rFonts w:ascii="Aptos" w:hAnsi="Aptos"/>
                <w:b w:val="0"/>
                <w:sz w:val="17"/>
              </w:rPr>
              <w:t>Sales</w:t>
            </w:r>
          </w:p>
        </w:tc>
        <w:tc>
          <w:tcPr>
            <w:tcW w:type="dxa" w:w="5976"/>
            <w:vAlign w:val="center"/>
            <w:tcMar>
              <w:top w:w="100" w:type="dxa"/>
              <w:start w:w="120" w:type="dxa"/>
              <w:bottom w:w="100" w:type="dxa"/>
              <w:end w:w="120" w:type="dxa"/>
            </w:tcMar>
          </w:tcPr>
          <w:p>
            <w:pPr>
              <w:spacing w:after="0"/>
            </w:pPr>
            <w:r/>
            <w:r>
              <w:rPr>
                <w:rFonts w:ascii="Aptos" w:hAnsi="Aptos"/>
                <w:b w:val="0"/>
                <w:sz w:val="17"/>
              </w:rPr>
              <w:t>Inventory count, locations, users, modules, integrations, data sources confirmed</w:t>
            </w:r>
          </w:p>
        </w:tc>
      </w:tr>
      <w:tr>
        <w:trPr>
          <w:cantSplit/>
        </w:trPr>
        <w:tc>
          <w:tcPr>
            <w:tcW w:type="dxa" w:w="1800"/>
            <w:shd w:fill="F6F9FC"/>
            <w:vAlign w:val="center"/>
            <w:tcMar>
              <w:top w:w="100" w:type="dxa"/>
              <w:start w:w="120" w:type="dxa"/>
              <w:bottom w:w="100" w:type="dxa"/>
              <w:end w:w="120" w:type="dxa"/>
            </w:tcMar>
          </w:tcPr>
          <w:p>
            <w:pPr>
              <w:spacing w:after="0"/>
            </w:pPr>
            <w:r/>
            <w:r>
              <w:rPr>
                <w:rFonts w:ascii="Aptos" w:hAnsi="Aptos"/>
                <w:b w:val="0"/>
                <w:sz w:val="17"/>
              </w:rPr>
              <w:t>2. Demo</w:t>
            </w:r>
          </w:p>
        </w:tc>
        <w:tc>
          <w:tcPr>
            <w:tcW w:type="dxa" w:w="2016"/>
            <w:shd w:fill="F6F9FC"/>
            <w:vAlign w:val="center"/>
            <w:tcMar>
              <w:top w:w="100" w:type="dxa"/>
              <w:start w:w="120" w:type="dxa"/>
              <w:bottom w:w="100" w:type="dxa"/>
              <w:end w:w="120" w:type="dxa"/>
            </w:tcMar>
          </w:tcPr>
          <w:p>
            <w:pPr>
              <w:spacing w:after="0"/>
            </w:pPr>
            <w:r/>
            <w:r>
              <w:rPr>
                <w:rFonts w:ascii="Aptos" w:hAnsi="Aptos"/>
                <w:b w:val="0"/>
                <w:sz w:val="17"/>
              </w:rPr>
              <w:t>Sales/Product</w:t>
            </w:r>
          </w:p>
        </w:tc>
        <w:tc>
          <w:tcPr>
            <w:tcW w:type="dxa" w:w="5976"/>
            <w:shd w:fill="F6F9FC"/>
            <w:vAlign w:val="center"/>
            <w:tcMar>
              <w:top w:w="100" w:type="dxa"/>
              <w:start w:w="120" w:type="dxa"/>
              <w:bottom w:w="100" w:type="dxa"/>
              <w:end w:w="120" w:type="dxa"/>
            </w:tcMar>
          </w:tcPr>
          <w:p>
            <w:pPr>
              <w:spacing w:after="0"/>
            </w:pPr>
            <w:r/>
            <w:r>
              <w:rPr>
                <w:rFonts w:ascii="Aptos" w:hAnsi="Aptos"/>
                <w:b w:val="0"/>
                <w:sz w:val="17"/>
              </w:rPr>
              <w:t>Dealer confirms workflows and gaps</w:t>
            </w:r>
          </w:p>
        </w:tc>
      </w:tr>
      <w:tr>
        <w:trPr>
          <w:cantSplit/>
        </w:trPr>
        <w:tc>
          <w:tcPr>
            <w:tcW w:type="dxa" w:w="1800"/>
            <w:vAlign w:val="center"/>
            <w:tcMar>
              <w:top w:w="100" w:type="dxa"/>
              <w:start w:w="120" w:type="dxa"/>
              <w:bottom w:w="100" w:type="dxa"/>
              <w:end w:w="120" w:type="dxa"/>
            </w:tcMar>
          </w:tcPr>
          <w:p>
            <w:pPr>
              <w:spacing w:after="0"/>
            </w:pPr>
            <w:r/>
            <w:r>
              <w:rPr>
                <w:rFonts w:ascii="Aptos" w:hAnsi="Aptos"/>
                <w:b w:val="0"/>
                <w:sz w:val="17"/>
              </w:rPr>
              <w:t>3. Order form</w:t>
            </w:r>
          </w:p>
        </w:tc>
        <w:tc>
          <w:tcPr>
            <w:tcW w:type="dxa" w:w="2016"/>
            <w:vAlign w:val="center"/>
            <w:tcMar>
              <w:top w:w="100" w:type="dxa"/>
              <w:start w:w="120" w:type="dxa"/>
              <w:bottom w:w="100" w:type="dxa"/>
              <w:end w:w="120" w:type="dxa"/>
            </w:tcMar>
          </w:tcPr>
          <w:p>
            <w:pPr>
              <w:spacing w:after="0"/>
            </w:pPr>
            <w:r/>
            <w:r>
              <w:rPr>
                <w:rFonts w:ascii="Aptos" w:hAnsi="Aptos"/>
                <w:b w:val="0"/>
                <w:sz w:val="17"/>
              </w:rPr>
              <w:t>Sales/Founder</w:t>
            </w:r>
          </w:p>
        </w:tc>
        <w:tc>
          <w:tcPr>
            <w:tcW w:type="dxa" w:w="5976"/>
            <w:vAlign w:val="center"/>
            <w:tcMar>
              <w:top w:w="100" w:type="dxa"/>
              <w:start w:w="120" w:type="dxa"/>
              <w:bottom w:w="100" w:type="dxa"/>
              <w:end w:w="120" w:type="dxa"/>
            </w:tcMar>
          </w:tcPr>
          <w:p>
            <w:pPr>
              <w:spacing w:after="0"/>
            </w:pPr>
            <w:r/>
            <w:r>
              <w:rPr>
                <w:rFonts w:ascii="Aptos" w:hAnsi="Aptos"/>
                <w:b w:val="0"/>
                <w:sz w:val="17"/>
              </w:rPr>
              <w:t>Tier, fees, term, add-ons, assumptions signed</w:t>
            </w:r>
          </w:p>
        </w:tc>
      </w:tr>
      <w:tr>
        <w:trPr>
          <w:cantSplit/>
        </w:trPr>
        <w:tc>
          <w:tcPr>
            <w:tcW w:type="dxa" w:w="1800"/>
            <w:shd w:fill="F6F9FC"/>
            <w:vAlign w:val="center"/>
            <w:tcMar>
              <w:top w:w="100" w:type="dxa"/>
              <w:start w:w="120" w:type="dxa"/>
              <w:bottom w:w="100" w:type="dxa"/>
              <w:end w:w="120" w:type="dxa"/>
            </w:tcMar>
          </w:tcPr>
          <w:p>
            <w:pPr>
              <w:spacing w:after="0"/>
            </w:pPr>
            <w:r/>
            <w:r>
              <w:rPr>
                <w:rFonts w:ascii="Aptos" w:hAnsi="Aptos"/>
                <w:b w:val="0"/>
                <w:sz w:val="17"/>
              </w:rPr>
              <w:t>4. Security/data review</w:t>
            </w:r>
          </w:p>
        </w:tc>
        <w:tc>
          <w:tcPr>
            <w:tcW w:type="dxa" w:w="2016"/>
            <w:shd w:fill="F6F9FC"/>
            <w:vAlign w:val="center"/>
            <w:tcMar>
              <w:top w:w="100" w:type="dxa"/>
              <w:start w:w="120" w:type="dxa"/>
              <w:bottom w:w="100" w:type="dxa"/>
              <w:end w:w="120" w:type="dxa"/>
            </w:tcMar>
          </w:tcPr>
          <w:p>
            <w:pPr>
              <w:spacing w:after="0"/>
            </w:pPr>
            <w:r/>
            <w:r>
              <w:rPr>
                <w:rFonts w:ascii="Aptos" w:hAnsi="Aptos"/>
                <w:b w:val="0"/>
                <w:sz w:val="17"/>
              </w:rPr>
              <w:t>Technical lead</w:t>
            </w:r>
          </w:p>
        </w:tc>
        <w:tc>
          <w:tcPr>
            <w:tcW w:type="dxa" w:w="5976"/>
            <w:shd w:fill="F6F9FC"/>
            <w:vAlign w:val="center"/>
            <w:tcMar>
              <w:top w:w="100" w:type="dxa"/>
              <w:start w:w="120" w:type="dxa"/>
              <w:bottom w:w="100" w:type="dxa"/>
              <w:end w:w="120" w:type="dxa"/>
            </w:tcMar>
          </w:tcPr>
          <w:p>
            <w:pPr>
              <w:spacing w:after="0"/>
            </w:pPr>
            <w:r/>
            <w:r>
              <w:rPr>
                <w:rFonts w:ascii="Aptos" w:hAnsi="Aptos"/>
                <w:b w:val="0"/>
                <w:sz w:val="17"/>
              </w:rPr>
              <w:t>Access, migration, retention, backups, subprocessors confirmed</w:t>
            </w:r>
          </w:p>
        </w:tc>
      </w:tr>
      <w:tr>
        <w:trPr>
          <w:cantSplit/>
        </w:trPr>
        <w:tc>
          <w:tcPr>
            <w:tcW w:type="dxa" w:w="1800"/>
            <w:vAlign w:val="center"/>
            <w:tcMar>
              <w:top w:w="100" w:type="dxa"/>
              <w:start w:w="120" w:type="dxa"/>
              <w:bottom w:w="100" w:type="dxa"/>
              <w:end w:w="120" w:type="dxa"/>
            </w:tcMar>
          </w:tcPr>
          <w:p>
            <w:pPr>
              <w:spacing w:after="0"/>
            </w:pPr>
            <w:r/>
            <w:r>
              <w:rPr>
                <w:rFonts w:ascii="Aptos" w:hAnsi="Aptos"/>
                <w:b w:val="0"/>
                <w:sz w:val="17"/>
              </w:rPr>
              <w:t>5. Configuration</w:t>
            </w:r>
          </w:p>
        </w:tc>
        <w:tc>
          <w:tcPr>
            <w:tcW w:type="dxa" w:w="2016"/>
            <w:vAlign w:val="center"/>
            <w:tcMar>
              <w:top w:w="100" w:type="dxa"/>
              <w:start w:w="120" w:type="dxa"/>
              <w:bottom w:w="100" w:type="dxa"/>
              <w:end w:w="120" w:type="dxa"/>
            </w:tcMar>
          </w:tcPr>
          <w:p>
            <w:pPr>
              <w:spacing w:after="0"/>
            </w:pPr>
            <w:r/>
            <w:r>
              <w:rPr>
                <w:rFonts w:ascii="Aptos" w:hAnsi="Aptos"/>
                <w:b w:val="0"/>
                <w:sz w:val="17"/>
              </w:rPr>
              <w:t>Implementation</w:t>
            </w:r>
          </w:p>
        </w:tc>
        <w:tc>
          <w:tcPr>
            <w:tcW w:type="dxa" w:w="5976"/>
            <w:vAlign w:val="center"/>
            <w:tcMar>
              <w:top w:w="100" w:type="dxa"/>
              <w:start w:w="120" w:type="dxa"/>
              <w:bottom w:w="100" w:type="dxa"/>
              <w:end w:w="120" w:type="dxa"/>
            </w:tcMar>
          </w:tcPr>
          <w:p>
            <w:pPr>
              <w:spacing w:after="0"/>
            </w:pPr>
            <w:r/>
            <w:r>
              <w:rPr>
                <w:rFonts w:ascii="Aptos" w:hAnsi="Aptos"/>
                <w:b w:val="0"/>
                <w:sz w:val="17"/>
              </w:rPr>
              <w:t>Account, roles, templates, fields configured</w:t>
            </w:r>
          </w:p>
        </w:tc>
      </w:tr>
      <w:tr>
        <w:trPr>
          <w:cantSplit/>
        </w:trPr>
        <w:tc>
          <w:tcPr>
            <w:tcW w:type="dxa" w:w="1800"/>
            <w:shd w:fill="F6F9FC"/>
            <w:vAlign w:val="center"/>
            <w:tcMar>
              <w:top w:w="100" w:type="dxa"/>
              <w:start w:w="120" w:type="dxa"/>
              <w:bottom w:w="100" w:type="dxa"/>
              <w:end w:w="120" w:type="dxa"/>
            </w:tcMar>
          </w:tcPr>
          <w:p>
            <w:pPr>
              <w:spacing w:after="0"/>
            </w:pPr>
            <w:r/>
            <w:r>
              <w:rPr>
                <w:rFonts w:ascii="Aptos" w:hAnsi="Aptos"/>
                <w:b w:val="0"/>
                <w:sz w:val="17"/>
              </w:rPr>
              <w:t>6. Migration</w:t>
            </w:r>
          </w:p>
        </w:tc>
        <w:tc>
          <w:tcPr>
            <w:tcW w:type="dxa" w:w="2016"/>
            <w:shd w:fill="F6F9FC"/>
            <w:vAlign w:val="center"/>
            <w:tcMar>
              <w:top w:w="100" w:type="dxa"/>
              <w:start w:w="120" w:type="dxa"/>
              <w:bottom w:w="100" w:type="dxa"/>
              <w:end w:w="120" w:type="dxa"/>
            </w:tcMar>
          </w:tcPr>
          <w:p>
            <w:pPr>
              <w:spacing w:after="0"/>
            </w:pPr>
            <w:r/>
            <w:r>
              <w:rPr>
                <w:rFonts w:ascii="Aptos" w:hAnsi="Aptos"/>
                <w:b w:val="0"/>
                <w:sz w:val="17"/>
              </w:rPr>
              <w:t>Implementation + dealer</w:t>
            </w:r>
          </w:p>
        </w:tc>
        <w:tc>
          <w:tcPr>
            <w:tcW w:type="dxa" w:w="5976"/>
            <w:shd w:fill="F6F9FC"/>
            <w:vAlign w:val="center"/>
            <w:tcMar>
              <w:top w:w="100" w:type="dxa"/>
              <w:start w:w="120" w:type="dxa"/>
              <w:bottom w:w="100" w:type="dxa"/>
              <w:end w:w="120" w:type="dxa"/>
            </w:tcMar>
          </w:tcPr>
          <w:p>
            <w:pPr>
              <w:spacing w:after="0"/>
            </w:pPr>
            <w:r/>
            <w:r>
              <w:rPr>
                <w:rFonts w:ascii="Aptos" w:hAnsi="Aptos"/>
                <w:b w:val="0"/>
                <w:sz w:val="17"/>
              </w:rPr>
              <w:t>Sample approved, final import reconciled</w:t>
            </w:r>
          </w:p>
        </w:tc>
      </w:tr>
      <w:tr>
        <w:trPr>
          <w:cantSplit/>
        </w:trPr>
        <w:tc>
          <w:tcPr>
            <w:tcW w:type="dxa" w:w="1800"/>
            <w:vAlign w:val="center"/>
            <w:tcMar>
              <w:top w:w="100" w:type="dxa"/>
              <w:start w:w="120" w:type="dxa"/>
              <w:bottom w:w="100" w:type="dxa"/>
              <w:end w:w="120" w:type="dxa"/>
            </w:tcMar>
          </w:tcPr>
          <w:p>
            <w:pPr>
              <w:spacing w:after="0"/>
            </w:pPr>
            <w:r/>
            <w:r>
              <w:rPr>
                <w:rFonts w:ascii="Aptos" w:hAnsi="Aptos"/>
                <w:b w:val="0"/>
                <w:sz w:val="17"/>
              </w:rPr>
              <w:t>7. Training</w:t>
            </w:r>
          </w:p>
        </w:tc>
        <w:tc>
          <w:tcPr>
            <w:tcW w:type="dxa" w:w="2016"/>
            <w:vAlign w:val="center"/>
            <w:tcMar>
              <w:top w:w="100" w:type="dxa"/>
              <w:start w:w="120" w:type="dxa"/>
              <w:bottom w:w="100" w:type="dxa"/>
              <w:end w:w="120" w:type="dxa"/>
            </w:tcMar>
          </w:tcPr>
          <w:p>
            <w:pPr>
              <w:spacing w:after="0"/>
            </w:pPr>
            <w:r/>
            <w:r>
              <w:rPr>
                <w:rFonts w:ascii="Aptos" w:hAnsi="Aptos"/>
                <w:b w:val="0"/>
                <w:sz w:val="17"/>
              </w:rPr>
              <w:t>Implementation</w:t>
            </w:r>
          </w:p>
        </w:tc>
        <w:tc>
          <w:tcPr>
            <w:tcW w:type="dxa" w:w="5976"/>
            <w:vAlign w:val="center"/>
            <w:tcMar>
              <w:top w:w="100" w:type="dxa"/>
              <w:start w:w="120" w:type="dxa"/>
              <w:bottom w:w="100" w:type="dxa"/>
              <w:end w:w="120" w:type="dxa"/>
            </w:tcMar>
          </w:tcPr>
          <w:p>
            <w:pPr>
              <w:spacing w:after="0"/>
            </w:pPr>
            <w:r/>
            <w:r>
              <w:rPr>
                <w:rFonts w:ascii="Aptos" w:hAnsi="Aptos"/>
                <w:b w:val="0"/>
                <w:sz w:val="17"/>
              </w:rPr>
              <w:t>Named users attend; recordings/materials delivered</w:t>
            </w:r>
          </w:p>
        </w:tc>
      </w:tr>
      <w:tr>
        <w:trPr>
          <w:cantSplit/>
        </w:trPr>
        <w:tc>
          <w:tcPr>
            <w:tcW w:type="dxa" w:w="1800"/>
            <w:shd w:fill="F6F9FC"/>
            <w:vAlign w:val="center"/>
            <w:tcMar>
              <w:top w:w="100" w:type="dxa"/>
              <w:start w:w="120" w:type="dxa"/>
              <w:bottom w:w="100" w:type="dxa"/>
              <w:end w:w="120" w:type="dxa"/>
            </w:tcMar>
          </w:tcPr>
          <w:p>
            <w:pPr>
              <w:spacing w:after="0"/>
            </w:pPr>
            <w:r/>
            <w:r>
              <w:rPr>
                <w:rFonts w:ascii="Aptos" w:hAnsi="Aptos"/>
                <w:b w:val="0"/>
                <w:sz w:val="17"/>
              </w:rPr>
              <w:t>8. Go-live</w:t>
            </w:r>
          </w:p>
        </w:tc>
        <w:tc>
          <w:tcPr>
            <w:tcW w:type="dxa" w:w="2016"/>
            <w:shd w:fill="F6F9FC"/>
            <w:vAlign w:val="center"/>
            <w:tcMar>
              <w:top w:w="100" w:type="dxa"/>
              <w:start w:w="120" w:type="dxa"/>
              <w:bottom w:w="100" w:type="dxa"/>
              <w:end w:w="120" w:type="dxa"/>
            </w:tcMar>
          </w:tcPr>
          <w:p>
            <w:pPr>
              <w:spacing w:after="0"/>
            </w:pPr>
            <w:r/>
            <w:r>
              <w:rPr>
                <w:rFonts w:ascii="Aptos" w:hAnsi="Aptos"/>
                <w:b w:val="0"/>
                <w:sz w:val="17"/>
              </w:rPr>
              <w:t>Both</w:t>
            </w:r>
          </w:p>
        </w:tc>
        <w:tc>
          <w:tcPr>
            <w:tcW w:type="dxa" w:w="5976"/>
            <w:shd w:fill="F6F9FC"/>
            <w:vAlign w:val="center"/>
            <w:tcMar>
              <w:top w:w="100" w:type="dxa"/>
              <w:start w:w="120" w:type="dxa"/>
              <w:bottom w:w="100" w:type="dxa"/>
              <w:end w:w="120" w:type="dxa"/>
            </w:tcMar>
          </w:tcPr>
          <w:p>
            <w:pPr>
              <w:spacing w:after="0"/>
            </w:pPr>
            <w:r/>
            <w:r>
              <w:rPr>
                <w:rFonts w:ascii="Aptos" w:hAnsi="Aptos"/>
                <w:b w:val="0"/>
                <w:sz w:val="17"/>
              </w:rPr>
              <w:t>Acceptance checklist signed or deemed accepted</w:t>
            </w:r>
          </w:p>
        </w:tc>
      </w:tr>
      <w:tr>
        <w:trPr>
          <w:cantSplit/>
        </w:trPr>
        <w:tc>
          <w:tcPr>
            <w:tcW w:type="dxa" w:w="1800"/>
            <w:vAlign w:val="center"/>
            <w:tcMar>
              <w:top w:w="100" w:type="dxa"/>
              <w:start w:w="120" w:type="dxa"/>
              <w:bottom w:w="100" w:type="dxa"/>
              <w:end w:w="120" w:type="dxa"/>
            </w:tcMar>
          </w:tcPr>
          <w:p>
            <w:pPr>
              <w:spacing w:after="0"/>
            </w:pPr>
            <w:r/>
            <w:r>
              <w:rPr>
                <w:rFonts w:ascii="Aptos" w:hAnsi="Aptos"/>
                <w:b w:val="0"/>
                <w:sz w:val="17"/>
              </w:rPr>
              <w:t>9. 30-day review</w:t>
            </w:r>
          </w:p>
        </w:tc>
        <w:tc>
          <w:tcPr>
            <w:tcW w:type="dxa" w:w="2016"/>
            <w:vAlign w:val="center"/>
            <w:tcMar>
              <w:top w:w="100" w:type="dxa"/>
              <w:start w:w="120" w:type="dxa"/>
              <w:bottom w:w="100" w:type="dxa"/>
              <w:end w:w="120" w:type="dxa"/>
            </w:tcMar>
          </w:tcPr>
          <w:p>
            <w:pPr>
              <w:spacing w:after="0"/>
            </w:pPr>
            <w:r/>
            <w:r>
              <w:rPr>
                <w:rFonts w:ascii="Aptos" w:hAnsi="Aptos"/>
                <w:b w:val="0"/>
                <w:sz w:val="17"/>
              </w:rPr>
              <w:t>Customer success</w:t>
            </w:r>
          </w:p>
        </w:tc>
        <w:tc>
          <w:tcPr>
            <w:tcW w:type="dxa" w:w="5976"/>
            <w:vAlign w:val="center"/>
            <w:tcMar>
              <w:top w:w="100" w:type="dxa"/>
              <w:start w:w="120" w:type="dxa"/>
              <w:bottom w:w="100" w:type="dxa"/>
              <w:end w:w="120" w:type="dxa"/>
            </w:tcMar>
          </w:tcPr>
          <w:p>
            <w:pPr>
              <w:spacing w:after="0"/>
            </w:pPr>
            <w:r/>
            <w:r>
              <w:rPr>
                <w:rFonts w:ascii="Aptos" w:hAnsi="Aptos"/>
                <w:b w:val="0"/>
                <w:sz w:val="17"/>
              </w:rPr>
              <w:t>Issues, adoption, success measures reviewed</w:t>
            </w:r>
          </w:p>
        </w:tc>
      </w:tr>
    </w:tbl>
    <w:p>
      <w:pPr>
        <w:spacing w:after="0"/>
      </w:pPr>
    </w:p>
    <w:p>
      <w:pPr>
        <w:pStyle w:val="Heading2"/>
      </w:pPr>
      <w:r>
        <w:t>Implementation acceptance checklist</w:t>
      </w:r>
    </w:p>
    <w:p>
      <w:pPr>
        <w:pStyle w:val="ListBullet"/>
      </w:pPr>
      <w:r>
        <w:t>Authorized users can sign in and permissions match roles.</w:t>
      </w:r>
    </w:p>
    <w:p>
      <w:pPr>
        <w:pStyle w:val="ListBullet"/>
      </w:pPr>
      <w:r>
        <w:t>Opening active inventory count reconciles to the approved source file.</w:t>
      </w:r>
    </w:p>
    <w:p>
      <w:pPr>
        <w:pStyle w:val="ListBullet"/>
      </w:pPr>
      <w:r>
        <w:t>Required standard templates generate correctly using agreed test records.</w:t>
      </w:r>
    </w:p>
    <w:p>
      <w:pPr>
        <w:pStyle w:val="ListBullet"/>
      </w:pPr>
      <w:r>
        <w:t>Export functions work for included formats.</w:t>
      </w:r>
    </w:p>
    <w:p>
      <w:pPr>
        <w:pStyle w:val="ListBullet"/>
      </w:pPr>
      <w:r>
        <w:t>Support contacts and escalation path are documented.</w:t>
      </w:r>
    </w:p>
    <w:p>
      <w:pPr>
        <w:pStyle w:val="ListBullet"/>
      </w:pPr>
      <w:r>
        <w:t>Dealer confirms go-live by email or lists material defects within five business days.</w:t>
      </w:r>
    </w:p>
    <w:p>
      <w:pPr>
        <w:pStyle w:val="Heading2"/>
      </w:pPr>
      <w:r>
        <w:t>Required internal product facts before sale</w:t>
      </w:r>
    </w:p>
    <w:p>
      <w:pPr>
        <w:pStyle w:val="ListBullet"/>
      </w:pPr>
      <w:r>
        <w:t>Production feature list and known limitations.</w:t>
      </w:r>
    </w:p>
    <w:p>
      <w:pPr>
        <w:pStyle w:val="ListBullet"/>
      </w:pPr>
      <w:r>
        <w:t>Hosting provider and data regions.</w:t>
      </w:r>
    </w:p>
    <w:p>
      <w:pPr>
        <w:pStyle w:val="ListBullet"/>
      </w:pPr>
      <w:r>
        <w:t>Encryption in transit and at rest.</w:t>
      </w:r>
    </w:p>
    <w:p>
      <w:pPr>
        <w:pStyle w:val="ListBullet"/>
      </w:pPr>
      <w:r>
        <w:t>Backup frequency, restoration testing, retention, and recovery targets.</w:t>
      </w:r>
    </w:p>
    <w:p>
      <w:pPr>
        <w:pStyle w:val="ListBullet"/>
      </w:pPr>
      <w:r>
        <w:t>Incident response owner and notification workflow.</w:t>
      </w:r>
    </w:p>
    <w:p>
      <w:pPr>
        <w:pStyle w:val="ListBullet"/>
      </w:pPr>
      <w:r>
        <w:t>Subprocessor list.</w:t>
      </w:r>
    </w:p>
    <w:p>
      <w:pPr>
        <w:pStyle w:val="ListBullet"/>
      </w:pPr>
      <w:r>
        <w:t>Support hours and true response targets.</w:t>
      </w:r>
    </w:p>
    <w:p>
      <w:pPr>
        <w:pStyle w:val="ListBullet"/>
      </w:pPr>
      <w:r>
        <w:t>Data export and deletion procedure.</w:t>
      </w:r>
    </w:p>
    <w:p>
      <w:pPr>
        <w:pStyle w:val="ListBullet"/>
      </w:pPr>
      <w:r>
        <w:t>Cyber insurance status.</w:t>
      </w:r>
    </w:p>
    <w:p>
      <w:pPr>
        <w:pStyle w:val="ListBullet"/>
      </w:pPr>
      <w:r>
        <w:t>Whether DealerOS stores consumer report, financing, driver-license, bank, or card data.</w:t>
      </w:r>
    </w:p>
    <w:p>
      <w:r>
        <w:br w:type="page"/>
      </w:r>
    </w:p>
    <w:p>
      <w:pPr>
        <w:pStyle w:val="Heading1"/>
      </w:pPr>
      <w:r>
        <w:t>DealerOS Master SaaS Agreement — Draft</w:t>
      </w:r>
    </w:p>
    <w:p>
      <w:r>
        <w:t>This Master SaaS Agreement (“Agreement”) is entered into as of the Effective Date in the applicable Order Form by and between Indraam [FULL LEGAL ENTITY NAME AND ADDRESS] (“Provider”) and the dealership identified in the Order Form (“Customer”).</w:t>
      </w:r>
    </w:p>
    <w:p>
      <w:pPr>
        <w:pStyle w:val="Heading2"/>
      </w:pPr>
      <w:r>
        <w:t>1. Agreement structure</w:t>
      </w:r>
    </w:p>
    <w:p>
      <w:r>
        <w:t>This Agreement, each signed Order Form, each SOW, the Data Processing Addendum (“DPA”), and the Acceptable Use Policy (“AUP”) form the complete agreement. If terms conflict: (1) DPA for data-protection matters, (2) Order Form, (3) SOW, (4) this Agreement, and (5) AUP.</w:t>
      </w:r>
    </w:p>
    <w:p>
      <w:pPr>
        <w:pStyle w:val="Heading2"/>
      </w:pPr>
      <w:r>
        <w:t>2. Service and license</w:t>
      </w:r>
    </w:p>
    <w:p>
      <w:r>
        <w:t>During the subscription term and subject to payment and this Agreement, Provider grants Customer a limited, non-exclusive, non-transferable right for Customer’s authorized users to access and use the hosted DealerOS service for Customer’s internal dealership operations. No source code, ownership right, resale right, or sublicensing right is granted.</w:t>
      </w:r>
    </w:p>
    <w:p>
      <w:pPr>
        <w:pStyle w:val="Heading2"/>
      </w:pPr>
      <w:r>
        <w:t>3. Accounts and authorized use</w:t>
      </w:r>
    </w:p>
    <w:p>
      <w:r>
        <w:t>Customer controls authorized users and is responsible for account activity, accurate account information, credential security, lawful instructions, and prompt removal of access for departed personnel. Customer will not share named-user credentials, bypass usage limits, probe the service, introduce malicious code, scrape the service, reverse engineer except where law prohibits restriction, or use the service to violate law or third-party rights.</w:t>
      </w:r>
    </w:p>
    <w:p>
      <w:pPr>
        <w:pStyle w:val="Heading2"/>
      </w:pPr>
      <w:r>
        <w:t>4. Subscription measurement</w:t>
      </w:r>
    </w:p>
    <w:p>
      <w:r>
        <w:t>“Active Vehicle” means a unique vehicle record designated active in DealerOS during a billing cycle. Sold, archived, deleted, and Provider-approved test records are excluded. Provider may measure usage through service logs. If Customer exceeds an Order Form limit for seven consecutive days or on two occasions in one billing cycle, Provider may notify Customer and move the subscription to the applicable tier beginning the next billing cycle. Suspected counting errors may be disputed within ten days.</w:t>
      </w:r>
    </w:p>
    <w:p>
      <w:pPr>
        <w:pStyle w:val="Heading2"/>
      </w:pPr>
      <w:r>
        <w:t>5. Fees and taxes</w:t>
      </w:r>
    </w:p>
    <w:p>
      <w:r>
        <w:t>Customer will pay fees stated in the Order Form. Fees exclude applicable sales, use, excise, and similar taxes, except taxes on Provider’s income. Undisputed invoices are due within fifteen days unless the Order Form states otherwise. Overdue undisputed amounts may accrue the lesser of 1.0% per month or the maximum lawful rate. Provider may suspend service after at least ten days’ written notice of an undisputed overdue amount, provided suspension is proportionate and restored after payment.</w:t>
      </w:r>
    </w:p>
    <w:p>
      <w:pPr>
        <w:pStyle w:val="Heading2"/>
      </w:pPr>
      <w:r>
        <w:t>6. Third-party services</w:t>
      </w:r>
    </w:p>
    <w:p>
      <w:r>
        <w:t>Third-party services, data, reports, messaging, payments, websites, government systems, and integrations are governed by their own terms and availability. Unless expressly included, their fees are Customer’s responsibility. Provider is not responsible for third-party changes or outages, but will use commercially reasonable efforts to communicate material impact and support configured connections.</w:t>
      </w:r>
    </w:p>
    <w:p>
      <w:r>
        <w:br w:type="page"/>
      </w:r>
    </w:p>
    <w:p>
      <w:pPr>
        <w:pStyle w:val="Heading2"/>
      </w:pPr>
      <w:r>
        <w:t>7. Implementation, migration, and acceptance</w:t>
      </w:r>
    </w:p>
    <w:p>
      <w:r>
        <w:t>Implementation scope, dependencies, dates, migration sources, training, and acceptance criteria must appear in the Order Form or SOW. Customer will provide timely, lawful access to accurate source data and subject-matter personnel. Imported data is accepted when the agreed reconciliation checks pass or five business days after delivery if Customer has not reported a reproducible material defect. Provider will correct confirmed material migration errors within the agreed scope; source-data cleanup and new requirements are change requests.</w:t>
      </w:r>
    </w:p>
    <w:p>
      <w:pPr>
        <w:pStyle w:val="Heading2"/>
      </w:pPr>
      <w:r>
        <w:t>8. Support and changes</w:t>
      </w:r>
    </w:p>
    <w:p>
      <w:r>
        <w:t>Provider will provide the support level in the Order Form. Response targets are not resolution guarantees. Provider may update the service, but will not materially reduce the core functionality purchased during a committed term. Beta or preview features are optional, may change or end, and are provided without service commitments unless stated otherwise.</w:t>
      </w:r>
    </w:p>
    <w:p>
      <w:pPr>
        <w:pStyle w:val="Heading2"/>
      </w:pPr>
      <w:r>
        <w:t>9. Customer data</w:t>
      </w:r>
    </w:p>
    <w:p>
      <w:r>
        <w:t>As between the parties, Customer retains rights in data submitted to the service (“Customer Data”). Customer authorizes Provider to host, copy, process, transmit, and display Customer Data only to provide, secure, support, and improve the service as permitted by the Agreement and DPA. Customer represents it has all rights, notices, consents, and lawful bases needed to provide Customer Data and instruct processing.</w:t>
      </w:r>
    </w:p>
    <w:p>
      <w:pPr>
        <w:pStyle w:val="Heading2"/>
      </w:pPr>
      <w:r>
        <w:t>10. Security and regulated data</w:t>
      </w:r>
    </w:p>
    <w:p>
      <w:r>
        <w:t>Provider will maintain documented administrative, technical, and physical safeguards appropriate to the nature of Customer Data and described in the DPA/security exhibit. Customer will configure access appropriately and will not upload payment-card data, consumer-report data, medical data, biometric data, or other specially regulated data unless the Order Form expressly authorizes it and the parties document required controls. Each party remains responsible for its own legal duties. No statement in this Agreement makes DealerOS a compliance certification or legal-record authority.</w:t>
      </w:r>
    </w:p>
    <w:p>
      <w:pPr>
        <w:pStyle w:val="Heading2"/>
      </w:pPr>
      <w:r>
        <w:t>11. Confidentiality</w:t>
      </w:r>
    </w:p>
    <w:p>
      <w:r>
        <w:t>Each recipient will protect the other party’s nonpublic business, technical, security, and personal information using at least reasonable care; use it only for the Agreement; and disclose it only to personnel and contractors who need it and are bound by confidentiality. Exclusions apply to information lawfully public, already known without duty, independently developed, or rightfully received from another source. Legally compelled disclosure requires advance notice where lawful.</w:t>
      </w:r>
    </w:p>
    <w:p>
      <w:pPr>
        <w:pStyle w:val="Heading2"/>
      </w:pPr>
      <w:r>
        <w:t>12. Intellectual property and feedback</w:t>
      </w:r>
    </w:p>
    <w:p>
      <w:r>
        <w:t>Provider and its licensors own DealerOS, software, documentation, configurations, improvements, and related intellectual property, excluding Customer Data and Customer-owned materials. Customer grants Provider a limited license to Customer materials only to perform the services. Provider may use voluntary feedback without restriction or attribution, but not Customer Confidential Information.</w:t>
      </w:r>
    </w:p>
    <w:p>
      <w:pPr>
        <w:pStyle w:val="Heading2"/>
      </w:pPr>
      <w:r>
        <w:t>13. Privacy and consumer requests</w:t>
      </w:r>
    </w:p>
    <w:p>
      <w:r>
        <w:t>The parties will follow the DPA and applicable privacy laws for their respective roles. Customer is responsible for consumer-facing notices and instructions unless the DPA assigns a duty to Provider. Provider will reasonably assist Customer with verified data requests, deletion, export, incidents, and regulator inquiries as stated in the DPA; extraordinary assistance may be billable if permitted.</w:t>
      </w:r>
    </w:p>
    <w:p>
      <w:r>
        <w:br w:type="page"/>
      </w:r>
    </w:p>
    <w:p>
      <w:pPr>
        <w:pStyle w:val="Heading2"/>
      </w:pPr>
      <w:r>
        <w:t>14. Availability and maintenance</w:t>
      </w:r>
    </w:p>
    <w:p>
      <w:r>
        <w:t>Target monthly availability is 99.5%, excluding scheduled maintenance announced at least 48 hours in advance, emergency maintenance, Customer systems, third-party services outside Provider’s reasonable control, internet failures, force majeure, beta features, and Customer misuse. If a paid Scale account falls below 99.5% for a calendar month, Customer may request a service credit equal to 5% of that month’s recurring subscription fee within 15 days. Credits are the sole remedy for availability failure and may not exceed 15% for a month. Confirm monitoring capability before offering this SLA.</w:t>
      </w:r>
    </w:p>
    <w:p>
      <w:pPr>
        <w:pStyle w:val="Heading2"/>
      </w:pPr>
      <w:r>
        <w:t>15. Warranties</w:t>
      </w:r>
    </w:p>
    <w:p>
      <w:r>
        <w:t>Provider warrants that the paid service will materially conform to its documentation and that professional services will be performed in a professional and workmanlike manner. Customer’s remedy is correction or reperformance; if Provider cannot cure a material breach within 30 days, Customer may terminate the affected service and receive a prorated refund of prepaid unused fees. Except for express warranties and to the maximum extent allowed by law, the service is provided “as is” and Provider disclaims implied warranties, including merchantability, fitness for a particular purpose, title, and non-infringement. DealerOS does not provide legal, tax, lending, vehicle-title, RMV, or regulatory advice.</w:t>
      </w:r>
    </w:p>
    <w:p>
      <w:pPr>
        <w:pStyle w:val="Heading2"/>
      </w:pPr>
      <w:r>
        <w:t>16. Indemnification</w:t>
      </w:r>
    </w:p>
    <w:p>
      <w:r>
        <w:t>Provider will defend Customer against a third-party claim that the unmodified paid service infringes a U.S. patent, copyright, or trademark and pay finally awarded damages or approved settlements, subject to prompt notice, control of defense, and cooperation. Provider may modify, replace, or terminate the affected service and refund prepaid unused fees. This obligation excludes Customer Data, combinations not supplied by Provider, unauthorized use, continued use after notice, and Customer instructions. Customer will defend Provider against third-party claims arising from Customer Data, Customer’s unlawful business practices, or Customer’s material violation of the acceptable-use restrictions, on equivalent procedural conditions.</w:t>
      </w:r>
    </w:p>
    <w:p>
      <w:pPr>
        <w:pStyle w:val="Heading2"/>
      </w:pPr>
      <w:r>
        <w:t>17. Limitation of liability</w:t>
      </w:r>
    </w:p>
    <w:p>
      <w:r>
        <w:t>To the maximum extent allowed by law, neither party is liable for indirect, incidental, special, exemplary, punitive, or consequential damages, or lost profits, revenue, goodwill, or data, arising from the Agreement. Except for excluded claims specified below, each party’s aggregate liability will not exceed fees paid or payable for the affected services in the twelve months before the event giving rise to the claim. Counsel must decide whether confidentiality breaches, data-security obligations, indemnification, gross negligence, willful misconduct, unpaid fees, or intellectual-property misuse are excluded from or subject to a higher cap.</w:t>
      </w:r>
    </w:p>
    <w:p>
      <w:pPr>
        <w:pStyle w:val="Heading2"/>
      </w:pPr>
      <w:r>
        <w:t>18. Term and termination</w:t>
      </w:r>
    </w:p>
    <w:p>
      <w:r>
        <w:t>The Agreement begins on the Effective Date and continues while an Order Form is active. The initial subscription term and renewal are stated in the Order Form. Either party may terminate for material breach not cured within 30 days after written notice, or within 10 days for nonpayment. Either party may terminate immediately if the other ceases business or enters specified insolvency proceedings, subject to applicable law.</w:t>
      </w:r>
    </w:p>
    <w:p>
      <w:pPr>
        <w:pStyle w:val="Heading2"/>
      </w:pPr>
      <w:r>
        <w:t>19. Effect of termination and data return</w:t>
      </w:r>
    </w:p>
    <w:p>
      <w:r>
        <w:t>Upon termination, access ends and unpaid amounts become due. For 30 days, Customer may request a standard export of Customer Data in Provider’s then-supported format, subject to payment of undisputed fees. Provider may then delete Customer Data according to its retention schedule, except legal backups or required retention. Confidentiality, ownership, accrued payment, warranty disclaimers, liability limits, and provisions intended to survive will survive.</w:t>
      </w:r>
    </w:p>
    <w:p>
      <w:r>
        <w:br w:type="page"/>
      </w:r>
    </w:p>
    <w:p>
      <w:pPr>
        <w:pStyle w:val="Heading2"/>
      </w:pPr>
      <w:r>
        <w:t>20. General terms</w:t>
      </w:r>
    </w:p>
    <w:p>
      <w:r>
        <w:t>Neither party may assign the Agreement without consent, except to an affiliate or in connection with a merger, reorganization, or sale of substantially all relevant assets, provided the successor assumes the Agreement. The parties are independent contractors. Notices must be sent to the Order Form contacts by email with confirmation and, for breach or termination, by recognized overnight delivery or certified mail. Neither party is liable for delay caused by events beyond reasonable control, excluding payment. Waiver must be written. Invalid provisions are modified to the minimum extent necessary. The Agreement is the complete agreement and amendments must be signed, except Provider may update policies only where the Agreement expressly allows and without materially reducing Customer’s committed rights.</w:t>
      </w:r>
    </w:p>
    <w:p>
      <w:pPr>
        <w:pStyle w:val="Heading2"/>
      </w:pPr>
      <w:r>
        <w:t>21. Governing law and disputes</w:t>
      </w:r>
    </w:p>
    <w:p>
      <w:r>
        <w:t>Recommended default for attorney review: Massachusetts law, without conflict-of-law rules; exclusive state and federal courts located in Norfolk County or Suffolk County, Massachusetts. The parties will first escalate disputes to executives for 15 business days. Do not add mandatory arbitration, jury waiver, or prevailing-party fees without legal advice and a deliberate business decision.</w:t>
      </w:r>
    </w:p>
    <w:p>
      <w:pPr>
        <w:pStyle w:val="Heading2"/>
      </w:pPr>
      <w:r>
        <w:t>22. Signatures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24"/>
            <w:shd w:fill="102A43"/>
            <w:vAlign w:val="center"/>
            <w:tcMar>
              <w:top w:w="100" w:type="dxa"/>
              <w:start w:w="120" w:type="dxa"/>
              <w:bottom w:w="100" w:type="dxa"/>
              <w:end w:w="120" w:type="dxa"/>
            </w:tcMar>
          </w:tcPr>
          <w:p>
            <w:pPr>
              <w:spacing w:after="0"/>
            </w:pPr>
            <w:r/>
            <w:r>
              <w:rPr>
                <w:rFonts w:ascii="Aptos" w:hAnsi="Aptos"/>
                <w:b/>
                <w:color w:val="FFFFFF"/>
                <w:sz w:val="18"/>
              </w:rPr>
              <w:t>PROVIDER</w:t>
            </w:r>
          </w:p>
        </w:tc>
        <w:tc>
          <w:tcPr>
            <w:tcW w:type="dxa" w:w="4824"/>
            <w:shd w:fill="102A43"/>
            <w:vAlign w:val="center"/>
            <w:tcMar>
              <w:top w:w="100" w:type="dxa"/>
              <w:start w:w="120" w:type="dxa"/>
              <w:bottom w:w="100" w:type="dxa"/>
              <w:end w:w="120" w:type="dxa"/>
            </w:tcMar>
          </w:tcPr>
          <w:p>
            <w:pPr>
              <w:spacing w:after="0"/>
            </w:pPr>
            <w:r/>
            <w:r>
              <w:rPr>
                <w:rFonts w:ascii="Aptos" w:hAnsi="Aptos"/>
                <w:b/>
                <w:color w:val="FFFFFF"/>
                <w:sz w:val="18"/>
              </w:rPr>
              <w:t>CUSTOMER</w:t>
            </w:r>
          </w:p>
        </w:tc>
      </w:tr>
      <w:tr>
        <w:trPr>
          <w:cantSplit/>
        </w:trPr>
        <w:tc>
          <w:tcPr>
            <w:tcW w:type="dxa" w:w="4824"/>
            <w:vAlign w:val="center"/>
            <w:tcMar>
              <w:top w:w="100" w:type="dxa"/>
              <w:start w:w="120" w:type="dxa"/>
              <w:bottom w:w="100" w:type="dxa"/>
              <w:end w:w="120" w:type="dxa"/>
            </w:tcMar>
          </w:tcPr>
          <w:p>
            <w:pPr>
              <w:spacing w:after="0"/>
            </w:pPr>
            <w:r/>
            <w:r>
              <w:rPr>
                <w:rFonts w:ascii="Aptos" w:hAnsi="Aptos"/>
                <w:b w:val="0"/>
                <w:sz w:val="17"/>
              </w:rPr>
              <w:t>Indraam [legal entity]</w:t>
            </w:r>
          </w:p>
        </w:tc>
        <w:tc>
          <w:tcPr>
            <w:tcW w:type="dxa" w:w="4824"/>
            <w:vAlign w:val="center"/>
            <w:tcMar>
              <w:top w:w="100" w:type="dxa"/>
              <w:start w:w="120" w:type="dxa"/>
              <w:bottom w:w="100" w:type="dxa"/>
              <w:end w:w="120" w:type="dxa"/>
            </w:tcMar>
          </w:tcPr>
          <w:p>
            <w:pPr>
              <w:spacing w:after="0"/>
            </w:pPr>
            <w:r/>
            <w:r>
              <w:rPr>
                <w:rFonts w:ascii="Aptos" w:hAnsi="Aptos"/>
                <w:b w:val="0"/>
                <w:sz w:val="17"/>
              </w:rPr>
              <w:t>[Dealership legal name]</w:t>
            </w:r>
          </w:p>
        </w:tc>
      </w:tr>
      <w:tr>
        <w:trPr>
          <w:cantSplit/>
        </w:trPr>
        <w:tc>
          <w:tcPr>
            <w:tcW w:type="dxa" w:w="4824"/>
            <w:shd w:fill="F6F9FC"/>
            <w:vAlign w:val="center"/>
            <w:tcMar>
              <w:top w:w="100" w:type="dxa"/>
              <w:start w:w="120" w:type="dxa"/>
              <w:bottom w:w="100" w:type="dxa"/>
              <w:end w:w="120" w:type="dxa"/>
            </w:tcMar>
          </w:tcPr>
          <w:p>
            <w:pPr>
              <w:spacing w:after="0"/>
            </w:pPr>
            <w:r/>
            <w:r>
              <w:rPr>
                <w:rFonts w:ascii="Aptos" w:hAnsi="Aptos"/>
                <w:b w:val="0"/>
                <w:sz w:val="17"/>
              </w:rPr>
              <w:t>By: __________________________</w:t>
            </w:r>
          </w:p>
        </w:tc>
        <w:tc>
          <w:tcPr>
            <w:tcW w:type="dxa" w:w="4824"/>
            <w:shd w:fill="F6F9FC"/>
            <w:vAlign w:val="center"/>
            <w:tcMar>
              <w:top w:w="100" w:type="dxa"/>
              <w:start w:w="120" w:type="dxa"/>
              <w:bottom w:w="100" w:type="dxa"/>
              <w:end w:w="120" w:type="dxa"/>
            </w:tcMar>
          </w:tcPr>
          <w:p>
            <w:pPr>
              <w:spacing w:after="0"/>
            </w:pPr>
            <w:r/>
            <w:r>
              <w:rPr>
                <w:rFonts w:ascii="Aptos" w:hAnsi="Aptos"/>
                <w:b w:val="0"/>
                <w:sz w:val="17"/>
              </w:rPr>
              <w:t>By: __________________________</w:t>
            </w:r>
          </w:p>
        </w:tc>
      </w:tr>
      <w:tr>
        <w:trPr>
          <w:cantSplit/>
        </w:trPr>
        <w:tc>
          <w:tcPr>
            <w:tcW w:type="dxa" w:w="4824"/>
            <w:vAlign w:val="center"/>
            <w:tcMar>
              <w:top w:w="100" w:type="dxa"/>
              <w:start w:w="120" w:type="dxa"/>
              <w:bottom w:w="100" w:type="dxa"/>
              <w:end w:w="120" w:type="dxa"/>
            </w:tcMar>
          </w:tcPr>
          <w:p>
            <w:pPr>
              <w:spacing w:after="0"/>
            </w:pPr>
            <w:r/>
            <w:r>
              <w:rPr>
                <w:rFonts w:ascii="Aptos" w:hAnsi="Aptos"/>
                <w:b w:val="0"/>
                <w:sz w:val="17"/>
              </w:rPr>
              <w:t>Name/Title: __________________</w:t>
            </w:r>
          </w:p>
        </w:tc>
        <w:tc>
          <w:tcPr>
            <w:tcW w:type="dxa" w:w="4824"/>
            <w:vAlign w:val="center"/>
            <w:tcMar>
              <w:top w:w="100" w:type="dxa"/>
              <w:start w:w="120" w:type="dxa"/>
              <w:bottom w:w="100" w:type="dxa"/>
              <w:end w:w="120" w:type="dxa"/>
            </w:tcMar>
          </w:tcPr>
          <w:p>
            <w:pPr>
              <w:spacing w:after="0"/>
            </w:pPr>
            <w:r/>
            <w:r>
              <w:rPr>
                <w:rFonts w:ascii="Aptos" w:hAnsi="Aptos"/>
                <w:b w:val="0"/>
                <w:sz w:val="17"/>
              </w:rPr>
              <w:t>Name/Title: __________________</w:t>
            </w:r>
          </w:p>
        </w:tc>
      </w:tr>
      <w:tr>
        <w:trPr>
          <w:cantSplit/>
        </w:trPr>
        <w:tc>
          <w:tcPr>
            <w:tcW w:type="dxa" w:w="4824"/>
            <w:shd w:fill="F6F9FC"/>
            <w:vAlign w:val="center"/>
            <w:tcMar>
              <w:top w:w="100" w:type="dxa"/>
              <w:start w:w="120" w:type="dxa"/>
              <w:bottom w:w="100" w:type="dxa"/>
              <w:end w:w="120" w:type="dxa"/>
            </w:tcMar>
          </w:tcPr>
          <w:p>
            <w:pPr>
              <w:spacing w:after="0"/>
            </w:pPr>
            <w:r/>
            <w:r>
              <w:rPr>
                <w:rFonts w:ascii="Aptos" w:hAnsi="Aptos"/>
                <w:b w:val="0"/>
                <w:sz w:val="17"/>
              </w:rPr>
              <w:t>Date: ________________________</w:t>
            </w:r>
          </w:p>
        </w:tc>
        <w:tc>
          <w:tcPr>
            <w:tcW w:type="dxa" w:w="4824"/>
            <w:shd w:fill="F6F9FC"/>
            <w:vAlign w:val="center"/>
            <w:tcMar>
              <w:top w:w="100" w:type="dxa"/>
              <w:start w:w="120" w:type="dxa"/>
              <w:bottom w:w="100" w:type="dxa"/>
              <w:end w:w="120" w:type="dxa"/>
            </w:tcMar>
          </w:tcPr>
          <w:p>
            <w:pPr>
              <w:spacing w:after="0"/>
            </w:pPr>
            <w:r/>
            <w:r>
              <w:rPr>
                <w:rFonts w:ascii="Aptos" w:hAnsi="Aptos"/>
                <w:b w:val="0"/>
                <w:sz w:val="17"/>
              </w:rPr>
              <w:t>Date: ________________________</w:t>
            </w:r>
          </w:p>
        </w:tc>
      </w:tr>
    </w:tbl>
    <w:p>
      <w:pPr>
        <w:spacing w:after="0"/>
      </w:pPr>
    </w:p>
    <w:p>
      <w:pPr>
        <w:pStyle w:val="Heading2"/>
      </w:pPr>
      <w:r>
        <w:t>Compliance drafting note</w:t>
      </w:r>
    </w:p>
    <w:p>
      <w:r>
        <w:t>The FTC states that automobile dealerships covered by the Gramm-Leach-Bliley Act can be subject to the Safeguards Rule and must maintain safeguards for customer information. DealerOS obligations depend on the data actually stored and the parties’ roles. See FTC, “Safeguards Rule: What Your Business Needs to Know,” and 16 C.F.R. Part 314. Massachusetts 940 CMR 38.00 includes fee-disclosure and auto-renewal requirements in covered transactions; counsel should determine application to B2B dealership subscriptions and the checkout design.</w:t>
      </w:r>
    </w:p>
    <w:p>
      <w:r>
        <w:br w:type="page"/>
      </w:r>
    </w:p>
    <w:p>
      <w:pPr>
        <w:pStyle w:val="Heading1"/>
      </w:pPr>
      <w:r>
        <w:t>Order Form — One-Page Commercial Schedule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102A43"/>
            <w:vAlign w:val="center"/>
            <w:tcMar>
              <w:top w:w="100" w:type="dxa"/>
              <w:start w:w="120" w:type="dxa"/>
              <w:bottom w:w="100" w:type="dxa"/>
              <w:end w:w="120" w:type="dxa"/>
            </w:tcMar>
          </w:tcPr>
          <w:p>
            <w:pPr>
              <w:spacing w:after="0"/>
            </w:pPr>
            <w:r/>
            <w:r>
              <w:rPr>
                <w:rFonts w:ascii="Aptos" w:hAnsi="Aptos"/>
                <w:b/>
                <w:color w:val="FFFFFF"/>
                <w:sz w:val="18"/>
              </w:rPr>
              <w:t>Field</w:t>
            </w:r>
          </w:p>
        </w:tc>
        <w:tc>
          <w:tcPr>
            <w:tcW w:type="dxa" w:w="6408"/>
            <w:shd w:fill="102A43"/>
            <w:vAlign w:val="center"/>
            <w:tcMar>
              <w:top w:w="100" w:type="dxa"/>
              <w:start w:w="120" w:type="dxa"/>
              <w:bottom w:w="100" w:type="dxa"/>
              <w:end w:w="120" w:type="dxa"/>
            </w:tcMar>
          </w:tcPr>
          <w:p>
            <w:pPr>
              <w:spacing w:after="0"/>
            </w:pPr>
            <w:r/>
            <w:r>
              <w:rPr>
                <w:rFonts w:ascii="Aptos" w:hAnsi="Aptos"/>
                <w:b/>
                <w:color w:val="FFFFFF"/>
                <w:sz w:val="18"/>
              </w:rPr>
              <w:t>Agreed value</w:t>
            </w:r>
          </w:p>
        </w:tc>
      </w:tr>
      <w:tr>
        <w:trPr>
          <w:cantSplit/>
        </w:trPr>
        <w:tc>
          <w:tcPr>
            <w:tcW w:type="dxa" w:w="3240"/>
            <w:vAlign w:val="center"/>
            <w:tcMar>
              <w:top w:w="100" w:type="dxa"/>
              <w:start w:w="120" w:type="dxa"/>
              <w:bottom w:w="100" w:type="dxa"/>
              <w:end w:w="120" w:type="dxa"/>
            </w:tcMar>
          </w:tcPr>
          <w:p>
            <w:pPr>
              <w:spacing w:after="0"/>
            </w:pPr>
            <w:r/>
            <w:r>
              <w:rPr>
                <w:rFonts w:ascii="Aptos" w:hAnsi="Aptos"/>
                <w:b w:val="0"/>
                <w:sz w:val="17"/>
              </w:rPr>
              <w:t>Order Form number</w:t>
            </w:r>
          </w:p>
        </w:tc>
        <w:tc>
          <w:tcPr>
            <w:tcW w:type="dxa" w:w="6408"/>
            <w:vAlign w:val="center"/>
            <w:tcMar>
              <w:top w:w="100" w:type="dxa"/>
              <w:start w:w="120" w:type="dxa"/>
              <w:bottom w:w="100" w:type="dxa"/>
              <w:end w:w="120" w:type="dxa"/>
            </w:tcMar>
          </w:tcPr>
          <w:p>
            <w:pPr>
              <w:spacing w:after="0"/>
            </w:pPr>
            <w:r/>
            <w:r>
              <w:rPr>
                <w:rFonts w:ascii="Aptos" w:hAnsi="Aptos"/>
                <w:b w:val="0"/>
                <w:sz w:val="17"/>
              </w:rPr>
              <w:t>[DOS-YYYY-###]</w:t>
            </w:r>
          </w:p>
        </w:tc>
      </w:tr>
      <w:tr>
        <w:trPr>
          <w:cantSplit/>
        </w:trPr>
        <w:tc>
          <w:tcPr>
            <w:tcW w:type="dxa" w:w="3240"/>
            <w:shd w:fill="F6F9FC"/>
            <w:vAlign w:val="center"/>
            <w:tcMar>
              <w:top w:w="100" w:type="dxa"/>
              <w:start w:w="120" w:type="dxa"/>
              <w:bottom w:w="100" w:type="dxa"/>
              <w:end w:w="120" w:type="dxa"/>
            </w:tcMar>
          </w:tcPr>
          <w:p>
            <w:pPr>
              <w:spacing w:after="0"/>
            </w:pPr>
            <w:r/>
            <w:r>
              <w:rPr>
                <w:rFonts w:ascii="Aptos" w:hAnsi="Aptos"/>
                <w:b w:val="0"/>
                <w:sz w:val="17"/>
              </w:rPr>
              <w:t>Provider</w:t>
            </w:r>
          </w:p>
        </w:tc>
        <w:tc>
          <w:tcPr>
            <w:tcW w:type="dxa" w:w="6408"/>
            <w:shd w:fill="F6F9FC"/>
            <w:vAlign w:val="center"/>
            <w:tcMar>
              <w:top w:w="100" w:type="dxa"/>
              <w:start w:w="120" w:type="dxa"/>
              <w:bottom w:w="100" w:type="dxa"/>
              <w:end w:w="120" w:type="dxa"/>
            </w:tcMar>
          </w:tcPr>
          <w:p>
            <w:pPr>
              <w:spacing w:after="0"/>
            </w:pPr>
            <w:r/>
            <w:r>
              <w:rPr>
                <w:rFonts w:ascii="Aptos" w:hAnsi="Aptos"/>
                <w:b w:val="0"/>
                <w:sz w:val="17"/>
              </w:rPr>
              <w:t>Indraam [full legal entity and address]</w:t>
            </w:r>
          </w:p>
        </w:tc>
      </w:tr>
      <w:tr>
        <w:trPr>
          <w:cantSplit/>
        </w:trPr>
        <w:tc>
          <w:tcPr>
            <w:tcW w:type="dxa" w:w="3240"/>
            <w:vAlign w:val="center"/>
            <w:tcMar>
              <w:top w:w="100" w:type="dxa"/>
              <w:start w:w="120" w:type="dxa"/>
              <w:bottom w:w="100" w:type="dxa"/>
              <w:end w:w="120" w:type="dxa"/>
            </w:tcMar>
          </w:tcPr>
          <w:p>
            <w:pPr>
              <w:spacing w:after="0"/>
            </w:pPr>
            <w:r/>
            <w:r>
              <w:rPr>
                <w:rFonts w:ascii="Aptos" w:hAnsi="Aptos"/>
                <w:b w:val="0"/>
                <w:sz w:val="17"/>
              </w:rPr>
              <w:t>Customer</w:t>
            </w:r>
          </w:p>
        </w:tc>
        <w:tc>
          <w:tcPr>
            <w:tcW w:type="dxa" w:w="6408"/>
            <w:vAlign w:val="center"/>
            <w:tcMar>
              <w:top w:w="100" w:type="dxa"/>
              <w:start w:w="120" w:type="dxa"/>
              <w:bottom w:w="100" w:type="dxa"/>
              <w:end w:w="120" w:type="dxa"/>
            </w:tcMar>
          </w:tcPr>
          <w:p>
            <w:pPr>
              <w:spacing w:after="0"/>
            </w:pPr>
            <w:r/>
            <w:r>
              <w:rPr>
                <w:rFonts w:ascii="Aptos" w:hAnsi="Aptos"/>
                <w:b w:val="0"/>
                <w:sz w:val="17"/>
              </w:rPr>
              <w:t>[Full dealership legal name, DBA, address]</w:t>
            </w:r>
          </w:p>
        </w:tc>
      </w:tr>
      <w:tr>
        <w:trPr>
          <w:cantSplit/>
        </w:trPr>
        <w:tc>
          <w:tcPr>
            <w:tcW w:type="dxa" w:w="3240"/>
            <w:shd w:fill="F6F9FC"/>
            <w:vAlign w:val="center"/>
            <w:tcMar>
              <w:top w:w="100" w:type="dxa"/>
              <w:start w:w="120" w:type="dxa"/>
              <w:bottom w:w="100" w:type="dxa"/>
              <w:end w:w="120" w:type="dxa"/>
            </w:tcMar>
          </w:tcPr>
          <w:p>
            <w:pPr>
              <w:spacing w:after="0"/>
            </w:pPr>
            <w:r/>
            <w:r>
              <w:rPr>
                <w:rFonts w:ascii="Aptos" w:hAnsi="Aptos"/>
                <w:b w:val="0"/>
                <w:sz w:val="17"/>
              </w:rPr>
              <w:t>Effective date / service start</w:t>
            </w:r>
          </w:p>
        </w:tc>
        <w:tc>
          <w:tcPr>
            <w:tcW w:type="dxa" w:w="6408"/>
            <w:shd w:fill="F6F9FC"/>
            <w:vAlign w:val="center"/>
            <w:tcMar>
              <w:top w:w="100" w:type="dxa"/>
              <w:start w:w="120" w:type="dxa"/>
              <w:bottom w:w="100" w:type="dxa"/>
              <w:end w:w="120" w:type="dxa"/>
            </w:tcMar>
          </w:tcPr>
          <w:p>
            <w:pPr>
              <w:spacing w:after="0"/>
            </w:pPr>
            <w:r/>
            <w:r>
              <w:rPr>
                <w:rFonts w:ascii="Aptos" w:hAnsi="Aptos"/>
                <w:b w:val="0"/>
                <w:sz w:val="17"/>
              </w:rPr>
              <w:t>[Date] / [Date]</w:t>
            </w:r>
          </w:p>
        </w:tc>
      </w:tr>
      <w:tr>
        <w:trPr>
          <w:cantSplit/>
        </w:trPr>
        <w:tc>
          <w:tcPr>
            <w:tcW w:type="dxa" w:w="3240"/>
            <w:vAlign w:val="center"/>
            <w:tcMar>
              <w:top w:w="100" w:type="dxa"/>
              <w:start w:w="120" w:type="dxa"/>
              <w:bottom w:w="100" w:type="dxa"/>
              <w:end w:w="120" w:type="dxa"/>
            </w:tcMar>
          </w:tcPr>
          <w:p>
            <w:pPr>
              <w:spacing w:after="0"/>
            </w:pPr>
            <w:r/>
            <w:r>
              <w:rPr>
                <w:rFonts w:ascii="Aptos" w:hAnsi="Aptos"/>
                <w:b w:val="0"/>
                <w:sz w:val="17"/>
              </w:rPr>
              <w:t>Plan</w:t>
            </w:r>
          </w:p>
        </w:tc>
        <w:tc>
          <w:tcPr>
            <w:tcW w:type="dxa" w:w="6408"/>
            <w:vAlign w:val="center"/>
            <w:tcMar>
              <w:top w:w="100" w:type="dxa"/>
              <w:start w:w="120" w:type="dxa"/>
              <w:bottom w:w="100" w:type="dxa"/>
              <w:end w:w="120" w:type="dxa"/>
            </w:tcMar>
          </w:tcPr>
          <w:p>
            <w:pPr>
              <w:spacing w:after="0"/>
            </w:pPr>
            <w:r/>
            <w:r>
              <w:rPr>
                <w:rFonts w:ascii="Aptos" w:hAnsi="Aptos"/>
                <w:b w:val="0"/>
                <w:sz w:val="17"/>
              </w:rPr>
              <w:t>☐ Starter  ☐ Growth  ☐ Scale  ☐ Custom</w:t>
            </w:r>
          </w:p>
        </w:tc>
      </w:tr>
      <w:tr>
        <w:trPr>
          <w:cantSplit/>
        </w:trPr>
        <w:tc>
          <w:tcPr>
            <w:tcW w:type="dxa" w:w="3240"/>
            <w:shd w:fill="F6F9FC"/>
            <w:vAlign w:val="center"/>
            <w:tcMar>
              <w:top w:w="100" w:type="dxa"/>
              <w:start w:w="120" w:type="dxa"/>
              <w:bottom w:w="100" w:type="dxa"/>
              <w:end w:w="120" w:type="dxa"/>
            </w:tcMar>
          </w:tcPr>
          <w:p>
            <w:pPr>
              <w:spacing w:after="0"/>
            </w:pPr>
            <w:r/>
            <w:r>
              <w:rPr>
                <w:rFonts w:ascii="Aptos" w:hAnsi="Aptos"/>
                <w:b w:val="0"/>
                <w:sz w:val="17"/>
              </w:rPr>
              <w:t>Active vehicle tier</w:t>
            </w:r>
          </w:p>
        </w:tc>
        <w:tc>
          <w:tcPr>
            <w:tcW w:type="dxa" w:w="6408"/>
            <w:shd w:fill="F6F9FC"/>
            <w:vAlign w:val="center"/>
            <w:tcMar>
              <w:top w:w="100" w:type="dxa"/>
              <w:start w:w="120" w:type="dxa"/>
              <w:bottom w:w="100" w:type="dxa"/>
              <w:end w:w="120" w:type="dxa"/>
            </w:tcMar>
          </w:tcPr>
          <w:p>
            <w:pPr>
              <w:spacing w:after="0"/>
            </w:pPr>
            <w:r/>
            <w:r>
              <w:rPr>
                <w:rFonts w:ascii="Aptos" w:hAnsi="Aptos"/>
                <w:b w:val="0"/>
                <w:sz w:val="17"/>
              </w:rPr>
              <w:t>☐ 0–20  ☐ 21–50  ☐ 51+</w:t>
            </w:r>
          </w:p>
        </w:tc>
      </w:tr>
      <w:tr>
        <w:trPr>
          <w:cantSplit/>
        </w:trPr>
        <w:tc>
          <w:tcPr>
            <w:tcW w:type="dxa" w:w="3240"/>
            <w:vAlign w:val="center"/>
            <w:tcMar>
              <w:top w:w="100" w:type="dxa"/>
              <w:start w:w="120" w:type="dxa"/>
              <w:bottom w:w="100" w:type="dxa"/>
              <w:end w:w="120" w:type="dxa"/>
            </w:tcMar>
          </w:tcPr>
          <w:p>
            <w:pPr>
              <w:spacing w:after="0"/>
            </w:pPr>
            <w:r/>
            <w:r>
              <w:rPr>
                <w:rFonts w:ascii="Aptos" w:hAnsi="Aptos"/>
                <w:b w:val="0"/>
                <w:sz w:val="17"/>
              </w:rPr>
              <w:t>Subscription fee</w:t>
            </w:r>
          </w:p>
        </w:tc>
        <w:tc>
          <w:tcPr>
            <w:tcW w:type="dxa" w:w="6408"/>
            <w:vAlign w:val="center"/>
            <w:tcMar>
              <w:top w:w="100" w:type="dxa"/>
              <w:start w:w="120" w:type="dxa"/>
              <w:bottom w:w="100" w:type="dxa"/>
              <w:end w:w="120" w:type="dxa"/>
            </w:tcMar>
          </w:tcPr>
          <w:p>
            <w:pPr>
              <w:spacing w:after="0"/>
            </w:pPr>
            <w:r/>
            <w:r>
              <w:rPr>
                <w:rFonts w:ascii="Aptos" w:hAnsi="Aptos"/>
                <w:b w:val="0"/>
                <w:sz w:val="17"/>
              </w:rPr>
              <w:t>$[ ] per month / year</w:t>
            </w:r>
          </w:p>
        </w:tc>
      </w:tr>
      <w:tr>
        <w:trPr>
          <w:cantSplit/>
        </w:trPr>
        <w:tc>
          <w:tcPr>
            <w:tcW w:type="dxa" w:w="3240"/>
            <w:shd w:fill="F6F9FC"/>
            <w:vAlign w:val="center"/>
            <w:tcMar>
              <w:top w:w="100" w:type="dxa"/>
              <w:start w:w="120" w:type="dxa"/>
              <w:bottom w:w="100" w:type="dxa"/>
              <w:end w:w="120" w:type="dxa"/>
            </w:tcMar>
          </w:tcPr>
          <w:p>
            <w:pPr>
              <w:spacing w:after="0"/>
            </w:pPr>
            <w:r/>
            <w:r>
              <w:rPr>
                <w:rFonts w:ascii="Aptos" w:hAnsi="Aptos"/>
                <w:b w:val="0"/>
                <w:sz w:val="17"/>
              </w:rPr>
              <w:t>Onboarding fee</w:t>
            </w:r>
          </w:p>
        </w:tc>
        <w:tc>
          <w:tcPr>
            <w:tcW w:type="dxa" w:w="6408"/>
            <w:shd w:fill="F6F9FC"/>
            <w:vAlign w:val="center"/>
            <w:tcMar>
              <w:top w:w="100" w:type="dxa"/>
              <w:start w:w="120" w:type="dxa"/>
              <w:bottom w:w="100" w:type="dxa"/>
              <w:end w:w="120" w:type="dxa"/>
            </w:tcMar>
          </w:tcPr>
          <w:p>
            <w:pPr>
              <w:spacing w:after="0"/>
            </w:pPr>
            <w:r/>
            <w:r>
              <w:rPr>
                <w:rFonts w:ascii="Aptos" w:hAnsi="Aptos"/>
                <w:b w:val="0"/>
                <w:sz w:val="17"/>
              </w:rPr>
              <w:t>$[ ] one time</w:t>
            </w:r>
          </w:p>
        </w:tc>
      </w:tr>
      <w:tr>
        <w:trPr>
          <w:cantSplit/>
        </w:trPr>
        <w:tc>
          <w:tcPr>
            <w:tcW w:type="dxa" w:w="3240"/>
            <w:vAlign w:val="center"/>
            <w:tcMar>
              <w:top w:w="100" w:type="dxa"/>
              <w:start w:w="120" w:type="dxa"/>
              <w:bottom w:w="100" w:type="dxa"/>
              <w:end w:w="120" w:type="dxa"/>
            </w:tcMar>
          </w:tcPr>
          <w:p>
            <w:pPr>
              <w:spacing w:after="0"/>
            </w:pPr>
            <w:r/>
            <w:r>
              <w:rPr>
                <w:rFonts w:ascii="Aptos" w:hAnsi="Aptos"/>
                <w:b w:val="0"/>
                <w:sz w:val="17"/>
              </w:rPr>
              <w:t>Initial term</w:t>
            </w:r>
          </w:p>
        </w:tc>
        <w:tc>
          <w:tcPr>
            <w:tcW w:type="dxa" w:w="6408"/>
            <w:vAlign w:val="center"/>
            <w:tcMar>
              <w:top w:w="100" w:type="dxa"/>
              <w:start w:w="120" w:type="dxa"/>
              <w:bottom w:w="100" w:type="dxa"/>
              <w:end w:w="120" w:type="dxa"/>
            </w:tcMar>
          </w:tcPr>
          <w:p>
            <w:pPr>
              <w:spacing w:after="0"/>
            </w:pPr>
            <w:r/>
            <w:r>
              <w:rPr>
                <w:rFonts w:ascii="Aptos" w:hAnsi="Aptos"/>
                <w:b w:val="0"/>
                <w:sz w:val="17"/>
              </w:rPr>
              <w:t>☐ 3 months  ☐ 12 months  ☐ Other: [ ]</w:t>
            </w:r>
          </w:p>
        </w:tc>
      </w:tr>
      <w:tr>
        <w:trPr>
          <w:cantSplit/>
        </w:trPr>
        <w:tc>
          <w:tcPr>
            <w:tcW w:type="dxa" w:w="3240"/>
            <w:shd w:fill="F6F9FC"/>
            <w:vAlign w:val="center"/>
            <w:tcMar>
              <w:top w:w="100" w:type="dxa"/>
              <w:start w:w="120" w:type="dxa"/>
              <w:bottom w:w="100" w:type="dxa"/>
              <w:end w:w="120" w:type="dxa"/>
            </w:tcMar>
          </w:tcPr>
          <w:p>
            <w:pPr>
              <w:spacing w:after="0"/>
            </w:pPr>
            <w:r/>
            <w:r>
              <w:rPr>
                <w:rFonts w:ascii="Aptos" w:hAnsi="Aptos"/>
                <w:b w:val="0"/>
                <w:sz w:val="17"/>
              </w:rPr>
              <w:t>Renewal</w:t>
            </w:r>
          </w:p>
        </w:tc>
        <w:tc>
          <w:tcPr>
            <w:tcW w:type="dxa" w:w="6408"/>
            <w:shd w:fill="F6F9FC"/>
            <w:vAlign w:val="center"/>
            <w:tcMar>
              <w:top w:w="100" w:type="dxa"/>
              <w:start w:w="120" w:type="dxa"/>
              <w:bottom w:w="100" w:type="dxa"/>
              <w:end w:w="120" w:type="dxa"/>
            </w:tcMar>
          </w:tcPr>
          <w:p>
            <w:pPr>
              <w:spacing w:after="0"/>
            </w:pPr>
            <w:r/>
            <w:r>
              <w:rPr>
                <w:rFonts w:ascii="Aptos" w:hAnsi="Aptos"/>
                <w:b w:val="0"/>
                <w:sz w:val="17"/>
              </w:rPr>
              <w:t>☐ Month-to-month  ☐ 12 months  ☐ No automatic renewal</w:t>
            </w:r>
          </w:p>
        </w:tc>
      </w:tr>
      <w:tr>
        <w:trPr>
          <w:cantSplit/>
        </w:trPr>
        <w:tc>
          <w:tcPr>
            <w:tcW w:type="dxa" w:w="3240"/>
            <w:vAlign w:val="center"/>
            <w:tcMar>
              <w:top w:w="100" w:type="dxa"/>
              <w:start w:w="120" w:type="dxa"/>
              <w:bottom w:w="100" w:type="dxa"/>
              <w:end w:w="120" w:type="dxa"/>
            </w:tcMar>
          </w:tcPr>
          <w:p>
            <w:pPr>
              <w:spacing w:after="0"/>
            </w:pPr>
            <w:r/>
            <w:r>
              <w:rPr>
                <w:rFonts w:ascii="Aptos" w:hAnsi="Aptos"/>
                <w:b w:val="0"/>
                <w:sz w:val="17"/>
              </w:rPr>
              <w:t>Included users / locations</w:t>
            </w:r>
          </w:p>
        </w:tc>
        <w:tc>
          <w:tcPr>
            <w:tcW w:type="dxa" w:w="6408"/>
            <w:vAlign w:val="center"/>
            <w:tcMar>
              <w:top w:w="100" w:type="dxa"/>
              <w:start w:w="120" w:type="dxa"/>
              <w:bottom w:w="100" w:type="dxa"/>
              <w:end w:w="120" w:type="dxa"/>
            </w:tcMar>
          </w:tcPr>
          <w:p>
            <w:pPr>
              <w:spacing w:after="0"/>
            </w:pPr>
            <w:r/>
            <w:r>
              <w:rPr>
                <w:rFonts w:ascii="Aptos" w:hAnsi="Aptos"/>
                <w:b w:val="0"/>
                <w:sz w:val="17"/>
              </w:rPr>
              <w:t>[ ] users / [ ] locations</w:t>
            </w:r>
          </w:p>
        </w:tc>
      </w:tr>
      <w:tr>
        <w:trPr>
          <w:cantSplit/>
        </w:trPr>
        <w:tc>
          <w:tcPr>
            <w:tcW w:type="dxa" w:w="3240"/>
            <w:shd w:fill="F6F9FC"/>
            <w:vAlign w:val="center"/>
            <w:tcMar>
              <w:top w:w="100" w:type="dxa"/>
              <w:start w:w="120" w:type="dxa"/>
              <w:bottom w:w="100" w:type="dxa"/>
              <w:end w:w="120" w:type="dxa"/>
            </w:tcMar>
          </w:tcPr>
          <w:p>
            <w:pPr>
              <w:spacing w:after="0"/>
            </w:pPr>
            <w:r/>
            <w:r>
              <w:rPr>
                <w:rFonts w:ascii="Aptos" w:hAnsi="Aptos"/>
                <w:b w:val="0"/>
                <w:sz w:val="17"/>
              </w:rPr>
              <w:t>Included modules</w:t>
            </w:r>
          </w:p>
        </w:tc>
        <w:tc>
          <w:tcPr>
            <w:tcW w:type="dxa" w:w="6408"/>
            <w:shd w:fill="F6F9FC"/>
            <w:vAlign w:val="center"/>
            <w:tcMar>
              <w:top w:w="100" w:type="dxa"/>
              <w:start w:w="120" w:type="dxa"/>
              <w:bottom w:w="100" w:type="dxa"/>
              <w:end w:w="120" w:type="dxa"/>
            </w:tcMar>
          </w:tcPr>
          <w:p>
            <w:pPr>
              <w:spacing w:after="0"/>
            </w:pPr>
            <w:r/>
            <w:r>
              <w:rPr>
                <w:rFonts w:ascii="Aptos" w:hAnsi="Aptos"/>
                <w:b w:val="0"/>
                <w:sz w:val="17"/>
              </w:rPr>
              <w:t>[List only production modules]</w:t>
            </w:r>
          </w:p>
        </w:tc>
      </w:tr>
      <w:tr>
        <w:trPr>
          <w:cantSplit/>
        </w:trPr>
        <w:tc>
          <w:tcPr>
            <w:tcW w:type="dxa" w:w="3240"/>
            <w:vAlign w:val="center"/>
            <w:tcMar>
              <w:top w:w="100" w:type="dxa"/>
              <w:start w:w="120" w:type="dxa"/>
              <w:bottom w:w="100" w:type="dxa"/>
              <w:end w:w="120" w:type="dxa"/>
            </w:tcMar>
          </w:tcPr>
          <w:p>
            <w:pPr>
              <w:spacing w:after="0"/>
            </w:pPr>
            <w:r/>
            <w:r>
              <w:rPr>
                <w:rFonts w:ascii="Aptos" w:hAnsi="Aptos"/>
                <w:b w:val="0"/>
                <w:sz w:val="17"/>
              </w:rPr>
              <w:t>Add-ons and usage fees</w:t>
            </w:r>
          </w:p>
        </w:tc>
        <w:tc>
          <w:tcPr>
            <w:tcW w:type="dxa" w:w="6408"/>
            <w:vAlign w:val="center"/>
            <w:tcMar>
              <w:top w:w="100" w:type="dxa"/>
              <w:start w:w="120" w:type="dxa"/>
              <w:bottom w:w="100" w:type="dxa"/>
              <w:end w:w="120" w:type="dxa"/>
            </w:tcMar>
          </w:tcPr>
          <w:p>
            <w:pPr>
              <w:spacing w:after="0"/>
            </w:pPr>
            <w:r/>
            <w:r>
              <w:rPr>
                <w:rFonts w:ascii="Aptos" w:hAnsi="Aptos"/>
                <w:b w:val="0"/>
                <w:sz w:val="17"/>
              </w:rPr>
              <w:t>[Integration, OCR, SMS, feed, migration]</w:t>
            </w:r>
          </w:p>
        </w:tc>
      </w:tr>
      <w:tr>
        <w:trPr>
          <w:cantSplit/>
        </w:trPr>
        <w:tc>
          <w:tcPr>
            <w:tcW w:type="dxa" w:w="3240"/>
            <w:shd w:fill="F6F9FC"/>
            <w:vAlign w:val="center"/>
            <w:tcMar>
              <w:top w:w="100" w:type="dxa"/>
              <w:start w:w="120" w:type="dxa"/>
              <w:bottom w:w="100" w:type="dxa"/>
              <w:end w:w="120" w:type="dxa"/>
            </w:tcMar>
          </w:tcPr>
          <w:p>
            <w:pPr>
              <w:spacing w:after="0"/>
            </w:pPr>
            <w:r/>
            <w:r>
              <w:rPr>
                <w:rFonts w:ascii="Aptos" w:hAnsi="Aptos"/>
                <w:b w:val="0"/>
                <w:sz w:val="17"/>
              </w:rPr>
              <w:t>Billing</w:t>
            </w:r>
          </w:p>
        </w:tc>
        <w:tc>
          <w:tcPr>
            <w:tcW w:type="dxa" w:w="6408"/>
            <w:shd w:fill="F6F9FC"/>
            <w:vAlign w:val="center"/>
            <w:tcMar>
              <w:top w:w="100" w:type="dxa"/>
              <w:start w:w="120" w:type="dxa"/>
              <w:bottom w:w="100" w:type="dxa"/>
              <w:end w:w="120" w:type="dxa"/>
            </w:tcMar>
          </w:tcPr>
          <w:p>
            <w:pPr>
              <w:spacing w:after="0"/>
            </w:pPr>
            <w:r/>
            <w:r>
              <w:rPr>
                <w:rFonts w:ascii="Aptos" w:hAnsi="Aptos"/>
                <w:b w:val="0"/>
                <w:sz w:val="17"/>
              </w:rPr>
              <w:t>[Upfront/monthly]; invoices due 15 days</w:t>
            </w:r>
          </w:p>
        </w:tc>
      </w:tr>
      <w:tr>
        <w:trPr>
          <w:cantSplit/>
        </w:trPr>
        <w:tc>
          <w:tcPr>
            <w:tcW w:type="dxa" w:w="3240"/>
            <w:vAlign w:val="center"/>
            <w:tcMar>
              <w:top w:w="100" w:type="dxa"/>
              <w:start w:w="120" w:type="dxa"/>
              <w:bottom w:w="100" w:type="dxa"/>
              <w:end w:w="120" w:type="dxa"/>
            </w:tcMar>
          </w:tcPr>
          <w:p>
            <w:pPr>
              <w:spacing w:after="0"/>
            </w:pPr>
            <w:r/>
            <w:r>
              <w:rPr>
                <w:rFonts w:ascii="Aptos" w:hAnsi="Aptos"/>
                <w:b w:val="0"/>
                <w:sz w:val="17"/>
              </w:rPr>
              <w:t>Support level</w:t>
            </w:r>
          </w:p>
        </w:tc>
        <w:tc>
          <w:tcPr>
            <w:tcW w:type="dxa" w:w="6408"/>
            <w:vAlign w:val="center"/>
            <w:tcMar>
              <w:top w:w="100" w:type="dxa"/>
              <w:start w:w="120" w:type="dxa"/>
              <w:bottom w:w="100" w:type="dxa"/>
              <w:end w:w="120" w:type="dxa"/>
            </w:tcMar>
          </w:tcPr>
          <w:p>
            <w:pPr>
              <w:spacing w:after="0"/>
            </w:pPr>
            <w:r/>
            <w:r>
              <w:rPr>
                <w:rFonts w:ascii="Aptos" w:hAnsi="Aptos"/>
                <w:b w:val="0"/>
                <w:sz w:val="17"/>
              </w:rPr>
              <w:t>[Channel, hours, response target]</w:t>
            </w:r>
          </w:p>
        </w:tc>
      </w:tr>
      <w:tr>
        <w:trPr>
          <w:cantSplit/>
        </w:trPr>
        <w:tc>
          <w:tcPr>
            <w:tcW w:type="dxa" w:w="3240"/>
            <w:shd w:fill="F6F9FC"/>
            <w:vAlign w:val="center"/>
            <w:tcMar>
              <w:top w:w="100" w:type="dxa"/>
              <w:start w:w="120" w:type="dxa"/>
              <w:bottom w:w="100" w:type="dxa"/>
              <w:end w:w="120" w:type="dxa"/>
            </w:tcMar>
          </w:tcPr>
          <w:p>
            <w:pPr>
              <w:spacing w:after="0"/>
            </w:pPr>
            <w:r/>
            <w:r>
              <w:rPr>
                <w:rFonts w:ascii="Aptos" w:hAnsi="Aptos"/>
                <w:b w:val="0"/>
                <w:sz w:val="17"/>
              </w:rPr>
              <w:t>Implementation target</w:t>
            </w:r>
          </w:p>
        </w:tc>
        <w:tc>
          <w:tcPr>
            <w:tcW w:type="dxa" w:w="6408"/>
            <w:shd w:fill="F6F9FC"/>
            <w:vAlign w:val="center"/>
            <w:tcMar>
              <w:top w:w="100" w:type="dxa"/>
              <w:start w:w="120" w:type="dxa"/>
              <w:bottom w:w="100" w:type="dxa"/>
              <w:end w:w="120" w:type="dxa"/>
            </w:tcMar>
          </w:tcPr>
          <w:p>
            <w:pPr>
              <w:spacing w:after="0"/>
            </w:pPr>
            <w:r/>
            <w:r>
              <w:rPr>
                <w:rFonts w:ascii="Aptos" w:hAnsi="Aptos"/>
                <w:b w:val="0"/>
                <w:sz w:val="17"/>
              </w:rPr>
              <w:t>[Target; dependencies]</w:t>
            </w:r>
          </w:p>
        </w:tc>
      </w:tr>
      <w:tr>
        <w:trPr>
          <w:cantSplit/>
        </w:trPr>
        <w:tc>
          <w:tcPr>
            <w:tcW w:type="dxa" w:w="3240"/>
            <w:vAlign w:val="center"/>
            <w:tcMar>
              <w:top w:w="100" w:type="dxa"/>
              <w:start w:w="120" w:type="dxa"/>
              <w:bottom w:w="100" w:type="dxa"/>
              <w:end w:w="120" w:type="dxa"/>
            </w:tcMar>
          </w:tcPr>
          <w:p>
            <w:pPr>
              <w:spacing w:after="0"/>
            </w:pPr>
            <w:r/>
            <w:r>
              <w:rPr>
                <w:rFonts w:ascii="Aptos" w:hAnsi="Aptos"/>
                <w:b w:val="0"/>
                <w:sz w:val="17"/>
              </w:rPr>
              <w:t>Customer success measures</w:t>
            </w:r>
          </w:p>
        </w:tc>
        <w:tc>
          <w:tcPr>
            <w:tcW w:type="dxa" w:w="6408"/>
            <w:vAlign w:val="center"/>
            <w:tcMar>
              <w:top w:w="100" w:type="dxa"/>
              <w:start w:w="120" w:type="dxa"/>
              <w:bottom w:w="100" w:type="dxa"/>
              <w:end w:w="120" w:type="dxa"/>
            </w:tcMar>
          </w:tcPr>
          <w:p>
            <w:pPr>
              <w:spacing w:after="0"/>
            </w:pPr>
            <w:r/>
            <w:r>
              <w:rPr>
                <w:rFonts w:ascii="Aptos" w:hAnsi="Aptos"/>
                <w:b w:val="0"/>
                <w:sz w:val="17"/>
              </w:rPr>
              <w:t>[Example: migration accuracy; adoption; processing time]</w:t>
            </w:r>
          </w:p>
        </w:tc>
      </w:tr>
      <w:tr>
        <w:trPr>
          <w:cantSplit/>
        </w:trPr>
        <w:tc>
          <w:tcPr>
            <w:tcW w:type="dxa" w:w="3240"/>
            <w:shd w:fill="F6F9FC"/>
            <w:vAlign w:val="center"/>
            <w:tcMar>
              <w:top w:w="100" w:type="dxa"/>
              <w:start w:w="120" w:type="dxa"/>
              <w:bottom w:w="100" w:type="dxa"/>
              <w:end w:w="120" w:type="dxa"/>
            </w:tcMar>
          </w:tcPr>
          <w:p>
            <w:pPr>
              <w:spacing w:after="0"/>
            </w:pPr>
            <w:r/>
            <w:r>
              <w:rPr>
                <w:rFonts w:ascii="Aptos" w:hAnsi="Aptos"/>
                <w:b w:val="0"/>
                <w:sz w:val="17"/>
              </w:rPr>
              <w:t>Special terms</w:t>
            </w:r>
          </w:p>
        </w:tc>
        <w:tc>
          <w:tcPr>
            <w:tcW w:type="dxa" w:w="6408"/>
            <w:shd w:fill="F6F9FC"/>
            <w:vAlign w:val="center"/>
            <w:tcMar>
              <w:top w:w="100" w:type="dxa"/>
              <w:start w:w="120" w:type="dxa"/>
              <w:bottom w:w="100" w:type="dxa"/>
              <w:end w:w="120" w:type="dxa"/>
            </w:tcMar>
          </w:tcPr>
          <w:p>
            <w:pPr>
              <w:spacing w:after="0"/>
            </w:pPr>
            <w:r/>
            <w:r>
              <w:rPr>
                <w:rFonts w:ascii="Aptos" w:hAnsi="Aptos"/>
                <w:b w:val="0"/>
                <w:sz w:val="17"/>
              </w:rPr>
              <w:t>[No oral promises; list negotiated changes]</w:t>
            </w:r>
          </w:p>
        </w:tc>
      </w:tr>
    </w:tbl>
    <w:p>
      <w:pPr>
        <w:spacing w:after="0"/>
      </w:pPr>
    </w:p>
    <w:p>
      <w:pPr>
        <w:pStyle w:val="Heading2"/>
      </w:pPr>
      <w:r>
        <w:t>Recurring-charge authorization</w:t>
      </w:r>
    </w:p>
    <w:p>
      <w:r>
        <w:t>Customer authorizes Provider to charge the payment method on file for the subscription and disclosed usage fees at the frequency above until the subscription ends under this Order Form. The price, renewal date/term, cancellation method, and any future price-change notice must be clearly presented before signature and retained by Customer.</w:t>
      </w:r>
    </w:p>
    <w:p>
      <w:pPr>
        <w:pStyle w:val="Heading2"/>
      </w:pPr>
      <w:r>
        <w:t>Order Form signatures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24"/>
            <w:shd w:fill="102A43"/>
            <w:vAlign w:val="center"/>
            <w:tcMar>
              <w:top w:w="100" w:type="dxa"/>
              <w:start w:w="120" w:type="dxa"/>
              <w:bottom w:w="100" w:type="dxa"/>
              <w:end w:w="120" w:type="dxa"/>
            </w:tcMar>
          </w:tcPr>
          <w:p>
            <w:pPr>
              <w:spacing w:after="0"/>
            </w:pPr>
            <w:r/>
            <w:r>
              <w:rPr>
                <w:rFonts w:ascii="Aptos" w:hAnsi="Aptos"/>
                <w:b/>
                <w:color w:val="FFFFFF"/>
                <w:sz w:val="18"/>
              </w:rPr>
              <w:t>PROVIDER</w:t>
            </w:r>
          </w:p>
        </w:tc>
        <w:tc>
          <w:tcPr>
            <w:tcW w:type="dxa" w:w="4824"/>
            <w:shd w:fill="102A43"/>
            <w:vAlign w:val="center"/>
            <w:tcMar>
              <w:top w:w="100" w:type="dxa"/>
              <w:start w:w="120" w:type="dxa"/>
              <w:bottom w:w="100" w:type="dxa"/>
              <w:end w:w="120" w:type="dxa"/>
            </w:tcMar>
          </w:tcPr>
          <w:p>
            <w:pPr>
              <w:spacing w:after="0"/>
            </w:pPr>
            <w:r/>
            <w:r>
              <w:rPr>
                <w:rFonts w:ascii="Aptos" w:hAnsi="Aptos"/>
                <w:b/>
                <w:color w:val="FFFFFF"/>
                <w:sz w:val="18"/>
              </w:rPr>
              <w:t>CUSTOMER</w:t>
            </w:r>
          </w:p>
        </w:tc>
      </w:tr>
      <w:tr>
        <w:trPr>
          <w:cantSplit/>
        </w:trPr>
        <w:tc>
          <w:tcPr>
            <w:tcW w:type="dxa" w:w="4824"/>
            <w:vAlign w:val="center"/>
            <w:tcMar>
              <w:top w:w="100" w:type="dxa"/>
              <w:start w:w="120" w:type="dxa"/>
              <w:bottom w:w="100" w:type="dxa"/>
              <w:end w:w="120" w:type="dxa"/>
            </w:tcMar>
          </w:tcPr>
          <w:p>
            <w:pPr>
              <w:spacing w:after="0"/>
            </w:pPr>
            <w:r/>
            <w:r>
              <w:rPr>
                <w:rFonts w:ascii="Aptos" w:hAnsi="Aptos"/>
                <w:b w:val="0"/>
                <w:sz w:val="17"/>
              </w:rPr>
              <w:t>Signature: __________________</w:t>
            </w:r>
          </w:p>
        </w:tc>
        <w:tc>
          <w:tcPr>
            <w:tcW w:type="dxa" w:w="4824"/>
            <w:vAlign w:val="center"/>
            <w:tcMar>
              <w:top w:w="100" w:type="dxa"/>
              <w:start w:w="120" w:type="dxa"/>
              <w:bottom w:w="100" w:type="dxa"/>
              <w:end w:w="120" w:type="dxa"/>
            </w:tcMar>
          </w:tcPr>
          <w:p>
            <w:pPr>
              <w:spacing w:after="0"/>
            </w:pPr>
            <w:r/>
            <w:r>
              <w:rPr>
                <w:rFonts w:ascii="Aptos" w:hAnsi="Aptos"/>
                <w:b w:val="0"/>
                <w:sz w:val="17"/>
              </w:rPr>
              <w:t>Signature: __________________</w:t>
            </w:r>
          </w:p>
        </w:tc>
      </w:tr>
      <w:tr>
        <w:trPr>
          <w:cantSplit/>
        </w:trPr>
        <w:tc>
          <w:tcPr>
            <w:tcW w:type="dxa" w:w="4824"/>
            <w:shd w:fill="F6F9FC"/>
            <w:vAlign w:val="center"/>
            <w:tcMar>
              <w:top w:w="100" w:type="dxa"/>
              <w:start w:w="120" w:type="dxa"/>
              <w:bottom w:w="100" w:type="dxa"/>
              <w:end w:w="120" w:type="dxa"/>
            </w:tcMar>
          </w:tcPr>
          <w:p>
            <w:pPr>
              <w:spacing w:after="0"/>
            </w:pPr>
            <w:r/>
            <w:r>
              <w:rPr>
                <w:rFonts w:ascii="Aptos" w:hAnsi="Aptos"/>
                <w:b w:val="0"/>
                <w:sz w:val="17"/>
              </w:rPr>
              <w:t>Name/Title: ________________</w:t>
            </w:r>
          </w:p>
        </w:tc>
        <w:tc>
          <w:tcPr>
            <w:tcW w:type="dxa" w:w="4824"/>
            <w:shd w:fill="F6F9FC"/>
            <w:vAlign w:val="center"/>
            <w:tcMar>
              <w:top w:w="100" w:type="dxa"/>
              <w:start w:w="120" w:type="dxa"/>
              <w:bottom w:w="100" w:type="dxa"/>
              <w:end w:w="120" w:type="dxa"/>
            </w:tcMar>
          </w:tcPr>
          <w:p>
            <w:pPr>
              <w:spacing w:after="0"/>
            </w:pPr>
            <w:r/>
            <w:r>
              <w:rPr>
                <w:rFonts w:ascii="Aptos" w:hAnsi="Aptos"/>
                <w:b w:val="0"/>
                <w:sz w:val="17"/>
              </w:rPr>
              <w:t>Name/Title: ________________</w:t>
            </w:r>
          </w:p>
        </w:tc>
      </w:tr>
      <w:tr>
        <w:trPr>
          <w:cantSplit/>
        </w:trPr>
        <w:tc>
          <w:tcPr>
            <w:tcW w:type="dxa" w:w="4824"/>
            <w:vAlign w:val="center"/>
            <w:tcMar>
              <w:top w:w="100" w:type="dxa"/>
              <w:start w:w="120" w:type="dxa"/>
              <w:bottom w:w="100" w:type="dxa"/>
              <w:end w:w="120" w:type="dxa"/>
            </w:tcMar>
          </w:tcPr>
          <w:p>
            <w:pPr>
              <w:spacing w:after="0"/>
            </w:pPr>
            <w:r/>
            <w:r>
              <w:rPr>
                <w:rFonts w:ascii="Aptos" w:hAnsi="Aptos"/>
                <w:b w:val="0"/>
                <w:sz w:val="17"/>
              </w:rPr>
              <w:t>Date: ______________________</w:t>
            </w:r>
          </w:p>
        </w:tc>
        <w:tc>
          <w:tcPr>
            <w:tcW w:type="dxa" w:w="4824"/>
            <w:vAlign w:val="center"/>
            <w:tcMar>
              <w:top w:w="100" w:type="dxa"/>
              <w:start w:w="120" w:type="dxa"/>
              <w:bottom w:w="100" w:type="dxa"/>
              <w:end w:w="120" w:type="dxa"/>
            </w:tcMar>
          </w:tcPr>
          <w:p>
            <w:pPr>
              <w:spacing w:after="0"/>
            </w:pPr>
            <w:r/>
            <w:r>
              <w:rPr>
                <w:rFonts w:ascii="Aptos" w:hAnsi="Aptos"/>
                <w:b w:val="0"/>
                <w:sz w:val="17"/>
              </w:rPr>
              <w:t>Date: ______________________</w:t>
            </w:r>
          </w:p>
        </w:tc>
      </w:tr>
    </w:tbl>
    <w:p>
      <w:pPr>
        <w:spacing w:after="0"/>
      </w:pPr>
    </w:p>
    <w:p>
      <w:r>
        <w:br w:type="page"/>
      </w:r>
    </w:p>
    <w:p>
      <w:pPr>
        <w:pStyle w:val="Heading1"/>
      </w:pPr>
      <w:r>
        <w:t>Implementation SOW — Required Fields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02A43"/>
            <w:vAlign w:val="center"/>
            <w:tcMar>
              <w:top w:w="100" w:type="dxa"/>
              <w:start w:w="120" w:type="dxa"/>
              <w:bottom w:w="100" w:type="dxa"/>
              <w:end w:w="120" w:type="dxa"/>
            </w:tcMar>
          </w:tcPr>
          <w:p>
            <w:pPr>
              <w:spacing w:after="0"/>
            </w:pPr>
            <w:r/>
            <w:r>
              <w:rPr>
                <w:rFonts w:ascii="Aptos" w:hAnsi="Aptos"/>
                <w:b/>
                <w:color w:val="FFFFFF"/>
                <w:sz w:val="18"/>
              </w:rPr>
              <w:t>Section</w:t>
            </w:r>
          </w:p>
        </w:tc>
        <w:tc>
          <w:tcPr>
            <w:tcW w:type="dxa" w:w="7416"/>
            <w:shd w:fill="102A43"/>
            <w:vAlign w:val="center"/>
            <w:tcMar>
              <w:top w:w="100" w:type="dxa"/>
              <w:start w:w="120" w:type="dxa"/>
              <w:bottom w:w="100" w:type="dxa"/>
              <w:end w:w="120" w:type="dxa"/>
            </w:tcMar>
          </w:tcPr>
          <w:p>
            <w:pPr>
              <w:spacing w:after="0"/>
            </w:pPr>
            <w:r/>
            <w:r>
              <w:rPr>
                <w:rFonts w:ascii="Aptos" w:hAnsi="Aptos"/>
                <w:b/>
                <w:color w:val="FFFFFF"/>
                <w:sz w:val="18"/>
              </w:rPr>
              <w:t>Required detail</w:t>
            </w:r>
          </w:p>
        </w:tc>
      </w:tr>
      <w:tr>
        <w:trPr>
          <w:cantSplit/>
        </w:trPr>
        <w:tc>
          <w:tcPr>
            <w:tcW w:type="dxa" w:w="2232"/>
            <w:vAlign w:val="center"/>
            <w:tcMar>
              <w:top w:w="100" w:type="dxa"/>
              <w:start w:w="120" w:type="dxa"/>
              <w:bottom w:w="100" w:type="dxa"/>
              <w:end w:w="120" w:type="dxa"/>
            </w:tcMar>
          </w:tcPr>
          <w:p>
            <w:pPr>
              <w:spacing w:after="0"/>
            </w:pPr>
            <w:r/>
            <w:r>
              <w:rPr>
                <w:rFonts w:ascii="Aptos" w:hAnsi="Aptos"/>
                <w:b w:val="0"/>
                <w:sz w:val="17"/>
              </w:rPr>
              <w:t>Objectives</w:t>
            </w:r>
          </w:p>
        </w:tc>
        <w:tc>
          <w:tcPr>
            <w:tcW w:type="dxa" w:w="7416"/>
            <w:vAlign w:val="center"/>
            <w:tcMar>
              <w:top w:w="100" w:type="dxa"/>
              <w:start w:w="120" w:type="dxa"/>
              <w:bottom w:w="100" w:type="dxa"/>
              <w:end w:w="120" w:type="dxa"/>
            </w:tcMar>
          </w:tcPr>
          <w:p>
            <w:pPr>
              <w:spacing w:after="0"/>
            </w:pPr>
            <w:r/>
            <w:r>
              <w:rPr>
                <w:rFonts w:ascii="Aptos" w:hAnsi="Aptos"/>
                <w:b w:val="0"/>
                <w:sz w:val="17"/>
              </w:rPr>
              <w:t>Business workflows and measurable success criteria</w:t>
            </w:r>
          </w:p>
        </w:tc>
      </w:tr>
      <w:tr>
        <w:trPr>
          <w:cantSplit/>
        </w:trPr>
        <w:tc>
          <w:tcPr>
            <w:tcW w:type="dxa" w:w="2232"/>
            <w:shd w:fill="F6F9FC"/>
            <w:vAlign w:val="center"/>
            <w:tcMar>
              <w:top w:w="100" w:type="dxa"/>
              <w:start w:w="120" w:type="dxa"/>
              <w:bottom w:w="100" w:type="dxa"/>
              <w:end w:w="120" w:type="dxa"/>
            </w:tcMar>
          </w:tcPr>
          <w:p>
            <w:pPr>
              <w:spacing w:after="0"/>
            </w:pPr>
            <w:r/>
            <w:r>
              <w:rPr>
                <w:rFonts w:ascii="Aptos" w:hAnsi="Aptos"/>
                <w:b w:val="0"/>
                <w:sz w:val="17"/>
              </w:rPr>
              <w:t>In scope</w:t>
            </w:r>
          </w:p>
        </w:tc>
        <w:tc>
          <w:tcPr>
            <w:tcW w:type="dxa" w:w="7416"/>
            <w:shd w:fill="F6F9FC"/>
            <w:vAlign w:val="center"/>
            <w:tcMar>
              <w:top w:w="100" w:type="dxa"/>
              <w:start w:w="120" w:type="dxa"/>
              <w:bottom w:w="100" w:type="dxa"/>
              <w:end w:w="120" w:type="dxa"/>
            </w:tcMar>
          </w:tcPr>
          <w:p>
            <w:pPr>
              <w:spacing w:after="0"/>
            </w:pPr>
            <w:r/>
            <w:r>
              <w:rPr>
                <w:rFonts w:ascii="Aptos" w:hAnsi="Aptos"/>
                <w:b w:val="0"/>
                <w:sz w:val="17"/>
              </w:rPr>
              <w:t>Modules, forms, fields, roles, reports, integrations</w:t>
            </w:r>
          </w:p>
        </w:tc>
      </w:tr>
      <w:tr>
        <w:trPr>
          <w:cantSplit/>
        </w:trPr>
        <w:tc>
          <w:tcPr>
            <w:tcW w:type="dxa" w:w="2232"/>
            <w:vAlign w:val="center"/>
            <w:tcMar>
              <w:top w:w="100" w:type="dxa"/>
              <w:start w:w="120" w:type="dxa"/>
              <w:bottom w:w="100" w:type="dxa"/>
              <w:end w:w="120" w:type="dxa"/>
            </w:tcMar>
          </w:tcPr>
          <w:p>
            <w:pPr>
              <w:spacing w:after="0"/>
            </w:pPr>
            <w:r/>
            <w:r>
              <w:rPr>
                <w:rFonts w:ascii="Aptos" w:hAnsi="Aptos"/>
                <w:b w:val="0"/>
                <w:sz w:val="17"/>
              </w:rPr>
              <w:t>Out of scope</w:t>
            </w:r>
          </w:p>
        </w:tc>
        <w:tc>
          <w:tcPr>
            <w:tcW w:type="dxa" w:w="7416"/>
            <w:vAlign w:val="center"/>
            <w:tcMar>
              <w:top w:w="100" w:type="dxa"/>
              <w:start w:w="120" w:type="dxa"/>
              <w:bottom w:w="100" w:type="dxa"/>
              <w:end w:w="120" w:type="dxa"/>
            </w:tcMar>
          </w:tcPr>
          <w:p>
            <w:pPr>
              <w:spacing w:after="0"/>
            </w:pPr>
            <w:r/>
            <w:r>
              <w:rPr>
                <w:rFonts w:ascii="Aptos" w:hAnsi="Aptos"/>
                <w:b w:val="0"/>
                <w:sz w:val="17"/>
              </w:rPr>
              <w:t>Custom accounting, legal compliance decisions, source-data cleanup, unlisted integrations</w:t>
            </w:r>
          </w:p>
        </w:tc>
      </w:tr>
      <w:tr>
        <w:trPr>
          <w:cantSplit/>
        </w:trPr>
        <w:tc>
          <w:tcPr>
            <w:tcW w:type="dxa" w:w="2232"/>
            <w:shd w:fill="F6F9FC"/>
            <w:vAlign w:val="center"/>
            <w:tcMar>
              <w:top w:w="100" w:type="dxa"/>
              <w:start w:w="120" w:type="dxa"/>
              <w:bottom w:w="100" w:type="dxa"/>
              <w:end w:w="120" w:type="dxa"/>
            </w:tcMar>
          </w:tcPr>
          <w:p>
            <w:pPr>
              <w:spacing w:after="0"/>
            </w:pPr>
            <w:r/>
            <w:r>
              <w:rPr>
                <w:rFonts w:ascii="Aptos" w:hAnsi="Aptos"/>
                <w:b w:val="0"/>
                <w:sz w:val="17"/>
              </w:rPr>
              <w:t>Customer dependencies</w:t>
            </w:r>
          </w:p>
        </w:tc>
        <w:tc>
          <w:tcPr>
            <w:tcW w:type="dxa" w:w="7416"/>
            <w:shd w:fill="F6F9FC"/>
            <w:vAlign w:val="center"/>
            <w:tcMar>
              <w:top w:w="100" w:type="dxa"/>
              <w:start w:w="120" w:type="dxa"/>
              <w:bottom w:w="100" w:type="dxa"/>
              <w:end w:w="120" w:type="dxa"/>
            </w:tcMar>
          </w:tcPr>
          <w:p>
            <w:pPr>
              <w:spacing w:after="0"/>
            </w:pPr>
            <w:r/>
            <w:r>
              <w:rPr>
                <w:rFonts w:ascii="Aptos" w:hAnsi="Aptos"/>
                <w:b w:val="0"/>
                <w:sz w:val="17"/>
              </w:rPr>
              <w:t>Data export, credentials, decisions, user list, test records, approvals</w:t>
            </w:r>
          </w:p>
        </w:tc>
      </w:tr>
      <w:tr>
        <w:trPr>
          <w:cantSplit/>
        </w:trPr>
        <w:tc>
          <w:tcPr>
            <w:tcW w:type="dxa" w:w="2232"/>
            <w:vAlign w:val="center"/>
            <w:tcMar>
              <w:top w:w="100" w:type="dxa"/>
              <w:start w:w="120" w:type="dxa"/>
              <w:bottom w:w="100" w:type="dxa"/>
              <w:end w:w="120" w:type="dxa"/>
            </w:tcMar>
          </w:tcPr>
          <w:p>
            <w:pPr>
              <w:spacing w:after="0"/>
            </w:pPr>
            <w:r/>
            <w:r>
              <w:rPr>
                <w:rFonts w:ascii="Aptos" w:hAnsi="Aptos"/>
                <w:b w:val="0"/>
                <w:sz w:val="17"/>
              </w:rPr>
              <w:t>Deliverables</w:t>
            </w:r>
          </w:p>
        </w:tc>
        <w:tc>
          <w:tcPr>
            <w:tcW w:type="dxa" w:w="7416"/>
            <w:vAlign w:val="center"/>
            <w:tcMar>
              <w:top w:w="100" w:type="dxa"/>
              <w:start w:w="120" w:type="dxa"/>
              <w:bottom w:w="100" w:type="dxa"/>
              <w:end w:w="120" w:type="dxa"/>
            </w:tcMar>
          </w:tcPr>
          <w:p>
            <w:pPr>
              <w:spacing w:after="0"/>
            </w:pPr>
            <w:r/>
            <w:r>
              <w:rPr>
                <w:rFonts w:ascii="Aptos" w:hAnsi="Aptos"/>
                <w:b w:val="0"/>
                <w:sz w:val="17"/>
              </w:rPr>
              <w:t>Configured tenant, migrated data, templates, training, launch support</w:t>
            </w:r>
          </w:p>
        </w:tc>
      </w:tr>
      <w:tr>
        <w:trPr>
          <w:cantSplit/>
        </w:trPr>
        <w:tc>
          <w:tcPr>
            <w:tcW w:type="dxa" w:w="2232"/>
            <w:shd w:fill="F6F9FC"/>
            <w:vAlign w:val="center"/>
            <w:tcMar>
              <w:top w:w="100" w:type="dxa"/>
              <w:start w:w="120" w:type="dxa"/>
              <w:bottom w:w="100" w:type="dxa"/>
              <w:end w:w="120" w:type="dxa"/>
            </w:tcMar>
          </w:tcPr>
          <w:p>
            <w:pPr>
              <w:spacing w:after="0"/>
            </w:pPr>
            <w:r/>
            <w:r>
              <w:rPr>
                <w:rFonts w:ascii="Aptos" w:hAnsi="Aptos"/>
                <w:b w:val="0"/>
                <w:sz w:val="17"/>
              </w:rPr>
              <w:t>Milestones</w:t>
            </w:r>
          </w:p>
        </w:tc>
        <w:tc>
          <w:tcPr>
            <w:tcW w:type="dxa" w:w="7416"/>
            <w:shd w:fill="F6F9FC"/>
            <w:vAlign w:val="center"/>
            <w:tcMar>
              <w:top w:w="100" w:type="dxa"/>
              <w:start w:w="120" w:type="dxa"/>
              <w:bottom w:w="100" w:type="dxa"/>
              <w:end w:w="120" w:type="dxa"/>
            </w:tcMar>
          </w:tcPr>
          <w:p>
            <w:pPr>
              <w:spacing w:after="0"/>
            </w:pPr>
            <w:r/>
            <w:r>
              <w:rPr>
                <w:rFonts w:ascii="Aptos" w:hAnsi="Aptos"/>
                <w:b w:val="0"/>
                <w:sz w:val="17"/>
              </w:rPr>
              <w:t>Discovery; sample import; configuration; UAT; training; go-live</w:t>
            </w:r>
          </w:p>
        </w:tc>
      </w:tr>
      <w:tr>
        <w:trPr>
          <w:cantSplit/>
        </w:trPr>
        <w:tc>
          <w:tcPr>
            <w:tcW w:type="dxa" w:w="2232"/>
            <w:vAlign w:val="center"/>
            <w:tcMar>
              <w:top w:w="100" w:type="dxa"/>
              <w:start w:w="120" w:type="dxa"/>
              <w:bottom w:w="100" w:type="dxa"/>
              <w:end w:w="120" w:type="dxa"/>
            </w:tcMar>
          </w:tcPr>
          <w:p>
            <w:pPr>
              <w:spacing w:after="0"/>
            </w:pPr>
            <w:r/>
            <w:r>
              <w:rPr>
                <w:rFonts w:ascii="Aptos" w:hAnsi="Aptos"/>
                <w:b w:val="0"/>
                <w:sz w:val="17"/>
              </w:rPr>
              <w:t>Acceptance</w:t>
            </w:r>
          </w:p>
        </w:tc>
        <w:tc>
          <w:tcPr>
            <w:tcW w:type="dxa" w:w="7416"/>
            <w:vAlign w:val="center"/>
            <w:tcMar>
              <w:top w:w="100" w:type="dxa"/>
              <w:start w:w="120" w:type="dxa"/>
              <w:bottom w:w="100" w:type="dxa"/>
              <w:end w:w="120" w:type="dxa"/>
            </w:tcMar>
          </w:tcPr>
          <w:p>
            <w:pPr>
              <w:spacing w:after="0"/>
            </w:pPr>
            <w:r/>
            <w:r>
              <w:rPr>
                <w:rFonts w:ascii="Aptos" w:hAnsi="Aptos"/>
                <w:b w:val="0"/>
                <w:sz w:val="17"/>
              </w:rPr>
              <w:t>Tests, reviewer, response window, cure process</w:t>
            </w:r>
          </w:p>
        </w:tc>
      </w:tr>
      <w:tr>
        <w:trPr>
          <w:cantSplit/>
        </w:trPr>
        <w:tc>
          <w:tcPr>
            <w:tcW w:type="dxa" w:w="2232"/>
            <w:shd w:fill="F6F9FC"/>
            <w:vAlign w:val="center"/>
            <w:tcMar>
              <w:top w:w="100" w:type="dxa"/>
              <w:start w:w="120" w:type="dxa"/>
              <w:bottom w:w="100" w:type="dxa"/>
              <w:end w:w="120" w:type="dxa"/>
            </w:tcMar>
          </w:tcPr>
          <w:p>
            <w:pPr>
              <w:spacing w:after="0"/>
            </w:pPr>
            <w:r/>
            <w:r>
              <w:rPr>
                <w:rFonts w:ascii="Aptos" w:hAnsi="Aptos"/>
                <w:b w:val="0"/>
                <w:sz w:val="17"/>
              </w:rPr>
              <w:t>Fees</w:t>
            </w:r>
          </w:p>
        </w:tc>
        <w:tc>
          <w:tcPr>
            <w:tcW w:type="dxa" w:w="7416"/>
            <w:shd w:fill="F6F9FC"/>
            <w:vAlign w:val="center"/>
            <w:tcMar>
              <w:top w:w="100" w:type="dxa"/>
              <w:start w:w="120" w:type="dxa"/>
              <w:bottom w:w="100" w:type="dxa"/>
              <w:end w:w="120" w:type="dxa"/>
            </w:tcMar>
          </w:tcPr>
          <w:p>
            <w:pPr>
              <w:spacing w:after="0"/>
            </w:pPr>
            <w:r/>
            <w:r>
              <w:rPr>
                <w:rFonts w:ascii="Aptos" w:hAnsi="Aptos"/>
                <w:b w:val="0"/>
                <w:sz w:val="17"/>
              </w:rPr>
              <w:t>Fixed fee or time and materials; payment milestones</w:t>
            </w:r>
          </w:p>
        </w:tc>
      </w:tr>
      <w:tr>
        <w:trPr>
          <w:cantSplit/>
        </w:trPr>
        <w:tc>
          <w:tcPr>
            <w:tcW w:type="dxa" w:w="2232"/>
            <w:vAlign w:val="center"/>
            <w:tcMar>
              <w:top w:w="100" w:type="dxa"/>
              <w:start w:w="120" w:type="dxa"/>
              <w:bottom w:w="100" w:type="dxa"/>
              <w:end w:w="120" w:type="dxa"/>
            </w:tcMar>
          </w:tcPr>
          <w:p>
            <w:pPr>
              <w:spacing w:after="0"/>
            </w:pPr>
            <w:r/>
            <w:r>
              <w:rPr>
                <w:rFonts w:ascii="Aptos" w:hAnsi="Aptos"/>
                <w:b w:val="0"/>
                <w:sz w:val="17"/>
              </w:rPr>
              <w:t>Change control</w:t>
            </w:r>
          </w:p>
        </w:tc>
        <w:tc>
          <w:tcPr>
            <w:tcW w:type="dxa" w:w="7416"/>
            <w:vAlign w:val="center"/>
            <w:tcMar>
              <w:top w:w="100" w:type="dxa"/>
              <w:start w:w="120" w:type="dxa"/>
              <w:bottom w:w="100" w:type="dxa"/>
              <w:end w:w="120" w:type="dxa"/>
            </w:tcMar>
          </w:tcPr>
          <w:p>
            <w:pPr>
              <w:spacing w:after="0"/>
            </w:pPr>
            <w:r/>
            <w:r>
              <w:rPr>
                <w:rFonts w:ascii="Aptos" w:hAnsi="Aptos"/>
                <w:b w:val="0"/>
                <w:sz w:val="17"/>
              </w:rPr>
              <w:t>Written request, impact estimate, signed approval</w:t>
            </w:r>
          </w:p>
        </w:tc>
      </w:tr>
      <w:tr>
        <w:trPr>
          <w:cantSplit/>
        </w:trPr>
        <w:tc>
          <w:tcPr>
            <w:tcW w:type="dxa" w:w="2232"/>
            <w:shd w:fill="F6F9FC"/>
            <w:vAlign w:val="center"/>
            <w:tcMar>
              <w:top w:w="100" w:type="dxa"/>
              <w:start w:w="120" w:type="dxa"/>
              <w:bottom w:w="100" w:type="dxa"/>
              <w:end w:w="120" w:type="dxa"/>
            </w:tcMar>
          </w:tcPr>
          <w:p>
            <w:pPr>
              <w:spacing w:after="0"/>
            </w:pPr>
            <w:r/>
            <w:r>
              <w:rPr>
                <w:rFonts w:ascii="Aptos" w:hAnsi="Aptos"/>
                <w:b w:val="0"/>
                <w:sz w:val="17"/>
              </w:rPr>
              <w:t>Security</w:t>
            </w:r>
          </w:p>
        </w:tc>
        <w:tc>
          <w:tcPr>
            <w:tcW w:type="dxa" w:w="7416"/>
            <w:shd w:fill="F6F9FC"/>
            <w:vAlign w:val="center"/>
            <w:tcMar>
              <w:top w:w="100" w:type="dxa"/>
              <w:start w:w="120" w:type="dxa"/>
              <w:bottom w:w="100" w:type="dxa"/>
              <w:end w:w="120" w:type="dxa"/>
            </w:tcMar>
          </w:tcPr>
          <w:p>
            <w:pPr>
              <w:spacing w:after="0"/>
            </w:pPr>
            <w:r/>
            <w:r>
              <w:rPr>
                <w:rFonts w:ascii="Aptos" w:hAnsi="Aptos"/>
                <w:b w:val="0"/>
                <w:sz w:val="17"/>
              </w:rPr>
              <w:t>Approved transfer method; access removal; deletion of working copies</w:t>
            </w:r>
          </w:p>
        </w:tc>
      </w:tr>
      <w:tr>
        <w:trPr>
          <w:cantSplit/>
        </w:trPr>
        <w:tc>
          <w:tcPr>
            <w:tcW w:type="dxa" w:w="2232"/>
            <w:vAlign w:val="center"/>
            <w:tcMar>
              <w:top w:w="100" w:type="dxa"/>
              <w:start w:w="120" w:type="dxa"/>
              <w:bottom w:w="100" w:type="dxa"/>
              <w:end w:w="120" w:type="dxa"/>
            </w:tcMar>
          </w:tcPr>
          <w:p>
            <w:pPr>
              <w:spacing w:after="0"/>
            </w:pPr>
            <w:r/>
            <w:r>
              <w:rPr>
                <w:rFonts w:ascii="Aptos" w:hAnsi="Aptos"/>
                <w:b w:val="0"/>
                <w:sz w:val="17"/>
              </w:rPr>
              <w:t>Assumptions</w:t>
            </w:r>
          </w:p>
        </w:tc>
        <w:tc>
          <w:tcPr>
            <w:tcW w:type="dxa" w:w="7416"/>
            <w:vAlign w:val="center"/>
            <w:tcMar>
              <w:top w:w="100" w:type="dxa"/>
              <w:start w:w="120" w:type="dxa"/>
              <w:bottom w:w="100" w:type="dxa"/>
              <w:end w:w="120" w:type="dxa"/>
            </w:tcMar>
          </w:tcPr>
          <w:p>
            <w:pPr>
              <w:spacing w:after="0"/>
            </w:pPr>
            <w:r/>
            <w:r>
              <w:rPr>
                <w:rFonts w:ascii="Aptos" w:hAnsi="Aptos"/>
                <w:b w:val="0"/>
                <w:sz w:val="17"/>
              </w:rPr>
              <w:t>Data volume, format, quality, location count, availability of third parties</w:t>
            </w:r>
          </w:p>
        </w:tc>
      </w:tr>
    </w:tbl>
    <w:p>
      <w:pPr>
        <w:spacing w:after="0"/>
      </w:pPr>
    </w:p>
    <w:p>
      <w:pPr>
        <w:pStyle w:val="Heading1"/>
      </w:pPr>
      <w:r>
        <w:t>Data Processing/Security Exhibit — Minimum Topics</w:t>
      </w:r>
    </w:p>
    <w:p>
      <w:pPr>
        <w:pStyle w:val="ListBullet"/>
      </w:pPr>
      <w:r>
        <w:t>Party roles and processing instructions; categories of people and data; purpose and duration.</w:t>
      </w:r>
    </w:p>
    <w:p>
      <w:pPr>
        <w:pStyle w:val="ListBullet"/>
      </w:pPr>
      <w:r>
        <w:t>Confidentiality and workforce access controls.</w:t>
      </w:r>
    </w:p>
    <w:p>
      <w:pPr>
        <w:pStyle w:val="ListBullet"/>
      </w:pPr>
      <w:r>
        <w:t>Encryption, authentication, logging, vulnerability management, backups, restoration testing, and secure development.</w:t>
      </w:r>
    </w:p>
    <w:p>
      <w:pPr>
        <w:pStyle w:val="ListBullet"/>
      </w:pPr>
      <w:r>
        <w:t>Subprocessors and notice process.</w:t>
      </w:r>
    </w:p>
    <w:p>
      <w:pPr>
        <w:pStyle w:val="ListBullet"/>
      </w:pPr>
      <w:r>
        <w:t>Security-incident definition, investigation, cooperation, and notification timing.</w:t>
      </w:r>
    </w:p>
    <w:p>
      <w:pPr>
        <w:pStyle w:val="ListBullet"/>
      </w:pPr>
      <w:r>
        <w:t>Consumer/data-subject request assistance.</w:t>
      </w:r>
    </w:p>
    <w:p>
      <w:pPr>
        <w:pStyle w:val="ListBullet"/>
      </w:pPr>
      <w:r>
        <w:t>Return/deletion and backup retention.</w:t>
      </w:r>
    </w:p>
    <w:p>
      <w:pPr>
        <w:pStyle w:val="ListBullet"/>
      </w:pPr>
      <w:r>
        <w:t>Audit evidence and reasonable security questionnaire process.</w:t>
      </w:r>
    </w:p>
    <w:p>
      <w:pPr>
        <w:pStyle w:val="ListBullet"/>
      </w:pPr>
      <w:r>
        <w:t>Cross-border transfers, if applicable.</w:t>
      </w:r>
    </w:p>
    <w:p>
      <w:pPr>
        <w:pStyle w:val="ListBullet"/>
      </w:pPr>
      <w:r>
        <w:t>Prohibited data and Customer configuration responsibilities.</w:t>
      </w:r>
    </w:p>
    <w:p>
      <w:pPr>
        <w:pStyle w:val="Heading2"/>
      </w:pPr>
      <w:r>
        <w:t>Attorney review checklist</w:t>
      </w:r>
    </w:p>
    <w:p>
      <w:pPr>
        <w:pStyle w:val="ListBullet"/>
      </w:pPr>
      <w:r>
        <w:t>Insert correct Indraam entity, registered address, notice email, and signatory.</w:t>
      </w:r>
    </w:p>
    <w:p>
      <w:pPr>
        <w:pStyle w:val="ListBullet"/>
      </w:pPr>
      <w:r>
        <w:t>Confirm Massachusetts versus another governing law and venue.</w:t>
      </w:r>
    </w:p>
    <w:p>
      <w:pPr>
        <w:pStyle w:val="ListBullet"/>
      </w:pPr>
      <w:r>
        <w:t>Confirm renewal, cancellation, price-change, and checkout disclosures.</w:t>
      </w:r>
    </w:p>
    <w:p>
      <w:pPr>
        <w:pStyle w:val="ListBullet"/>
      </w:pPr>
      <w:r>
        <w:t>Review limitation of liability, indemnities, insurance, and security commitments against actual coverage.</w:t>
      </w:r>
    </w:p>
    <w:p>
      <w:pPr>
        <w:pStyle w:val="ListBullet"/>
      </w:pPr>
      <w:r>
        <w:t>Determine GLBA/Safeguards Rule status and contractual allocation.</w:t>
      </w:r>
    </w:p>
    <w:p>
      <w:pPr>
        <w:pStyle w:val="ListBullet"/>
      </w:pPr>
      <w:r>
        <w:t>Prepare Privacy Policy, DPA, AUP, cookie notice, and subprocessor list.</w:t>
      </w:r>
    </w:p>
    <w:p>
      <w:pPr>
        <w:pStyle w:val="ListBullet"/>
      </w:pPr>
      <w:r>
        <w:t>Confirm e-signature workflow and authority to sign.</w:t>
      </w:r>
    </w:p>
    <w:p>
      <w:pPr>
        <w:pStyle w:val="ListBullet"/>
      </w:pPr>
      <w:r>
        <w:t>Confirm whether state RMV forms/data or dealer licensing rules impose extra requirements.</w:t>
      </w:r>
    </w:p>
    <w:p>
      <w:pPr>
        <w:pStyle w:val="Heading1"/>
      </w:pPr>
      <w:r>
        <w:t>90-Day Launch Plan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12"/>
            <w:shd w:fill="102A43"/>
            <w:vAlign w:val="center"/>
            <w:tcMar>
              <w:top w:w="100" w:type="dxa"/>
              <w:start w:w="120" w:type="dxa"/>
              <w:bottom w:w="100" w:type="dxa"/>
              <w:end w:w="120" w:type="dxa"/>
            </w:tcMar>
          </w:tcPr>
          <w:p>
            <w:pPr>
              <w:spacing w:after="0"/>
            </w:pPr>
            <w:r/>
            <w:r>
              <w:rPr>
                <w:rFonts w:ascii="Aptos" w:hAnsi="Aptos"/>
                <w:b/>
                <w:color w:val="FFFFFF"/>
                <w:sz w:val="18"/>
              </w:rPr>
              <w:t>Timing</w:t>
            </w:r>
          </w:p>
        </w:tc>
        <w:tc>
          <w:tcPr>
            <w:tcW w:type="dxa" w:w="2952"/>
            <w:shd w:fill="102A43"/>
            <w:vAlign w:val="center"/>
            <w:tcMar>
              <w:top w:w="100" w:type="dxa"/>
              <w:start w:w="120" w:type="dxa"/>
              <w:bottom w:w="100" w:type="dxa"/>
              <w:end w:w="120" w:type="dxa"/>
            </w:tcMar>
          </w:tcPr>
          <w:p>
            <w:pPr>
              <w:spacing w:after="0"/>
            </w:pPr>
            <w:r/>
            <w:r>
              <w:rPr>
                <w:rFonts w:ascii="Aptos" w:hAnsi="Aptos"/>
                <w:b/>
                <w:color w:val="FFFFFF"/>
                <w:sz w:val="18"/>
              </w:rPr>
              <w:t>Commercial</w:t>
            </w:r>
          </w:p>
        </w:tc>
        <w:tc>
          <w:tcPr>
            <w:tcW w:type="dxa" w:w="3672"/>
            <w:shd w:fill="102A43"/>
            <w:vAlign w:val="center"/>
            <w:tcMar>
              <w:top w:w="100" w:type="dxa"/>
              <w:start w:w="120" w:type="dxa"/>
              <w:bottom w:w="100" w:type="dxa"/>
              <w:end w:w="120" w:type="dxa"/>
            </w:tcMar>
          </w:tcPr>
          <w:p>
            <w:pPr>
              <w:spacing w:after="0"/>
            </w:pPr>
            <w:r/>
            <w:r>
              <w:rPr>
                <w:rFonts w:ascii="Aptos" w:hAnsi="Aptos"/>
                <w:b/>
                <w:color w:val="FFFFFF"/>
                <w:sz w:val="18"/>
              </w:rPr>
              <w:t>Product/operations</w:t>
            </w:r>
          </w:p>
        </w:tc>
        <w:tc>
          <w:tcPr>
            <w:tcW w:type="dxa" w:w="2160"/>
            <w:shd w:fill="102A43"/>
            <w:vAlign w:val="center"/>
            <w:tcMar>
              <w:top w:w="100" w:type="dxa"/>
              <w:start w:w="120" w:type="dxa"/>
              <w:bottom w:w="100" w:type="dxa"/>
              <w:end w:w="120" w:type="dxa"/>
            </w:tcMar>
          </w:tcPr>
          <w:p>
            <w:pPr>
              <w:spacing w:after="0"/>
            </w:pPr>
            <w:r/>
            <w:r>
              <w:rPr>
                <w:rFonts w:ascii="Aptos" w:hAnsi="Aptos"/>
                <w:b/>
                <w:color w:val="FFFFFF"/>
                <w:sz w:val="18"/>
              </w:rPr>
              <w:t>Evidence</w:t>
            </w:r>
          </w:p>
        </w:tc>
      </w:tr>
      <w:tr>
        <w:trPr>
          <w:cantSplit/>
        </w:trPr>
        <w:tc>
          <w:tcPr>
            <w:tcW w:type="dxa" w:w="1512"/>
            <w:vAlign w:val="center"/>
            <w:tcMar>
              <w:top w:w="100" w:type="dxa"/>
              <w:start w:w="120" w:type="dxa"/>
              <w:bottom w:w="100" w:type="dxa"/>
              <w:end w:w="120" w:type="dxa"/>
            </w:tcMar>
          </w:tcPr>
          <w:p>
            <w:pPr>
              <w:spacing w:after="0"/>
            </w:pPr>
            <w:r/>
            <w:r>
              <w:rPr>
                <w:rFonts w:ascii="Aptos" w:hAnsi="Aptos"/>
                <w:b w:val="0"/>
                <w:sz w:val="17"/>
              </w:rPr>
              <w:t>Days 1–15</w:t>
            </w:r>
          </w:p>
        </w:tc>
        <w:tc>
          <w:tcPr>
            <w:tcW w:type="dxa" w:w="2952"/>
            <w:vAlign w:val="center"/>
            <w:tcMar>
              <w:top w:w="100" w:type="dxa"/>
              <w:start w:w="120" w:type="dxa"/>
              <w:bottom w:w="100" w:type="dxa"/>
              <w:end w:w="120" w:type="dxa"/>
            </w:tcMar>
          </w:tcPr>
          <w:p>
            <w:pPr>
              <w:spacing w:after="0"/>
            </w:pPr>
            <w:r/>
            <w:r>
              <w:rPr>
                <w:rFonts w:ascii="Aptos" w:hAnsi="Aptos"/>
                <w:b w:val="0"/>
                <w:sz w:val="17"/>
              </w:rPr>
              <w:t>Approve Model A; define discount authority</w:t>
            </w:r>
          </w:p>
        </w:tc>
        <w:tc>
          <w:tcPr>
            <w:tcW w:type="dxa" w:w="3672"/>
            <w:vAlign w:val="center"/>
            <w:tcMar>
              <w:top w:w="100" w:type="dxa"/>
              <w:start w:w="120" w:type="dxa"/>
              <w:bottom w:w="100" w:type="dxa"/>
              <w:end w:w="120" w:type="dxa"/>
            </w:tcMar>
          </w:tcPr>
          <w:p>
            <w:pPr>
              <w:spacing w:after="0"/>
            </w:pPr>
            <w:r/>
            <w:r>
              <w:rPr>
                <w:rFonts w:ascii="Aptos" w:hAnsi="Aptos"/>
                <w:b w:val="0"/>
                <w:sz w:val="17"/>
              </w:rPr>
              <w:t>Freeze production feature matrix; document limits</w:t>
            </w:r>
          </w:p>
        </w:tc>
        <w:tc>
          <w:tcPr>
            <w:tcW w:type="dxa" w:w="2160"/>
            <w:vAlign w:val="center"/>
            <w:tcMar>
              <w:top w:w="100" w:type="dxa"/>
              <w:start w:w="120" w:type="dxa"/>
              <w:bottom w:w="100" w:type="dxa"/>
              <w:end w:w="120" w:type="dxa"/>
            </w:tcMar>
          </w:tcPr>
          <w:p>
            <w:pPr>
              <w:spacing w:after="0"/>
            </w:pPr>
            <w:r/>
            <w:r>
              <w:rPr>
                <w:rFonts w:ascii="Aptos" w:hAnsi="Aptos"/>
                <w:b w:val="0"/>
                <w:sz w:val="17"/>
              </w:rPr>
              <w:t>Signed internal price sheet</w:t>
            </w:r>
          </w:p>
        </w:tc>
      </w:tr>
      <w:tr>
        <w:trPr>
          <w:cantSplit/>
        </w:trPr>
        <w:tc>
          <w:tcPr>
            <w:tcW w:type="dxa" w:w="1512"/>
            <w:shd w:fill="F6F9FC"/>
            <w:vAlign w:val="center"/>
            <w:tcMar>
              <w:top w:w="100" w:type="dxa"/>
              <w:start w:w="120" w:type="dxa"/>
              <w:bottom w:w="100" w:type="dxa"/>
              <w:end w:w="120" w:type="dxa"/>
            </w:tcMar>
          </w:tcPr>
          <w:p>
            <w:pPr>
              <w:spacing w:after="0"/>
            </w:pPr>
            <w:r/>
            <w:r>
              <w:rPr>
                <w:rFonts w:ascii="Aptos" w:hAnsi="Aptos"/>
                <w:b w:val="0"/>
                <w:sz w:val="17"/>
              </w:rPr>
              <w:t>Days 16–30</w:t>
            </w:r>
          </w:p>
        </w:tc>
        <w:tc>
          <w:tcPr>
            <w:tcW w:type="dxa" w:w="2952"/>
            <w:shd w:fill="F6F9FC"/>
            <w:vAlign w:val="center"/>
            <w:tcMar>
              <w:top w:w="100" w:type="dxa"/>
              <w:start w:w="120" w:type="dxa"/>
              <w:bottom w:w="100" w:type="dxa"/>
              <w:end w:w="120" w:type="dxa"/>
            </w:tcMar>
          </w:tcPr>
          <w:p>
            <w:pPr>
              <w:spacing w:after="0"/>
            </w:pPr>
            <w:r/>
            <w:r>
              <w:rPr>
                <w:rFonts w:ascii="Aptos" w:hAnsi="Aptos"/>
                <w:b w:val="0"/>
                <w:sz w:val="17"/>
              </w:rPr>
              <w:t>Pilot order form with one dealership</w:t>
            </w:r>
          </w:p>
        </w:tc>
        <w:tc>
          <w:tcPr>
            <w:tcW w:type="dxa" w:w="3672"/>
            <w:shd w:fill="F6F9FC"/>
            <w:vAlign w:val="center"/>
            <w:tcMar>
              <w:top w:w="100" w:type="dxa"/>
              <w:start w:w="120" w:type="dxa"/>
              <w:bottom w:w="100" w:type="dxa"/>
              <w:end w:w="120" w:type="dxa"/>
            </w:tcMar>
          </w:tcPr>
          <w:p>
            <w:pPr>
              <w:spacing w:after="0"/>
            </w:pPr>
            <w:r/>
            <w:r>
              <w:rPr>
                <w:rFonts w:ascii="Aptos" w:hAnsi="Aptos"/>
                <w:b w:val="0"/>
                <w:sz w:val="17"/>
              </w:rPr>
              <w:t>Complete security/backup/support fact sheet</w:t>
            </w:r>
          </w:p>
        </w:tc>
        <w:tc>
          <w:tcPr>
            <w:tcW w:type="dxa" w:w="2160"/>
            <w:shd w:fill="F6F9FC"/>
            <w:vAlign w:val="center"/>
            <w:tcMar>
              <w:top w:w="100" w:type="dxa"/>
              <w:start w:w="120" w:type="dxa"/>
              <w:bottom w:w="100" w:type="dxa"/>
              <w:end w:w="120" w:type="dxa"/>
            </w:tcMar>
          </w:tcPr>
          <w:p>
            <w:pPr>
              <w:spacing w:after="0"/>
            </w:pPr>
            <w:r/>
            <w:r>
              <w:rPr>
                <w:rFonts w:ascii="Aptos" w:hAnsi="Aptos"/>
                <w:b w:val="0"/>
                <w:sz w:val="17"/>
              </w:rPr>
              <w:t>Acceptance checklist + baseline metrics</w:t>
            </w:r>
          </w:p>
        </w:tc>
      </w:tr>
      <w:tr>
        <w:trPr>
          <w:cantSplit/>
        </w:trPr>
        <w:tc>
          <w:tcPr>
            <w:tcW w:type="dxa" w:w="1512"/>
            <w:vAlign w:val="center"/>
            <w:tcMar>
              <w:top w:w="100" w:type="dxa"/>
              <w:start w:w="120" w:type="dxa"/>
              <w:bottom w:w="100" w:type="dxa"/>
              <w:end w:w="120" w:type="dxa"/>
            </w:tcMar>
          </w:tcPr>
          <w:p>
            <w:pPr>
              <w:spacing w:after="0"/>
            </w:pPr>
            <w:r/>
            <w:r>
              <w:rPr>
                <w:rFonts w:ascii="Aptos" w:hAnsi="Aptos"/>
                <w:b w:val="0"/>
                <w:sz w:val="17"/>
              </w:rPr>
              <w:t>Days 31–45</w:t>
            </w:r>
          </w:p>
        </w:tc>
        <w:tc>
          <w:tcPr>
            <w:tcW w:type="dxa" w:w="2952"/>
            <w:vAlign w:val="center"/>
            <w:tcMar>
              <w:top w:w="100" w:type="dxa"/>
              <w:start w:w="120" w:type="dxa"/>
              <w:bottom w:w="100" w:type="dxa"/>
              <w:end w:w="120" w:type="dxa"/>
            </w:tcMar>
          </w:tcPr>
          <w:p>
            <w:pPr>
              <w:spacing w:after="0"/>
            </w:pPr>
            <w:r/>
            <w:r>
              <w:rPr>
                <w:rFonts w:ascii="Aptos" w:hAnsi="Aptos"/>
                <w:b w:val="0"/>
                <w:sz w:val="17"/>
              </w:rPr>
              <w:t>Publish pricing and book-demo flow</w:t>
            </w:r>
          </w:p>
        </w:tc>
        <w:tc>
          <w:tcPr>
            <w:tcW w:type="dxa" w:w="3672"/>
            <w:vAlign w:val="center"/>
            <w:tcMar>
              <w:top w:w="100" w:type="dxa"/>
              <w:start w:w="120" w:type="dxa"/>
              <w:bottom w:w="100" w:type="dxa"/>
              <w:end w:w="120" w:type="dxa"/>
            </w:tcMar>
          </w:tcPr>
          <w:p>
            <w:pPr>
              <w:spacing w:after="0"/>
            </w:pPr>
            <w:r/>
            <w:r>
              <w:rPr>
                <w:rFonts w:ascii="Aptos" w:hAnsi="Aptos"/>
                <w:b w:val="0"/>
                <w:sz w:val="17"/>
              </w:rPr>
              <w:t>Instrument inventory counts and tier alerts</w:t>
            </w:r>
          </w:p>
        </w:tc>
        <w:tc>
          <w:tcPr>
            <w:tcW w:type="dxa" w:w="2160"/>
            <w:vAlign w:val="center"/>
            <w:tcMar>
              <w:top w:w="100" w:type="dxa"/>
              <w:start w:w="120" w:type="dxa"/>
              <w:bottom w:w="100" w:type="dxa"/>
              <w:end w:w="120" w:type="dxa"/>
            </w:tcMar>
          </w:tcPr>
          <w:p>
            <w:pPr>
              <w:spacing w:after="0"/>
            </w:pPr>
            <w:r/>
            <w:r>
              <w:rPr>
                <w:rFonts w:ascii="Aptos" w:hAnsi="Aptos"/>
                <w:b w:val="0"/>
                <w:sz w:val="17"/>
              </w:rPr>
              <w:t>Usage dashboard</w:t>
            </w:r>
          </w:p>
        </w:tc>
      </w:tr>
      <w:tr>
        <w:trPr>
          <w:cantSplit/>
        </w:trPr>
        <w:tc>
          <w:tcPr>
            <w:tcW w:type="dxa" w:w="1512"/>
            <w:shd w:fill="F6F9FC"/>
            <w:vAlign w:val="center"/>
            <w:tcMar>
              <w:top w:w="100" w:type="dxa"/>
              <w:start w:w="120" w:type="dxa"/>
              <w:bottom w:w="100" w:type="dxa"/>
              <w:end w:w="120" w:type="dxa"/>
            </w:tcMar>
          </w:tcPr>
          <w:p>
            <w:pPr>
              <w:spacing w:after="0"/>
            </w:pPr>
            <w:r/>
            <w:r>
              <w:rPr>
                <w:rFonts w:ascii="Aptos" w:hAnsi="Aptos"/>
                <w:b w:val="0"/>
                <w:sz w:val="17"/>
              </w:rPr>
              <w:t>Days 46–60</w:t>
            </w:r>
          </w:p>
        </w:tc>
        <w:tc>
          <w:tcPr>
            <w:tcW w:type="dxa" w:w="2952"/>
            <w:shd w:fill="F6F9FC"/>
            <w:vAlign w:val="center"/>
            <w:tcMar>
              <w:top w:w="100" w:type="dxa"/>
              <w:start w:w="120" w:type="dxa"/>
              <w:bottom w:w="100" w:type="dxa"/>
              <w:end w:w="120" w:type="dxa"/>
            </w:tcMar>
          </w:tcPr>
          <w:p>
            <w:pPr>
              <w:spacing w:after="0"/>
            </w:pPr>
            <w:r/>
            <w:r>
              <w:rPr>
                <w:rFonts w:ascii="Aptos" w:hAnsi="Aptos"/>
                <w:b w:val="0"/>
                <w:sz w:val="17"/>
              </w:rPr>
              <w:t>Create demo script and objection guide</w:t>
            </w:r>
          </w:p>
        </w:tc>
        <w:tc>
          <w:tcPr>
            <w:tcW w:type="dxa" w:w="3672"/>
            <w:shd w:fill="F6F9FC"/>
            <w:vAlign w:val="center"/>
            <w:tcMar>
              <w:top w:w="100" w:type="dxa"/>
              <w:start w:w="120" w:type="dxa"/>
              <w:bottom w:w="100" w:type="dxa"/>
              <w:end w:w="120" w:type="dxa"/>
            </w:tcMar>
          </w:tcPr>
          <w:p>
            <w:pPr>
              <w:spacing w:after="0"/>
            </w:pPr>
            <w:r/>
            <w:r>
              <w:rPr>
                <w:rFonts w:ascii="Aptos" w:hAnsi="Aptos"/>
                <w:b w:val="0"/>
                <w:sz w:val="17"/>
              </w:rPr>
              <w:t>Standardize migration and templates</w:t>
            </w:r>
          </w:p>
        </w:tc>
        <w:tc>
          <w:tcPr>
            <w:tcW w:type="dxa" w:w="2160"/>
            <w:shd w:fill="F6F9FC"/>
            <w:vAlign w:val="center"/>
            <w:tcMar>
              <w:top w:w="100" w:type="dxa"/>
              <w:start w:w="120" w:type="dxa"/>
              <w:bottom w:w="100" w:type="dxa"/>
              <w:end w:w="120" w:type="dxa"/>
            </w:tcMar>
          </w:tcPr>
          <w:p>
            <w:pPr>
              <w:spacing w:after="0"/>
            </w:pPr>
            <w:r/>
            <w:r>
              <w:rPr>
                <w:rFonts w:ascii="Aptos" w:hAnsi="Aptos"/>
                <w:b w:val="0"/>
                <w:sz w:val="17"/>
              </w:rPr>
              <w:t>Pilot testimonial with permission</w:t>
            </w:r>
          </w:p>
        </w:tc>
      </w:tr>
      <w:tr>
        <w:trPr>
          <w:cantSplit/>
        </w:trPr>
        <w:tc>
          <w:tcPr>
            <w:tcW w:type="dxa" w:w="1512"/>
            <w:vAlign w:val="center"/>
            <w:tcMar>
              <w:top w:w="100" w:type="dxa"/>
              <w:start w:w="120" w:type="dxa"/>
              <w:bottom w:w="100" w:type="dxa"/>
              <w:end w:w="120" w:type="dxa"/>
            </w:tcMar>
          </w:tcPr>
          <w:p>
            <w:pPr>
              <w:spacing w:after="0"/>
            </w:pPr>
            <w:r/>
            <w:r>
              <w:rPr>
                <w:rFonts w:ascii="Aptos" w:hAnsi="Aptos"/>
                <w:b w:val="0"/>
                <w:sz w:val="17"/>
              </w:rPr>
              <w:t>Days 61–75</w:t>
            </w:r>
          </w:p>
        </w:tc>
        <w:tc>
          <w:tcPr>
            <w:tcW w:type="dxa" w:w="2952"/>
            <w:vAlign w:val="center"/>
            <w:tcMar>
              <w:top w:w="100" w:type="dxa"/>
              <w:start w:w="120" w:type="dxa"/>
              <w:bottom w:w="100" w:type="dxa"/>
              <w:end w:w="120" w:type="dxa"/>
            </w:tcMar>
          </w:tcPr>
          <w:p>
            <w:pPr>
              <w:spacing w:after="0"/>
            </w:pPr>
            <w:r/>
            <w:r>
              <w:rPr>
                <w:rFonts w:ascii="Aptos" w:hAnsi="Aptos"/>
                <w:b w:val="0"/>
                <w:sz w:val="17"/>
              </w:rPr>
              <w:t>Launch annual option and referrals</w:t>
            </w:r>
          </w:p>
        </w:tc>
        <w:tc>
          <w:tcPr>
            <w:tcW w:type="dxa" w:w="3672"/>
            <w:vAlign w:val="center"/>
            <w:tcMar>
              <w:top w:w="100" w:type="dxa"/>
              <w:start w:w="120" w:type="dxa"/>
              <w:bottom w:w="100" w:type="dxa"/>
              <w:end w:w="120" w:type="dxa"/>
            </w:tcMar>
          </w:tcPr>
          <w:p>
            <w:pPr>
              <w:spacing w:after="0"/>
            </w:pPr>
            <w:r/>
            <w:r>
              <w:rPr>
                <w:rFonts w:ascii="Aptos" w:hAnsi="Aptos"/>
                <w:b w:val="0"/>
                <w:sz w:val="17"/>
              </w:rPr>
              <w:t>Add in-app plan/usage view</w:t>
            </w:r>
          </w:p>
        </w:tc>
        <w:tc>
          <w:tcPr>
            <w:tcW w:type="dxa" w:w="2160"/>
            <w:vAlign w:val="center"/>
            <w:tcMar>
              <w:top w:w="100" w:type="dxa"/>
              <w:start w:w="120" w:type="dxa"/>
              <w:bottom w:w="100" w:type="dxa"/>
              <w:end w:w="120" w:type="dxa"/>
            </w:tcMar>
          </w:tcPr>
          <w:p>
            <w:pPr>
              <w:spacing w:after="0"/>
            </w:pPr>
            <w:r/>
            <w:r>
              <w:rPr>
                <w:rFonts w:ascii="Aptos" w:hAnsi="Aptos"/>
                <w:b w:val="0"/>
                <w:sz w:val="17"/>
              </w:rPr>
              <w:t>Conversion and onboarding metrics</w:t>
            </w:r>
          </w:p>
        </w:tc>
      </w:tr>
      <w:tr>
        <w:trPr>
          <w:cantSplit/>
        </w:trPr>
        <w:tc>
          <w:tcPr>
            <w:tcW w:type="dxa" w:w="1512"/>
            <w:shd w:fill="F6F9FC"/>
            <w:vAlign w:val="center"/>
            <w:tcMar>
              <w:top w:w="100" w:type="dxa"/>
              <w:start w:w="120" w:type="dxa"/>
              <w:bottom w:w="100" w:type="dxa"/>
              <w:end w:w="120" w:type="dxa"/>
            </w:tcMar>
          </w:tcPr>
          <w:p>
            <w:pPr>
              <w:spacing w:after="0"/>
            </w:pPr>
            <w:r/>
            <w:r>
              <w:rPr>
                <w:rFonts w:ascii="Aptos" w:hAnsi="Aptos"/>
                <w:b w:val="0"/>
                <w:sz w:val="17"/>
              </w:rPr>
              <w:t>Days 76–90</w:t>
            </w:r>
          </w:p>
        </w:tc>
        <w:tc>
          <w:tcPr>
            <w:tcW w:type="dxa" w:w="2952"/>
            <w:shd w:fill="F6F9FC"/>
            <w:vAlign w:val="center"/>
            <w:tcMar>
              <w:top w:w="100" w:type="dxa"/>
              <w:start w:w="120" w:type="dxa"/>
              <w:bottom w:w="100" w:type="dxa"/>
              <w:end w:w="120" w:type="dxa"/>
            </w:tcMar>
          </w:tcPr>
          <w:p>
            <w:pPr>
              <w:spacing w:after="0"/>
            </w:pPr>
            <w:r/>
            <w:r>
              <w:rPr>
                <w:rFonts w:ascii="Aptos" w:hAnsi="Aptos"/>
                <w:b w:val="0"/>
                <w:sz w:val="17"/>
              </w:rPr>
              <w:t>Review win/loss and pricing</w:t>
            </w:r>
          </w:p>
        </w:tc>
        <w:tc>
          <w:tcPr>
            <w:tcW w:type="dxa" w:w="3672"/>
            <w:shd w:fill="F6F9FC"/>
            <w:vAlign w:val="center"/>
            <w:tcMar>
              <w:top w:w="100" w:type="dxa"/>
              <w:start w:w="120" w:type="dxa"/>
              <w:bottom w:w="100" w:type="dxa"/>
              <w:end w:w="120" w:type="dxa"/>
            </w:tcMar>
          </w:tcPr>
          <w:p>
            <w:pPr>
              <w:spacing w:after="0"/>
            </w:pPr>
            <w:r/>
            <w:r>
              <w:rPr>
                <w:rFonts w:ascii="Aptos" w:hAnsi="Aptos"/>
                <w:b w:val="0"/>
                <w:sz w:val="17"/>
              </w:rPr>
              <w:t>Fix highest-volume support causes</w:t>
            </w:r>
          </w:p>
        </w:tc>
        <w:tc>
          <w:tcPr>
            <w:tcW w:type="dxa" w:w="2160"/>
            <w:shd w:fill="F6F9FC"/>
            <w:vAlign w:val="center"/>
            <w:tcMar>
              <w:top w:w="100" w:type="dxa"/>
              <w:start w:w="120" w:type="dxa"/>
              <w:bottom w:w="100" w:type="dxa"/>
              <w:end w:w="120" w:type="dxa"/>
            </w:tcMar>
          </w:tcPr>
          <w:p>
            <w:pPr>
              <w:spacing w:after="0"/>
            </w:pPr>
            <w:r/>
            <w:r>
              <w:rPr>
                <w:rFonts w:ascii="Aptos" w:hAnsi="Aptos"/>
                <w:b w:val="0"/>
                <w:sz w:val="17"/>
              </w:rPr>
              <w:t>Case study and revised roadmap</w:t>
            </w:r>
          </w:p>
        </w:tc>
      </w:tr>
    </w:tbl>
    <w:p>
      <w:pPr>
        <w:spacing w:after="0"/>
      </w:pPr>
    </w:p>
    <w:p>
      <w:pPr>
        <w:pStyle w:val="Heading2"/>
      </w:pPr>
      <w:r>
        <w:t>Metrics to track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02A43"/>
            <w:vAlign w:val="center"/>
            <w:tcMar>
              <w:top w:w="100" w:type="dxa"/>
              <w:start w:w="120" w:type="dxa"/>
              <w:bottom w:w="100" w:type="dxa"/>
              <w:end w:w="120" w:type="dxa"/>
            </w:tcMar>
          </w:tcPr>
          <w:p>
            <w:pPr>
              <w:spacing w:after="0"/>
            </w:pPr>
            <w:r/>
            <w:r>
              <w:rPr>
                <w:rFonts w:ascii="Aptos" w:hAnsi="Aptos"/>
                <w:b/>
                <w:color w:val="FFFFFF"/>
                <w:sz w:val="18"/>
              </w:rPr>
              <w:t>Metric</w:t>
            </w:r>
          </w:p>
        </w:tc>
        <w:tc>
          <w:tcPr>
            <w:tcW w:type="dxa" w:w="3389"/>
            <w:shd w:fill="102A43"/>
            <w:vAlign w:val="center"/>
            <w:tcMar>
              <w:top w:w="100" w:type="dxa"/>
              <w:start w:w="120" w:type="dxa"/>
              <w:bottom w:w="100" w:type="dxa"/>
              <w:end w:w="120" w:type="dxa"/>
            </w:tcMar>
          </w:tcPr>
          <w:p>
            <w:pPr>
              <w:spacing w:after="0"/>
            </w:pPr>
            <w:r/>
            <w:r>
              <w:rPr>
                <w:rFonts w:ascii="Aptos" w:hAnsi="Aptos"/>
                <w:b/>
                <w:color w:val="FFFFFF"/>
                <w:sz w:val="18"/>
              </w:rPr>
              <w:t>Definition</w:t>
            </w:r>
          </w:p>
        </w:tc>
        <w:tc>
          <w:tcPr>
            <w:tcW w:type="dxa" w:w="3389"/>
            <w:shd w:fill="102A43"/>
            <w:vAlign w:val="center"/>
            <w:tcMar>
              <w:top w:w="100" w:type="dxa"/>
              <w:start w:w="120" w:type="dxa"/>
              <w:bottom w:w="100" w:type="dxa"/>
              <w:end w:w="120" w:type="dxa"/>
            </w:tcMar>
          </w:tcPr>
          <w:p>
            <w:pPr>
              <w:spacing w:after="0"/>
            </w:pPr>
            <w:r/>
            <w:r>
              <w:rPr>
                <w:rFonts w:ascii="Aptos" w:hAnsi="Aptos"/>
                <w:b/>
                <w:color w:val="FFFFFF"/>
                <w:sz w:val="18"/>
              </w:rPr>
              <w:t>Initial target</w:t>
            </w:r>
          </w:p>
        </w:tc>
      </w:tr>
      <w:tr>
        <w:trPr>
          <w:cantSplit/>
        </w:trPr>
        <w:tc>
          <w:tcPr>
            <w:tcW w:type="dxa" w:w="3389"/>
            <w:vAlign w:val="center"/>
            <w:tcMar>
              <w:top w:w="100" w:type="dxa"/>
              <w:start w:w="120" w:type="dxa"/>
              <w:bottom w:w="100" w:type="dxa"/>
              <w:end w:w="120" w:type="dxa"/>
            </w:tcMar>
          </w:tcPr>
          <w:p>
            <w:pPr>
              <w:spacing w:after="0"/>
            </w:pPr>
            <w:r/>
            <w:r>
              <w:rPr>
                <w:rFonts w:ascii="Aptos" w:hAnsi="Aptos"/>
                <w:b w:val="0"/>
                <w:sz w:val="17"/>
              </w:rPr>
              <w:t>Demo-to-close</w:t>
            </w:r>
          </w:p>
        </w:tc>
        <w:tc>
          <w:tcPr>
            <w:tcW w:type="dxa" w:w="3389"/>
            <w:vAlign w:val="center"/>
            <w:tcMar>
              <w:top w:w="100" w:type="dxa"/>
              <w:start w:w="120" w:type="dxa"/>
              <w:bottom w:w="100" w:type="dxa"/>
              <w:end w:w="120" w:type="dxa"/>
            </w:tcMar>
          </w:tcPr>
          <w:p>
            <w:pPr>
              <w:spacing w:after="0"/>
            </w:pPr>
            <w:r/>
            <w:r>
              <w:rPr>
                <w:rFonts w:ascii="Aptos" w:hAnsi="Aptos"/>
                <w:b w:val="0"/>
                <w:sz w:val="17"/>
              </w:rPr>
              <w:t>New customers ÷ qualified demos</w:t>
            </w:r>
          </w:p>
        </w:tc>
        <w:tc>
          <w:tcPr>
            <w:tcW w:type="dxa" w:w="3389"/>
            <w:vAlign w:val="center"/>
            <w:tcMar>
              <w:top w:w="100" w:type="dxa"/>
              <w:start w:w="120" w:type="dxa"/>
              <w:bottom w:w="100" w:type="dxa"/>
              <w:end w:w="120" w:type="dxa"/>
            </w:tcMar>
          </w:tcPr>
          <w:p>
            <w:pPr>
              <w:spacing w:after="0"/>
            </w:pPr>
            <w:r/>
            <w:r>
              <w:rPr>
                <w:rFonts w:ascii="Aptos" w:hAnsi="Aptos"/>
                <w:b w:val="0"/>
                <w:sz w:val="17"/>
              </w:rPr>
              <w:t>Establish baseline; then improve</w:t>
            </w:r>
          </w:p>
        </w:tc>
      </w:tr>
      <w:tr>
        <w:trPr>
          <w:cantSplit/>
        </w:trPr>
        <w:tc>
          <w:tcPr>
            <w:tcW w:type="dxa" w:w="3389"/>
            <w:shd w:fill="F6F9FC"/>
            <w:vAlign w:val="center"/>
            <w:tcMar>
              <w:top w:w="100" w:type="dxa"/>
              <w:start w:w="120" w:type="dxa"/>
              <w:bottom w:w="100" w:type="dxa"/>
              <w:end w:w="120" w:type="dxa"/>
            </w:tcMar>
          </w:tcPr>
          <w:p>
            <w:pPr>
              <w:spacing w:after="0"/>
            </w:pPr>
            <w:r/>
            <w:r>
              <w:rPr>
                <w:rFonts w:ascii="Aptos" w:hAnsi="Aptos"/>
                <w:b w:val="0"/>
                <w:sz w:val="17"/>
              </w:rPr>
              <w:t>Time to go-live</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Signed order to accepted launch</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 14 business days for standard setup</w:t>
            </w:r>
          </w:p>
        </w:tc>
      </w:tr>
      <w:tr>
        <w:trPr>
          <w:cantSplit/>
        </w:trPr>
        <w:tc>
          <w:tcPr>
            <w:tcW w:type="dxa" w:w="3389"/>
            <w:vAlign w:val="center"/>
            <w:tcMar>
              <w:top w:w="100" w:type="dxa"/>
              <w:start w:w="120" w:type="dxa"/>
              <w:bottom w:w="100" w:type="dxa"/>
              <w:end w:w="120" w:type="dxa"/>
            </w:tcMar>
          </w:tcPr>
          <w:p>
            <w:pPr>
              <w:spacing w:after="0"/>
            </w:pPr>
            <w:r/>
            <w:r>
              <w:rPr>
                <w:rFonts w:ascii="Aptos" w:hAnsi="Aptos"/>
                <w:b w:val="0"/>
                <w:sz w:val="17"/>
              </w:rPr>
              <w:t>Migration accuracy</w:t>
            </w:r>
          </w:p>
        </w:tc>
        <w:tc>
          <w:tcPr>
            <w:tcW w:type="dxa" w:w="3389"/>
            <w:vAlign w:val="center"/>
            <w:tcMar>
              <w:top w:w="100" w:type="dxa"/>
              <w:start w:w="120" w:type="dxa"/>
              <w:bottom w:w="100" w:type="dxa"/>
              <w:end w:w="120" w:type="dxa"/>
            </w:tcMar>
          </w:tcPr>
          <w:p>
            <w:pPr>
              <w:spacing w:after="0"/>
            </w:pPr>
            <w:r/>
            <w:r>
              <w:rPr>
                <w:rFonts w:ascii="Aptos" w:hAnsi="Aptos"/>
                <w:b w:val="0"/>
                <w:sz w:val="17"/>
              </w:rPr>
              <w:t>Matched valid records ÷ source valid records</w:t>
            </w:r>
          </w:p>
        </w:tc>
        <w:tc>
          <w:tcPr>
            <w:tcW w:type="dxa" w:w="3389"/>
            <w:vAlign w:val="center"/>
            <w:tcMar>
              <w:top w:w="100" w:type="dxa"/>
              <w:start w:w="120" w:type="dxa"/>
              <w:bottom w:w="100" w:type="dxa"/>
              <w:end w:w="120" w:type="dxa"/>
            </w:tcMar>
          </w:tcPr>
          <w:p>
            <w:pPr>
              <w:spacing w:after="0"/>
            </w:pPr>
            <w:r/>
            <w:r>
              <w:rPr>
                <w:rFonts w:ascii="Aptos" w:hAnsi="Aptos"/>
                <w:b w:val="0"/>
                <w:sz w:val="17"/>
              </w:rPr>
              <w:t>≥ 99% for agreed fields</w:t>
            </w:r>
          </w:p>
        </w:tc>
      </w:tr>
      <w:tr>
        <w:trPr>
          <w:cantSplit/>
        </w:trPr>
        <w:tc>
          <w:tcPr>
            <w:tcW w:type="dxa" w:w="3389"/>
            <w:shd w:fill="F6F9FC"/>
            <w:vAlign w:val="center"/>
            <w:tcMar>
              <w:top w:w="100" w:type="dxa"/>
              <w:start w:w="120" w:type="dxa"/>
              <w:bottom w:w="100" w:type="dxa"/>
              <w:end w:w="120" w:type="dxa"/>
            </w:tcMar>
          </w:tcPr>
          <w:p>
            <w:pPr>
              <w:spacing w:after="0"/>
            </w:pPr>
            <w:r/>
            <w:r>
              <w:rPr>
                <w:rFonts w:ascii="Aptos" w:hAnsi="Aptos"/>
                <w:b w:val="0"/>
                <w:sz w:val="17"/>
              </w:rPr>
              <w:t>30-day active usage</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Accounts with weekly core action</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 80%</w:t>
            </w:r>
          </w:p>
        </w:tc>
      </w:tr>
      <w:tr>
        <w:trPr>
          <w:cantSplit/>
        </w:trPr>
        <w:tc>
          <w:tcPr>
            <w:tcW w:type="dxa" w:w="3389"/>
            <w:vAlign w:val="center"/>
            <w:tcMar>
              <w:top w:w="100" w:type="dxa"/>
              <w:start w:w="120" w:type="dxa"/>
              <w:bottom w:w="100" w:type="dxa"/>
              <w:end w:w="120" w:type="dxa"/>
            </w:tcMar>
          </w:tcPr>
          <w:p>
            <w:pPr>
              <w:spacing w:after="0"/>
            </w:pPr>
            <w:r/>
            <w:r>
              <w:rPr>
                <w:rFonts w:ascii="Aptos" w:hAnsi="Aptos"/>
                <w:b w:val="0"/>
                <w:sz w:val="17"/>
              </w:rPr>
              <w:t>Monthly logo churn</w:t>
            </w:r>
          </w:p>
        </w:tc>
        <w:tc>
          <w:tcPr>
            <w:tcW w:type="dxa" w:w="3389"/>
            <w:vAlign w:val="center"/>
            <w:tcMar>
              <w:top w:w="100" w:type="dxa"/>
              <w:start w:w="120" w:type="dxa"/>
              <w:bottom w:w="100" w:type="dxa"/>
              <w:end w:w="120" w:type="dxa"/>
            </w:tcMar>
          </w:tcPr>
          <w:p>
            <w:pPr>
              <w:spacing w:after="0"/>
            </w:pPr>
            <w:r/>
            <w:r>
              <w:rPr>
                <w:rFonts w:ascii="Aptos" w:hAnsi="Aptos"/>
                <w:b w:val="0"/>
                <w:sz w:val="17"/>
              </w:rPr>
              <w:t>Customers lost ÷ opening customers</w:t>
            </w:r>
          </w:p>
        </w:tc>
        <w:tc>
          <w:tcPr>
            <w:tcW w:type="dxa" w:w="3389"/>
            <w:vAlign w:val="center"/>
            <w:tcMar>
              <w:top w:w="100" w:type="dxa"/>
              <w:start w:w="120" w:type="dxa"/>
              <w:bottom w:w="100" w:type="dxa"/>
              <w:end w:w="120" w:type="dxa"/>
            </w:tcMar>
          </w:tcPr>
          <w:p>
            <w:pPr>
              <w:spacing w:after="0"/>
            </w:pPr>
            <w:r/>
            <w:r>
              <w:rPr>
                <w:rFonts w:ascii="Aptos" w:hAnsi="Aptos"/>
                <w:b w:val="0"/>
                <w:sz w:val="17"/>
              </w:rPr>
              <w:t>&lt; 3% after product-market fit</w:t>
            </w:r>
          </w:p>
        </w:tc>
      </w:tr>
      <w:tr>
        <w:trPr>
          <w:cantSplit/>
        </w:trPr>
        <w:tc>
          <w:tcPr>
            <w:tcW w:type="dxa" w:w="3389"/>
            <w:shd w:fill="F6F9FC"/>
            <w:vAlign w:val="center"/>
            <w:tcMar>
              <w:top w:w="100" w:type="dxa"/>
              <w:start w:w="120" w:type="dxa"/>
              <w:bottom w:w="100" w:type="dxa"/>
              <w:end w:w="120" w:type="dxa"/>
            </w:tcMar>
          </w:tcPr>
          <w:p>
            <w:pPr>
              <w:spacing w:after="0"/>
            </w:pPr>
            <w:r/>
            <w:r>
              <w:rPr>
                <w:rFonts w:ascii="Aptos" w:hAnsi="Aptos"/>
                <w:b w:val="0"/>
                <w:sz w:val="17"/>
              </w:rPr>
              <w:t>Gross margin</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(Revenue − direct service costs) ÷ revenue</w:t>
            </w:r>
          </w:p>
        </w:tc>
        <w:tc>
          <w:tcPr>
            <w:tcW w:type="dxa" w:w="3389"/>
            <w:shd w:fill="F6F9FC"/>
            <w:vAlign w:val="center"/>
            <w:tcMar>
              <w:top w:w="100" w:type="dxa"/>
              <w:start w:w="120" w:type="dxa"/>
              <w:bottom w:w="100" w:type="dxa"/>
              <w:end w:w="120" w:type="dxa"/>
            </w:tcMar>
          </w:tcPr>
          <w:p>
            <w:pPr>
              <w:spacing w:after="0"/>
            </w:pPr>
            <w:r/>
            <w:r>
              <w:rPr>
                <w:rFonts w:ascii="Aptos" w:hAnsi="Aptos"/>
                <w:b w:val="0"/>
                <w:sz w:val="17"/>
              </w:rPr>
              <w:t>Track before promising heavy support</w:t>
            </w:r>
          </w:p>
        </w:tc>
      </w:tr>
      <w:tr>
        <w:trPr>
          <w:cantSplit/>
        </w:trPr>
        <w:tc>
          <w:tcPr>
            <w:tcW w:type="dxa" w:w="3389"/>
            <w:vAlign w:val="center"/>
            <w:tcMar>
              <w:top w:w="100" w:type="dxa"/>
              <w:start w:w="120" w:type="dxa"/>
              <w:bottom w:w="100" w:type="dxa"/>
              <w:end w:w="120" w:type="dxa"/>
            </w:tcMar>
          </w:tcPr>
          <w:p>
            <w:pPr>
              <w:spacing w:after="0"/>
            </w:pPr>
            <w:r/>
            <w:r>
              <w:rPr>
                <w:rFonts w:ascii="Aptos" w:hAnsi="Aptos"/>
                <w:b w:val="0"/>
                <w:sz w:val="17"/>
              </w:rPr>
              <w:t>Support first response</w:t>
            </w:r>
          </w:p>
        </w:tc>
        <w:tc>
          <w:tcPr>
            <w:tcW w:type="dxa" w:w="3389"/>
            <w:vAlign w:val="center"/>
            <w:tcMar>
              <w:top w:w="100" w:type="dxa"/>
              <w:start w:w="120" w:type="dxa"/>
              <w:bottom w:w="100" w:type="dxa"/>
              <w:end w:w="120" w:type="dxa"/>
            </w:tcMar>
          </w:tcPr>
          <w:p>
            <w:pPr>
              <w:spacing w:after="0"/>
            </w:pPr>
            <w:r/>
            <w:r>
              <w:rPr>
                <w:rFonts w:ascii="Aptos" w:hAnsi="Aptos"/>
                <w:b w:val="0"/>
                <w:sz w:val="17"/>
              </w:rPr>
              <w:t>Time from ticket to first human response</w:t>
            </w:r>
          </w:p>
        </w:tc>
        <w:tc>
          <w:tcPr>
            <w:tcW w:type="dxa" w:w="3389"/>
            <w:vAlign w:val="center"/>
            <w:tcMar>
              <w:top w:w="100" w:type="dxa"/>
              <w:start w:w="120" w:type="dxa"/>
              <w:bottom w:w="100" w:type="dxa"/>
              <w:end w:w="120" w:type="dxa"/>
            </w:tcMar>
          </w:tcPr>
          <w:p>
            <w:pPr>
              <w:spacing w:after="0"/>
            </w:pPr>
            <w:r/>
            <w:r>
              <w:rPr>
                <w:rFonts w:ascii="Aptos" w:hAnsi="Aptos"/>
                <w:b w:val="0"/>
                <w:sz w:val="17"/>
              </w:rPr>
              <w:t>By plan SLA</w:t>
            </w:r>
          </w:p>
        </w:tc>
      </w:tr>
    </w:tbl>
    <w:p>
      <w:pPr>
        <w:spacing w:after="0"/>
      </w:pPr>
    </w:p>
    <w:p>
      <w:pPr>
        <w:pStyle w:val="Heading2"/>
      </w:pPr>
      <w:r>
        <w:t>Final product decisions required before publishing</w:t>
      </w:r>
    </w:p>
    <w:p>
      <w:r>
        <w:t>1. Confirm which features are live today.</w:t>
      </w:r>
    </w:p>
    <w:p>
      <w:r>
        <w:t>2. Confirm the legal entity and billing address.</w:t>
      </w:r>
    </w:p>
    <w:p>
      <w:r>
        <w:t>3. Confirm the true support capacity and availability monitoring.</w:t>
      </w:r>
    </w:p>
    <w:p>
      <w:r>
        <w:t>4. Confirm included OCR volume and actual unit cost.</w:t>
      </w:r>
    </w:p>
    <w:p>
      <w:r>
        <w:t>5. Confirm whether integrations and document forms are licensed and supported.</w:t>
      </w:r>
    </w:p>
    <w:p>
      <w:r>
        <w:t>6. Confirm data-security controls and prohibited data.</w:t>
      </w:r>
    </w:p>
    <w:p>
      <w:r>
        <w:t>7. Have counsel approve the contract and website checkout language.</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C6275"/>
        <w:sz w:val="16"/>
      </w:rPr>
      <w:t xml:space="preserve">DealerOS • Commercial Package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ptos" w:hAnsi="Aptos"/>
      <w:color w:val="102A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7F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A6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DealerOS Commercial Pricing and Agreement Package</dc:title>
  <dc:subject>Pricing, website copy, SaaS agreement, order form, and launch plan</dc:subject>
  <dc:creator>Indraam</dc:creator>
  <cp:keywords/>
  <dc:description>generated by python-docx</dc:description>
  <cp:lastModifiedBy/>
  <cp:revision>1</cp:revision>
  <dcterms:created xsi:type="dcterms:W3CDTF">2013-12-23T23:15:00Z</dcterms:created>
  <dcterms:modified xsi:type="dcterms:W3CDTF">2013-12-23T23:15:00Z</dcterms:modified>
  <cp:category/>
</cp:coreProperties>
</file>