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b/>
          <w:color w:val="355DB7"/>
          <w:sz w:val="68"/>
        </w:rPr>
        <w:t>EKAGRAM</w:t>
      </w:r>
    </w:p>
    <w:p>
      <w:pPr>
        <w:jc w:val="center"/>
      </w:pPr>
      <w:r>
        <w:rPr>
          <w:b/>
          <w:color w:val="101923"/>
          <w:sz w:val="40"/>
        </w:rPr>
        <w:t>Logo System &amp; Brand Asset Documentation</w:t>
      </w:r>
    </w:p>
    <w:p>
      <w:pPr>
        <w:jc w:val="center"/>
      </w:pPr>
      <w:r>
        <w:rPr>
          <w:color w:val="5E6B76"/>
          <w:sz w:val="22"/>
        </w:rPr>
        <w:t>Dark-mode-first modular identity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01923"/>
          </w:tcPr>
          <w:p>
            <w:pPr>
              <w:jc w:val="center"/>
            </w:pPr>
            <w:r>
              <w:rPr>
                <w:b/>
                <w:color w:val="F8F9FB"/>
                <w:sz w:val="16"/>
              </w:rPr>
              <w:t>Charcoal Navy</w:t>
              <w:br/>
              <w:t>#101923</w:t>
            </w:r>
          </w:p>
        </w:tc>
        <w:tc>
          <w:tcPr>
            <w:tcW w:type="dxa" w:w="2556"/>
            <w:shd w:fill="355DB7"/>
          </w:tcPr>
          <w:p>
            <w:pPr>
              <w:jc w:val="center"/>
            </w:pPr>
            <w:r>
              <w:rPr>
                <w:b/>
                <w:color w:val="F8F9FB"/>
                <w:sz w:val="16"/>
              </w:rPr>
              <w:t>Deep Blue</w:t>
              <w:br/>
              <w:t>#355DB7</w:t>
            </w:r>
          </w:p>
        </w:tc>
        <w:tc>
          <w:tcPr>
            <w:tcW w:type="dxa" w:w="2556"/>
            <w:shd w:fill="799AE3"/>
          </w:tcPr>
          <w:p>
            <w:pPr>
              <w:jc w:val="center"/>
            </w:pPr>
            <w:r>
              <w:rPr>
                <w:b/>
                <w:color w:val="F8F9FB"/>
                <w:sz w:val="16"/>
              </w:rPr>
              <w:t>Soft Sky</w:t>
              <w:br/>
              <w:t>#799AE3</w:t>
            </w:r>
          </w:p>
        </w:tc>
        <w:tc>
          <w:tcPr>
            <w:tcW w:type="dxa" w:w="2556"/>
            <w:shd w:fill="5B73D7"/>
          </w:tcPr>
          <w:p>
            <w:pPr>
              <w:jc w:val="center"/>
            </w:pPr>
            <w:r>
              <w:rPr>
                <w:b/>
                <w:color w:val="F8F9FB"/>
                <w:sz w:val="16"/>
              </w:rPr>
              <w:t>Accent Purple</w:t>
              <w:br/>
              <w:t>#5B73D7</w:t>
            </w:r>
          </w:p>
        </w:tc>
      </w:tr>
    </w:tbl>
    <w:p>
      <w:pPr>
        <w:spacing w:before="360"/>
        <w:jc w:val="center"/>
      </w:pPr>
      <w:r>
        <w:drawing>
          <wp:inline xmlns:a="http://schemas.openxmlformats.org/drawingml/2006/main" xmlns:pic="http://schemas.openxmlformats.org/drawingml/2006/picture">
            <wp:extent cx="4297680" cy="4297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3502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B76"/>
          <w:sz w:val="17"/>
        </w:rPr>
        <w:t>Reference asset sheet supplied for the Ekagram modular logo direction.</w:t>
      </w:r>
    </w:p>
    <w:p>
      <w:r>
        <w:br w:type="page"/>
      </w:r>
    </w:p>
    <w:p>
      <w:pPr>
        <w:spacing w:before="280" w:after="120"/>
      </w:pPr>
      <w:r>
        <w:rPr>
          <w:b/>
          <w:color w:val="101923"/>
          <w:sz w:val="36"/>
        </w:rPr>
        <w:t>1. Brand &amp; Logo Concept</w:t>
      </w:r>
    </w:p>
    <w:p>
      <w:r>
        <w:rPr>
          <w:b/>
        </w:rPr>
        <w:t xml:space="preserve">Core idea. </w:t>
      </w:r>
      <w:r>
        <w:t>The Ekagram symbol is a modular geometric mark built from rounded tiles. The arrangement creates an abstract E through structure and negative space rather than drawing a conventional letter.</w:t>
      </w:r>
    </w:p>
    <w:p>
      <w:pPr>
        <w:pStyle w:val="ListBullet"/>
        <w:spacing w:after="60"/>
      </w:pPr>
      <w:r>
        <w:rPr>
          <w:sz w:val="20"/>
        </w:rPr>
        <w:t>E → Ekagram</w:t>
      </w:r>
    </w:p>
    <w:p>
      <w:pPr>
        <w:pStyle w:val="ListBullet"/>
        <w:spacing w:after="60"/>
      </w:pPr>
      <w:r>
        <w:rPr>
          <w:sz w:val="20"/>
        </w:rPr>
        <w:t>Modules → organized information and systems</w:t>
      </w:r>
    </w:p>
    <w:p>
      <w:pPr>
        <w:pStyle w:val="ListBullet"/>
        <w:spacing w:after="60"/>
      </w:pPr>
      <w:r>
        <w:rPr>
          <w:sz w:val="20"/>
        </w:rPr>
        <w:t>Connected tiles → community and communication</w:t>
      </w:r>
    </w:p>
    <w:p>
      <w:pPr>
        <w:pStyle w:val="ListBullet"/>
        <w:spacing w:after="60"/>
      </w:pPr>
      <w:r>
        <w:rPr>
          <w:sz w:val="20"/>
        </w:rPr>
        <w:t>Grid → digital platform and technology</w:t>
      </w:r>
    </w:p>
    <w:p>
      <w:pPr>
        <w:pStyle w:val="ListBullet"/>
        <w:spacing w:after="60"/>
      </w:pPr>
      <w:r>
        <w:rPr>
          <w:sz w:val="20"/>
        </w:rPr>
        <w:t>Individual blocks → people, ideas and conversations</w:t>
      </w:r>
    </w:p>
    <w:p>
      <w:pPr>
        <w:pStyle w:val="ListBullet"/>
        <w:spacing w:after="60"/>
      </w:pPr>
      <w:r>
        <w:rPr>
          <w:sz w:val="20"/>
        </w:rPr>
        <w:t>Unified structure → one ecosystem</w:t>
      </w:r>
    </w:p>
    <w:p>
      <w:pPr>
        <w:pStyle w:val="ListBullet"/>
        <w:spacing w:after="60"/>
      </w:pPr>
      <w:r>
        <w:rPr>
          <w:sz w:val="20"/>
        </w:rPr>
        <w:t>Rounded geometry → approachable, human technology</w:t>
      </w:r>
    </w:p>
    <w:p>
      <w:r>
        <w:rPr>
          <w:b/>
        </w:rPr>
        <w:t xml:space="preserve">Design principle. </w:t>
      </w:r>
      <w:r>
        <w:t>The negative spaces between the modules are part of the logo. The symbol should remain recognizable without relying on the wordmark.</w:t>
      </w:r>
    </w:p>
    <w:p>
      <w:pPr>
        <w:spacing w:before="280" w:after="120"/>
      </w:pPr>
      <w:r>
        <w:rPr>
          <w:b/>
          <w:color w:val="101923"/>
          <w:sz w:val="36"/>
        </w:rPr>
        <w:t>2. Core Symbol Construction</w:t>
      </w:r>
    </w:p>
    <w:p>
      <w:r>
        <w:t>The master symbol should be designed as a compact modular grid, approximately based on a 3 × 3 construction. The preferred reference direction uses seven primary visual units with varied horizontal lengths.</w:t>
      </w:r>
    </w:p>
    <w:p>
      <w:pPr>
        <w:pStyle w:val="ListBullet"/>
        <w:spacing w:after="60"/>
      </w:pPr>
      <w:r>
        <w:rPr>
          <w:sz w:val="20"/>
        </w:rPr>
        <w:t>Three upper modules</w:t>
      </w:r>
    </w:p>
    <w:p>
      <w:pPr>
        <w:pStyle w:val="ListBullet"/>
        <w:spacing w:after="60"/>
      </w:pPr>
      <w:r>
        <w:rPr>
          <w:sz w:val="20"/>
        </w:rPr>
        <w:t>Two middle modules</w:t>
      </w:r>
    </w:p>
    <w:p>
      <w:pPr>
        <w:pStyle w:val="ListBullet"/>
        <w:spacing w:after="60"/>
      </w:pPr>
      <w:r>
        <w:rPr>
          <w:sz w:val="20"/>
        </w:rPr>
        <w:t>Two lower modules</w:t>
      </w:r>
    </w:p>
    <w:p>
      <w:pPr>
        <w:pStyle w:val="ListBullet"/>
        <w:spacing w:after="60"/>
      </w:pPr>
      <w:r>
        <w:rPr>
          <w:sz w:val="20"/>
        </w:rPr>
        <w:t>One visually distinctive central/focal tile</w:t>
      </w:r>
    </w:p>
    <w:p>
      <w:pPr>
        <w:pStyle w:val="ListBullet"/>
        <w:spacing w:after="60"/>
      </w:pPr>
      <w:r>
        <w:rPr>
          <w:sz w:val="20"/>
        </w:rPr>
        <w:t>Consistent rounded corners and visual weight</w:t>
      </w:r>
    </w:p>
    <w:p>
      <w:pPr>
        <w:pStyle w:val="ListBullet"/>
        <w:spacing w:after="60"/>
      </w:pPr>
      <w:r>
        <w:rPr>
          <w:sz w:val="20"/>
        </w:rPr>
        <w:t>Controlled negative-space gaps</w:t>
      </w:r>
    </w:p>
    <w:p>
      <w:pPr>
        <w:pStyle w:val="ListBullet"/>
        <w:spacing w:after="60"/>
      </w:pPr>
      <w:r>
        <w:rPr>
          <w:sz w:val="20"/>
        </w:rPr>
        <w:t>No outlines, shadows or decorative effects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01923"/>
          </w:tcPr>
          <w:p>
            <w:r/>
            <w:r>
              <w:rPr>
                <w:b/>
                <w:color w:val="F8F9FB"/>
                <w:sz w:val="18"/>
              </w:rPr>
              <w:t>Construction parameter</w:t>
            </w:r>
          </w:p>
        </w:tc>
        <w:tc>
          <w:tcPr>
            <w:tcW w:type="dxa" w:w="5112"/>
            <w:vAlign w:val="center"/>
            <w:shd w:fill="101923"/>
          </w:tcPr>
          <w:p>
            <w:r/>
            <w:r>
              <w:rPr>
                <w:b/>
                <w:color w:val="F8F9FB"/>
                <w:sz w:val="18"/>
              </w:rPr>
              <w:t>Recommended specification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Master canvas</w:t>
            </w:r>
          </w:p>
        </w:tc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1000 × 1000 units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Standard module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≈ 150 × 150 units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Extended module</w:t>
            </w:r>
          </w:p>
        </w:tc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≈ 300 × 150 units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Module gap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≈ 20–30 units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Corner radius</w:t>
            </w:r>
          </w:p>
        </w:tc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≈ 35–45 units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Safe area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≈ 100 units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Overall symbol</w:t>
            </w:r>
          </w:p>
        </w:tc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≈ 600–650 units wide/high</w:t>
            </w:r>
          </w:p>
        </w:tc>
      </w:tr>
    </w:tbl>
    <w:p>
      <w:r>
        <w:rPr>
          <w:b/>
        </w:rPr>
        <w:t xml:space="preserve">Note: </w:t>
      </w:r>
      <w:r>
        <w:t>These are construction guidelines. Optical balance takes priority over rigid mathematical measurements.</w:t>
      </w:r>
    </w:p>
    <w:p>
      <w:pPr>
        <w:spacing w:before="280" w:after="120"/>
      </w:pPr>
      <w:r>
        <w:rPr>
          <w:b/>
          <w:color w:val="101923"/>
          <w:sz w:val="36"/>
        </w:rPr>
        <w:t>3. Color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01923"/>
          </w:tcPr>
          <w:p>
            <w:r/>
            <w:r>
              <w:rPr>
                <w:b/>
                <w:color w:val="F8F9FB"/>
                <w:sz w:val="18"/>
              </w:rPr>
              <w:t>Color</w:t>
            </w:r>
          </w:p>
        </w:tc>
        <w:tc>
          <w:tcPr>
            <w:tcW w:type="dxa" w:w="3408"/>
            <w:vAlign w:val="center"/>
            <w:shd w:fill="101923"/>
          </w:tcPr>
          <w:p>
            <w:r/>
            <w:r>
              <w:rPr>
                <w:b/>
                <w:color w:val="F8F9FB"/>
                <w:sz w:val="18"/>
              </w:rPr>
              <w:t>Hex</w:t>
            </w:r>
          </w:p>
        </w:tc>
        <w:tc>
          <w:tcPr>
            <w:tcW w:type="dxa" w:w="3408"/>
            <w:vAlign w:val="center"/>
            <w:shd w:fill="101923"/>
          </w:tcPr>
          <w:p>
            <w:r/>
            <w:r>
              <w:rPr>
                <w:b/>
                <w:color w:val="F8F9FB"/>
                <w:sz w:val="18"/>
              </w:rPr>
              <w:t>Primary role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Charcoal Navy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#101923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Dark-mode background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Deep Blue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#355DB7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Primary logo structure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Soft Sky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#799AE3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Secondary/supporting modules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Accent Purple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#5B73D7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Signature focal tile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Near White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#F8F9FB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Wordmark and light artwork</w:t>
            </w:r>
          </w:p>
        </w:tc>
      </w:tr>
    </w:tbl>
    <w:p>
      <w:r>
        <w:rPr>
          <w:b/>
        </w:rPr>
        <w:t xml:space="preserve">Recommended color hierarchy: </w:t>
      </w:r>
      <w:r>
        <w:t>Deep Blue 60–70% · Soft Sky 20–30% · Accent Purple 5–10%.</w:t>
      </w:r>
    </w:p>
    <w:p>
      <w:r>
        <w:t>Purple should be a signature point rather than a competing primary color. The wordmark should remain a single near-white tone.</w:t>
      </w:r>
    </w:p>
    <w:p>
      <w:pPr>
        <w:spacing w:before="280" w:after="120"/>
      </w:pPr>
      <w:r>
        <w:rPr>
          <w:b/>
          <w:color w:val="101923"/>
          <w:sz w:val="36"/>
        </w:rPr>
        <w:t>4. Logo Modes &amp; Application 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01923"/>
          </w:tcPr>
          <w:p>
            <w:r/>
            <w:r>
              <w:rPr>
                <w:b/>
                <w:color w:val="F8F9FB"/>
                <w:sz w:val="18"/>
              </w:rPr>
              <w:t>Mode</w:t>
            </w:r>
          </w:p>
        </w:tc>
        <w:tc>
          <w:tcPr>
            <w:tcW w:type="dxa" w:w="3408"/>
            <w:vAlign w:val="center"/>
            <w:shd w:fill="101923"/>
          </w:tcPr>
          <w:p>
            <w:r/>
            <w:r>
              <w:rPr>
                <w:b/>
                <w:color w:val="F8F9FB"/>
                <w:sz w:val="18"/>
              </w:rPr>
              <w:t>Composition</w:t>
            </w:r>
          </w:p>
        </w:tc>
        <w:tc>
          <w:tcPr>
            <w:tcW w:type="dxa" w:w="3408"/>
            <w:vAlign w:val="center"/>
            <w:shd w:fill="101923"/>
          </w:tcPr>
          <w:p>
            <w:r/>
            <w:r>
              <w:rPr>
                <w:b/>
                <w:color w:val="F8F9FB"/>
                <w:sz w:val="18"/>
              </w:rPr>
              <w:t>Recommended applications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01 — Primary Lockup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Icon + Ekagram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Website, product, marketing, presentations, email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02 — Symbol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Icon only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Product UI, profile image, watermark, app shortcut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03 — App Icon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Symbol on rounded-square canvas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iOS, Android, desktop and launcher icons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04 — Favicon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Simplified symbol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Browser tabs, bookmarks, web app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05 — Stacked Lockup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Icon above Ekagram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Social posts, posters, splash screens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06 — Monochrome White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White symbol/wordmark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Dark or photographic backgrounds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07 — Monochrome Navy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Navy symbol/wordmark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Light documents/backgrounds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08 — Single Blue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Entire symbol in Deep Blue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Print, technical and constrained reproduction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09 — Small Icon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Simplified geometry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16–64px digital contexts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10 — Adaptive App Icon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Platform-specific foreground/background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Android/iOS platform exports</w:t>
            </w:r>
          </w:p>
        </w:tc>
      </w:tr>
    </w:tbl>
    <w:p>
      <w:pPr>
        <w:spacing w:before="280" w:after="120"/>
      </w:pPr>
      <w:r>
        <w:rPr>
          <w:b/>
          <w:color w:val="101923"/>
          <w:sz w:val="36"/>
        </w:rPr>
        <w:t>5. Primary Horizontal Lockup</w:t>
      </w:r>
    </w:p>
    <w:p>
      <w:r>
        <w:rPr>
          <w:b/>
        </w:rPr>
        <w:t xml:space="preserve">Structure: </w:t>
      </w:r>
      <w:r>
        <w:t>[ Modular Icon ]    Ekagram</w:t>
      </w:r>
    </w:p>
    <w:p>
      <w:pPr>
        <w:pStyle w:val="ListBullet"/>
        <w:spacing w:after="60"/>
      </w:pPr>
      <w:r>
        <w:rPr>
          <w:sz w:val="20"/>
        </w:rPr>
        <w:t>Place the symbol to the left of the wordmark.</w:t>
      </w:r>
    </w:p>
    <w:p>
      <w:pPr>
        <w:pStyle w:val="ListBullet"/>
        <w:spacing w:after="60"/>
      </w:pPr>
      <w:r>
        <w:rPr>
          <w:sz w:val="20"/>
        </w:rPr>
        <w:t>Use a modern rounded geometric sans-serif.</w:t>
      </w:r>
    </w:p>
    <w:p>
      <w:pPr>
        <w:pStyle w:val="ListBullet"/>
        <w:spacing w:after="60"/>
      </w:pPr>
      <w:r>
        <w:rPr>
          <w:sz w:val="20"/>
        </w:rPr>
        <w:t>Use near-white (#F8F9FB) for the wordmark in dark mode.</w:t>
      </w:r>
    </w:p>
    <w:p>
      <w:pPr>
        <w:pStyle w:val="ListBullet"/>
        <w:spacing w:after="60"/>
      </w:pPr>
      <w:r>
        <w:rPr>
          <w:sz w:val="20"/>
        </w:rPr>
        <w:t>Vertically center the wordmark against the optical center of the symbol.</w:t>
      </w:r>
    </w:p>
    <w:p>
      <w:pPr>
        <w:pStyle w:val="ListBullet"/>
        <w:spacing w:after="60"/>
      </w:pPr>
      <w:r>
        <w:rPr>
          <w:sz w:val="20"/>
        </w:rPr>
        <w:t>Use approximately 0.5–0.75× the icon visual height as the icon-to-wordmark spacing.</w:t>
      </w:r>
    </w:p>
    <w:p>
      <w:pPr>
        <w:pStyle w:val="ListBullet"/>
        <w:spacing w:after="60"/>
      </w:pPr>
      <w:r>
        <w:rPr>
          <w:sz w:val="20"/>
        </w:rPr>
        <w:t>Do not recolor individual letters; the icon carries the color expression.</w:t>
      </w:r>
    </w:p>
    <w:p>
      <w:pPr>
        <w:spacing w:before="280" w:after="120"/>
      </w:pPr>
      <w:r>
        <w:rPr>
          <w:b/>
          <w:color w:val="101923"/>
          <w:sz w:val="36"/>
        </w:rPr>
        <w:t>6. Icon-Only &amp; App Icon</w:t>
      </w:r>
    </w:p>
    <w:p>
      <w:r>
        <w:t>The icon-only mark is the most important secondary asset. It should be able to stand independently and become the recognizable Ekagram signature.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01923"/>
          </w:tcPr>
          <w:p>
            <w:r/>
            <w:r>
              <w:rPr>
                <w:b/>
                <w:color w:val="F8F9FB"/>
                <w:sz w:val="18"/>
              </w:rPr>
              <w:t>Asset</w:t>
            </w:r>
          </w:p>
        </w:tc>
        <w:tc>
          <w:tcPr>
            <w:tcW w:type="dxa" w:w="3408"/>
            <w:vAlign w:val="center"/>
            <w:shd w:fill="101923"/>
          </w:tcPr>
          <w:p>
            <w:r/>
            <w:r>
              <w:rPr>
                <w:b/>
                <w:color w:val="F8F9FB"/>
                <w:sz w:val="18"/>
              </w:rPr>
              <w:t>Recommended master/export</w:t>
            </w:r>
          </w:p>
        </w:tc>
        <w:tc>
          <w:tcPr>
            <w:tcW w:type="dxa" w:w="3408"/>
            <w:vAlign w:val="center"/>
            <w:shd w:fill="101923"/>
          </w:tcPr>
          <w:p>
            <w:r/>
            <w:r>
              <w:rPr>
                <w:b/>
                <w:color w:val="F8F9FB"/>
                <w:sz w:val="18"/>
              </w:rPr>
              <w:t>Notes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Master icon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1000 × 1000 SVG/vector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Primary source artwork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iOS App Store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1024 × 1024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No wordmark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Android Play Store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512 × 512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No wordmark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PWA icon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192 × 192 / 512 × 512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Web application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Social avatar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Square master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Icon only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Favicon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16 / 32 / 48px + 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Use simplified construction</w:t>
            </w:r>
          </w:p>
        </w:tc>
      </w:tr>
    </w:tbl>
    <w:p>
      <w:r>
        <w:rPr>
          <w:b/>
        </w:rPr>
        <w:t xml:space="preserve">App-icon rule. </w:t>
      </w:r>
      <w:r>
        <w:t>The symbol should occupy approximately 60–70% of the canvas, with enough negative space to remain clean at small sizes.</w:t>
      </w:r>
    </w:p>
    <w:p>
      <w:pPr>
        <w:spacing w:before="280" w:after="120"/>
      </w:pPr>
      <w:r>
        <w:rPr>
          <w:b/>
          <w:color w:val="101923"/>
          <w:sz w:val="36"/>
        </w:rPr>
        <w:t>7. Responsive / Small-Size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01923"/>
          </w:tcPr>
          <w:p>
            <w:r/>
            <w:r>
              <w:rPr>
                <w:b/>
                <w:color w:val="F8F9FB"/>
                <w:sz w:val="18"/>
              </w:rPr>
              <w:t>Size/context</w:t>
            </w:r>
          </w:p>
        </w:tc>
        <w:tc>
          <w:tcPr>
            <w:tcW w:type="dxa" w:w="5112"/>
            <w:vAlign w:val="center"/>
            <w:shd w:fill="101923"/>
          </w:tcPr>
          <w:p>
            <w:r/>
            <w:r>
              <w:rPr>
                <w:b/>
                <w:color w:val="F8F9FB"/>
                <w:sz w:val="18"/>
              </w:rPr>
              <w:t>Treatment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1000px+</w:t>
            </w:r>
          </w:p>
        </w:tc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Full master geometry and detail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512px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Full icon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128px</w:t>
            </w:r>
          </w:p>
        </w:tc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Full icon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64–96px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Simplified icon if needed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32px</w:t>
            </w:r>
          </w:p>
        </w:tc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Simplified but recognizable modular arrangement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16–24px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Micro mark; remove unnecessary secondary detail</w:t>
            </w:r>
          </w:p>
        </w:tc>
      </w:tr>
    </w:tbl>
    <w:p>
      <w:r>
        <w:t>Do not merely scale the master artwork indefinitely. Small-size variants should be optically redrawn so gaps, tile weight and the E-like negative space remain legible.</w:t>
      </w:r>
    </w:p>
    <w:p>
      <w:pPr>
        <w:spacing w:before="280" w:after="120"/>
      </w:pPr>
      <w:r>
        <w:rPr>
          <w:b/>
          <w:color w:val="101923"/>
          <w:sz w:val="36"/>
        </w:rPr>
        <w:t>8. Wordmark Specification</w:t>
      </w:r>
    </w:p>
    <w:p>
      <w:pPr>
        <w:pStyle w:val="ListBullet"/>
        <w:spacing w:after="60"/>
      </w:pPr>
      <w:r>
        <w:rPr>
          <w:sz w:val="20"/>
        </w:rPr>
        <w:t>Name: Ekagram</w:t>
      </w:r>
    </w:p>
    <w:p>
      <w:pPr>
        <w:pStyle w:val="ListBullet"/>
        <w:spacing w:after="60"/>
      </w:pPr>
      <w:r>
        <w:rPr>
          <w:sz w:val="20"/>
        </w:rPr>
        <w:t>Style: bold rounded geometric sans-serif</w:t>
      </w:r>
    </w:p>
    <w:p>
      <w:pPr>
        <w:pStyle w:val="ListBullet"/>
        <w:spacing w:after="60"/>
      </w:pPr>
      <w:r>
        <w:rPr>
          <w:sz w:val="20"/>
        </w:rPr>
        <w:t>Personality: modern, intelligent, approachable and confident</w:t>
      </w:r>
    </w:p>
    <w:p>
      <w:pPr>
        <w:pStyle w:val="ListBullet"/>
        <w:spacing w:after="60"/>
      </w:pPr>
      <w:r>
        <w:rPr>
          <w:sz w:val="20"/>
        </w:rPr>
        <w:t>Dark-mode color: #F8F9FB</w:t>
      </w:r>
    </w:p>
    <w:p>
      <w:pPr>
        <w:pStyle w:val="ListBullet"/>
        <w:spacing w:after="60"/>
      </w:pPr>
      <w:r>
        <w:rPr>
          <w:sz w:val="20"/>
        </w:rPr>
        <w:t>Avoid decorative modifications and excessive letter spacing</w:t>
      </w:r>
    </w:p>
    <w:p>
      <w:pPr>
        <w:pStyle w:val="ListBullet"/>
        <w:spacing w:after="60"/>
      </w:pPr>
      <w:r>
        <w:rPr>
          <w:sz w:val="20"/>
        </w:rPr>
        <w:t>The capital E should visually relate to the symbol without literally reproducing it</w:t>
      </w:r>
    </w:p>
    <w:p>
      <w:pPr>
        <w:spacing w:before="280" w:after="120"/>
      </w:pPr>
      <w:r>
        <w:rPr>
          <w:b/>
          <w:color w:val="101923"/>
          <w:sz w:val="36"/>
        </w:rPr>
        <w:t>9. Alternate Color &amp; Production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01923"/>
          </w:tcPr>
          <w:p>
            <w:r/>
            <w:r>
              <w:rPr>
                <w:b/>
                <w:color w:val="F8F9FB"/>
                <w:sz w:val="18"/>
              </w:rPr>
              <w:t>Variant</w:t>
            </w:r>
          </w:p>
        </w:tc>
        <w:tc>
          <w:tcPr>
            <w:tcW w:type="dxa" w:w="3408"/>
            <w:vAlign w:val="center"/>
            <w:shd w:fill="101923"/>
          </w:tcPr>
          <w:p>
            <w:r/>
            <w:r>
              <w:rPr>
                <w:b/>
                <w:color w:val="F8F9FB"/>
                <w:sz w:val="18"/>
              </w:rPr>
              <w:t>Treatment</w:t>
            </w:r>
          </w:p>
        </w:tc>
        <w:tc>
          <w:tcPr>
            <w:tcW w:type="dxa" w:w="3408"/>
            <w:vAlign w:val="center"/>
            <w:shd w:fill="101923"/>
          </w:tcPr>
          <w:p>
            <w:r/>
            <w:r>
              <w:rPr>
                <w:b/>
                <w:color w:val="F8F9FB"/>
                <w:sz w:val="18"/>
              </w:rPr>
              <w:t>Use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Dark-mode primary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Background #101923 + full color icon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Default brand presentation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Light-background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Background #F8F9FB + brand colors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Situations where background is controlled externally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White knockout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Symbol/wordmark #F8F9FB on transparent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Dark surfaces, video, sponsorships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Navy knockout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Symbol/wordmark #101923 on transparent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Light surfaces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Single-color blue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All artwork #355DB7</w:t>
            </w:r>
          </w:p>
        </w:tc>
        <w:tc>
          <w:tcPr>
            <w:tcW w:type="dxa" w:w="3408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Print/technical constraints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Outline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Optional geometric outline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Illustration, diagrams, empty states</w:t>
            </w:r>
          </w:p>
        </w:tc>
      </w:tr>
    </w:tbl>
    <w:p>
      <w:pPr>
        <w:spacing w:before="280" w:after="120"/>
      </w:pPr>
      <w:r>
        <w:rPr>
          <w:b/>
          <w:color w:val="101923"/>
          <w:sz w:val="36"/>
        </w:rPr>
        <w:t>10. Clear Space &amp; Minimum Size</w:t>
      </w:r>
    </w:p>
    <w:p>
      <w:r>
        <w:t>Define clear space using the width of one standard modular tile as the base unit (1X). Keep at least 1X of empty space around the complete lockup wherever practical.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01923"/>
          </w:tcPr>
          <w:p>
            <w:r/>
            <w:r>
              <w:rPr>
                <w:b/>
                <w:color w:val="F8F9FB"/>
                <w:sz w:val="18"/>
              </w:rPr>
              <w:t>Asset</w:t>
            </w:r>
          </w:p>
        </w:tc>
        <w:tc>
          <w:tcPr>
            <w:tcW w:type="dxa" w:w="5112"/>
            <w:vAlign w:val="center"/>
            <w:shd w:fill="101923"/>
          </w:tcPr>
          <w:p>
            <w:r/>
            <w:r>
              <w:rPr>
                <w:b/>
                <w:color w:val="F8F9FB"/>
                <w:sz w:val="18"/>
              </w:rPr>
              <w:t>Recommended minimum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Full digital lockup</w:t>
            </w:r>
          </w:p>
        </w:tc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≈ 120px wide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Full print lockup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≈ 25–30mm wide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Icon</w:t>
            </w:r>
          </w:p>
        </w:tc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16px technical minimum; 32px preferred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App icon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Designed and tested at 32 × 32px</w:t>
            </w:r>
          </w:p>
        </w:tc>
      </w:tr>
    </w:tbl>
    <w:p>
      <w:pPr>
        <w:spacing w:before="280" w:after="120"/>
      </w:pPr>
      <w:r>
        <w:rPr>
          <w:b/>
          <w:color w:val="101923"/>
          <w:sz w:val="36"/>
        </w:rPr>
        <w:t>11. Brand Usage Rules</w:t>
      </w:r>
    </w:p>
    <w:p>
      <w:r>
        <w:rPr>
          <w:b/>
        </w:rPr>
        <w:t>Always:</w:t>
      </w:r>
    </w:p>
    <w:p>
      <w:pPr>
        <w:pStyle w:val="ListBullet"/>
        <w:spacing w:after="60"/>
      </w:pPr>
      <w:r>
        <w:rPr>
          <w:sz w:val="20"/>
        </w:rPr>
        <w:t>Maintain module proportions and corner radii.</w:t>
      </w:r>
    </w:p>
    <w:p>
      <w:pPr>
        <w:pStyle w:val="ListBullet"/>
        <w:spacing w:after="60"/>
      </w:pPr>
      <w:r>
        <w:rPr>
          <w:sz w:val="20"/>
        </w:rPr>
        <w:t>Preserve the designed negative spaces.</w:t>
      </w:r>
    </w:p>
    <w:p>
      <w:pPr>
        <w:pStyle w:val="ListBullet"/>
        <w:spacing w:after="60"/>
      </w:pPr>
      <w:r>
        <w:rPr>
          <w:sz w:val="20"/>
        </w:rPr>
        <w:t>Use the approved color hierarchy.</w:t>
      </w:r>
    </w:p>
    <w:p>
      <w:pPr>
        <w:pStyle w:val="ListBullet"/>
        <w:spacing w:after="60"/>
      </w:pPr>
      <w:r>
        <w:rPr>
          <w:sz w:val="20"/>
        </w:rPr>
        <w:t>Use the icon-only mark where the display size is too small for the wordmark.</w:t>
      </w:r>
    </w:p>
    <w:p>
      <w:pPr>
        <w:pStyle w:val="ListBullet"/>
        <w:spacing w:after="60"/>
      </w:pPr>
      <w:r>
        <w:rPr>
          <w:sz w:val="20"/>
        </w:rPr>
        <w:t>Keep the logo optically centered.</w:t>
      </w:r>
    </w:p>
    <w:p>
      <w:r>
        <w:rPr>
          <w:b/>
        </w:rPr>
        <w:t>Never:</w:t>
      </w:r>
    </w:p>
    <w:p>
      <w:pPr>
        <w:pStyle w:val="ListBullet"/>
        <w:spacing w:after="60"/>
      </w:pPr>
      <w:r>
        <w:rPr>
          <w:sz w:val="20"/>
        </w:rPr>
        <w:t>Use gradients.</w:t>
      </w:r>
    </w:p>
    <w:p>
      <w:pPr>
        <w:pStyle w:val="ListBullet"/>
        <w:spacing w:after="60"/>
      </w:pPr>
      <w:r>
        <w:rPr>
          <w:sz w:val="20"/>
        </w:rPr>
        <w:t>Add drop shadows.</w:t>
      </w:r>
    </w:p>
    <w:p>
      <w:pPr>
        <w:pStyle w:val="ListBullet"/>
        <w:spacing w:after="60"/>
      </w:pPr>
      <w:r>
        <w:rPr>
          <w:sz w:val="20"/>
        </w:rPr>
        <w:t>Apply 3D, bevel, gloss or glass effects.</w:t>
      </w:r>
    </w:p>
    <w:p>
      <w:pPr>
        <w:pStyle w:val="ListBullet"/>
        <w:spacing w:after="60"/>
      </w:pPr>
      <w:r>
        <w:rPr>
          <w:sz w:val="20"/>
        </w:rPr>
        <w:t>Randomly rearrange or recolor tiles.</w:t>
      </w:r>
    </w:p>
    <w:p>
      <w:pPr>
        <w:pStyle w:val="ListBullet"/>
        <w:spacing w:after="60"/>
      </w:pPr>
      <w:r>
        <w:rPr>
          <w:sz w:val="20"/>
        </w:rPr>
        <w:t>Distort the proportions.</w:t>
      </w:r>
    </w:p>
    <w:p>
      <w:pPr>
        <w:pStyle w:val="ListBullet"/>
        <w:spacing w:after="60"/>
      </w:pPr>
      <w:r>
        <w:rPr>
          <w:sz w:val="20"/>
        </w:rPr>
        <w:t>Add unnecessary outlines or decorative elements.</w:t>
      </w:r>
    </w:p>
    <w:p>
      <w:pPr>
        <w:pStyle w:val="ListBullet"/>
        <w:spacing w:after="60"/>
      </w:pPr>
      <w:r>
        <w:rPr>
          <w:sz w:val="20"/>
        </w:rPr>
        <w:t>Place the wordmark inside the app icon.</w:t>
      </w:r>
    </w:p>
    <w:p>
      <w:pPr>
        <w:pStyle w:val="ListBullet"/>
        <w:spacing w:after="60"/>
      </w:pPr>
      <w:r>
        <w:rPr>
          <w:sz w:val="20"/>
        </w:rPr>
        <w:t>Use excessive colors at once.</w:t>
      </w:r>
    </w:p>
    <w:p>
      <w:pPr>
        <w:spacing w:before="280" w:after="120"/>
      </w:pPr>
      <w:r>
        <w:rPr>
          <w:b/>
          <w:color w:val="101923"/>
          <w:sz w:val="36"/>
        </w:rPr>
        <w:t>12. Product &amp; UI Applications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01923"/>
          </w:tcPr>
          <w:p>
            <w:r/>
            <w:r>
              <w:rPr>
                <w:b/>
                <w:color w:val="F8F9FB"/>
                <w:sz w:val="18"/>
              </w:rPr>
              <w:t>Context</w:t>
            </w:r>
          </w:p>
        </w:tc>
        <w:tc>
          <w:tcPr>
            <w:tcW w:type="dxa" w:w="5112"/>
            <w:vAlign w:val="center"/>
            <w:shd w:fill="101923"/>
          </w:tcPr>
          <w:p>
            <w:r/>
            <w:r>
              <w:rPr>
                <w:b/>
                <w:color w:val="F8F9FB"/>
                <w:sz w:val="18"/>
              </w:rPr>
              <w:t>Suggested treatment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Loading state</w:t>
            </w:r>
          </w:p>
        </w:tc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Sequential tile appearance/activation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Notification state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Subtle emphasis on the purple focal tile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Active state</w:t>
            </w:r>
          </w:p>
        </w:tc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Accent Purple #5B73D7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Inactive state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Deep Blue with reduced visual emphasis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Community state</w:t>
            </w:r>
          </w:p>
        </w:tc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Full approved three-color icon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Empty states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Optional outline/simplified mark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Watermark</w:t>
            </w:r>
          </w:p>
        </w:tc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Monochrome or low-emphasis single-color mark</w:t>
            </w:r>
          </w:p>
        </w:tc>
      </w:tr>
    </w:tbl>
    <w:p>
      <w:pPr>
        <w:spacing w:before="280" w:after="120"/>
      </w:pPr>
      <w:r>
        <w:rPr>
          <w:b/>
          <w:color w:val="101923"/>
          <w:sz w:val="36"/>
        </w:rPr>
        <w:t>13. Recommended Asset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01923"/>
          </w:tcPr>
          <w:p>
            <w:r/>
            <w:r>
              <w:rPr>
                <w:b/>
                <w:color w:val="F8F9FB"/>
                <w:sz w:val="18"/>
              </w:rPr>
              <w:t>Category</w:t>
            </w:r>
          </w:p>
        </w:tc>
        <w:tc>
          <w:tcPr>
            <w:tcW w:type="dxa" w:w="5112"/>
            <w:vAlign w:val="center"/>
            <w:shd w:fill="101923"/>
          </w:tcPr>
          <w:p>
            <w:r/>
            <w:r>
              <w:rPr>
                <w:b/>
                <w:color w:val="F8F9FB"/>
                <w:sz w:val="18"/>
              </w:rPr>
              <w:t>Files / deliverables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Master vector</w:t>
            </w:r>
          </w:p>
        </w:tc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Ekagram_Master.svg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Editable source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AI / Figma source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Scalable print</w:t>
            </w:r>
          </w:p>
        </w:tc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PDF / SVG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Raster master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PNG at 1024px or larger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Favicon</w:t>
            </w:r>
          </w:p>
        </w:tc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16px, 32px, 48px, ICO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Web/PWA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180px, 192px, 512px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iOS</w:t>
            </w:r>
          </w:p>
        </w:tc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1024px App Store icon +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Android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512px Play icon + adaptive foreground/background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Desktop</w:t>
            </w:r>
          </w:p>
        </w:tc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ICO / platform-specific PNG/SVG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Social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Square icon-only exports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Color variants</w:t>
            </w:r>
          </w:p>
        </w:tc>
        <w:tc>
          <w:tcPr>
            <w:tcW w:type="dxa" w:w="5112"/>
            <w:vAlign w:val="center"/>
            <w:shd w:fill="F4F7FA"/>
          </w:tcPr>
          <w:p>
            <w:r/>
            <w:r>
              <w:rPr>
                <w:b w:val="0"/>
                <w:color w:val="17212B"/>
                <w:sz w:val="18"/>
              </w:rPr>
              <w:t>Full color, white, navy, single blue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Responsive variants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7212B"/>
                <w:sz w:val="18"/>
              </w:rPr>
              <w:t>Full, simplified, micro</w:t>
            </w:r>
          </w:p>
        </w:tc>
      </w:tr>
    </w:tbl>
    <w:p>
      <w:pPr>
        <w:spacing w:before="280" w:after="120"/>
      </w:pPr>
      <w:r>
        <w:rPr>
          <w:b/>
          <w:color w:val="101923"/>
          <w:sz w:val="36"/>
        </w:rPr>
        <w:t>14. Final Brand Recommendation</w:t>
      </w:r>
    </w:p>
    <w:p>
      <w:r>
        <w:rPr>
          <w:b/>
        </w:rPr>
        <w:t xml:space="preserve">Recommended core identity: </w:t>
      </w:r>
      <w:r>
        <w:t>Adopt the modular-grid symbol as the official Ekagram core mark. It offers the strongest balance of community, technology, organization and E recognition among the explored directions.</w:t>
      </w:r>
    </w:p>
    <w:p>
      <w:r>
        <w:t>For the production system, normalize the reference sheet's colors to the Ekagram palette (#101923, #355DB7, #799AE3, #5B73D7) so the identity remains consistent across the product, website, social media and app ecosystem.</w:t>
      </w:r>
    </w:p>
    <w:p>
      <w:r>
        <w:t>The ultimate success criterion is standalone recognition: the modular symbol should become identifiable as Ekagram even when the wordmark is absent.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76"/>
        <w:sz w:val="16"/>
      </w:rPr>
      <w:t>EKAGRAM  •  Logo System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