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00" w:rsidRPr="007B56FA" w:rsidRDefault="00C14B78">
      <w:pPr>
        <w:pStyle w:val="Title"/>
        <w:spacing w:before="200" w:after="200"/>
        <w:jc w:val="center"/>
        <w:rPr>
          <w:sz w:val="48"/>
          <w:szCs w:val="48"/>
        </w:rPr>
      </w:pPr>
      <w:bookmarkStart w:id="0" w:name="_heading=h.c082xciawjis" w:colFirst="0" w:colLast="0"/>
      <w:bookmarkEnd w:id="0"/>
      <w:r w:rsidRPr="007B56FA">
        <w:rPr>
          <w:sz w:val="48"/>
          <w:szCs w:val="48"/>
        </w:rPr>
        <w:t xml:space="preserve">  </w:t>
      </w:r>
      <w:r w:rsidRPr="007B56FA">
        <w:rPr>
          <w:i/>
          <w:sz w:val="48"/>
          <w:szCs w:val="48"/>
        </w:rPr>
        <w:t>Cilantro</w:t>
      </w:r>
      <w:r w:rsidRPr="007B56FA">
        <w:rPr>
          <w:sz w:val="48"/>
          <w:szCs w:val="48"/>
        </w:rPr>
        <w:t xml:space="preserve">: An Artificial Intelligence </w:t>
      </w:r>
      <w:r w:rsidR="007B56FA" w:rsidRPr="007B56FA">
        <w:rPr>
          <w:sz w:val="48"/>
          <w:szCs w:val="48"/>
        </w:rPr>
        <w:t xml:space="preserve">and Graph Theory Based </w:t>
      </w:r>
      <w:r w:rsidRPr="007B56FA">
        <w:rPr>
          <w:sz w:val="48"/>
          <w:szCs w:val="48"/>
        </w:rPr>
        <w:t xml:space="preserve">Novel </w:t>
      </w:r>
      <w:r w:rsidR="007B56FA" w:rsidRPr="007B56FA">
        <w:rPr>
          <w:sz w:val="48"/>
          <w:szCs w:val="48"/>
        </w:rPr>
        <w:t>Methodology</w:t>
      </w:r>
      <w:r w:rsidRPr="007B56FA">
        <w:rPr>
          <w:sz w:val="48"/>
          <w:szCs w:val="48"/>
        </w:rPr>
        <w:t xml:space="preserve"> to Model the Spread of Infectious </w:t>
      </w:r>
      <w:r w:rsidR="007B56FA" w:rsidRPr="007B56FA">
        <w:rPr>
          <w:sz w:val="48"/>
          <w:szCs w:val="48"/>
        </w:rPr>
        <w:t xml:space="preserve">Potato </w:t>
      </w:r>
      <w:r w:rsidRPr="007B56FA">
        <w:rPr>
          <w:sz w:val="48"/>
          <w:szCs w:val="48"/>
        </w:rPr>
        <w:t xml:space="preserve">Diseases </w:t>
      </w:r>
    </w:p>
    <w:p w:rsidR="002D4700" w:rsidRDefault="002D4700">
      <w:pPr>
        <w:pStyle w:val="Heading2"/>
        <w:spacing w:before="200" w:after="200"/>
        <w:jc w:val="center"/>
      </w:pPr>
      <w:bookmarkStart w:id="1" w:name="_heading=h.40tdlwu0aeyx" w:colFirst="0" w:colLast="0"/>
      <w:bookmarkEnd w:id="1"/>
    </w:p>
    <w:p w:rsidR="002D4700" w:rsidRDefault="00C14B78">
      <w:pPr>
        <w:pStyle w:val="Heading2"/>
        <w:spacing w:before="200" w:after="200"/>
        <w:jc w:val="center"/>
      </w:pPr>
      <w:bookmarkStart w:id="2" w:name="_heading=h.jgbznx4kwam4" w:colFirst="0" w:colLast="0"/>
      <w:bookmarkEnd w:id="2"/>
      <w:r>
        <w:t>Abstract</w:t>
      </w:r>
    </w:p>
    <w:p w:rsidR="002D4700" w:rsidRDefault="002D4700">
      <w:pPr>
        <w:spacing w:before="200" w:after="200"/>
      </w:pPr>
    </w:p>
    <w:p w:rsidR="002D4700" w:rsidRDefault="00C14B78">
      <w:pPr>
        <w:spacing w:before="200" w:after="200"/>
        <w:rPr>
          <w:highlight w:val="red"/>
        </w:rPr>
      </w:pPr>
      <w:r>
        <w:t xml:space="preserve">The risk of any pathogenic infection like </w:t>
      </w:r>
      <w:proofErr w:type="spellStart"/>
      <w:r>
        <w:rPr>
          <w:i/>
        </w:rPr>
        <w:t>Phytophthora</w:t>
      </w:r>
      <w:proofErr w:type="spellEnd"/>
      <w:r>
        <w:rPr>
          <w:i/>
        </w:rPr>
        <w:t xml:space="preserve"> </w:t>
      </w:r>
      <w:proofErr w:type="spellStart"/>
      <w:r>
        <w:rPr>
          <w:i/>
        </w:rPr>
        <w:t>Infestans</w:t>
      </w:r>
      <w:proofErr w:type="spellEnd"/>
      <w:r>
        <w:t xml:space="preserve"> in potatoes and the speed at which it can spread depend on several atmospheric, biological, genomic and geographic factors. In this paper, we are presenting </w:t>
      </w:r>
      <w:r>
        <w:rPr>
          <w:i/>
        </w:rPr>
        <w:t>Cilantro</w:t>
      </w:r>
      <w:r>
        <w:t xml:space="preserve">, an AI </w:t>
      </w:r>
      <w:r w:rsidR="007B56FA">
        <w:t>and</w:t>
      </w:r>
      <w:r>
        <w:t xml:space="preserve"> graph theory based solution that we have developed to detect the infection</w:t>
      </w:r>
      <w:r>
        <w:t xml:space="preserve"> of certain pathogens in potatoes at an early stage, model the spread of these diseases from different perspectives and analyze the spread pattern. The novel AI algorithm of </w:t>
      </w:r>
      <w:r>
        <w:rPr>
          <w:i/>
        </w:rPr>
        <w:t>Cilantro</w:t>
      </w:r>
      <w:r>
        <w:t xml:space="preserve"> ensures high precision risk estimate</w:t>
      </w:r>
      <w:r w:rsidR="007B56FA">
        <w:t>s</w:t>
      </w:r>
      <w:r>
        <w:t xml:space="preserve"> of </w:t>
      </w:r>
      <w:proofErr w:type="spellStart"/>
      <w:r>
        <w:rPr>
          <w:i/>
        </w:rPr>
        <w:t>Phytophthora</w:t>
      </w:r>
      <w:proofErr w:type="spellEnd"/>
      <w:r>
        <w:rPr>
          <w:i/>
        </w:rPr>
        <w:t xml:space="preserve"> </w:t>
      </w:r>
      <w:proofErr w:type="spellStart"/>
      <w:r>
        <w:rPr>
          <w:i/>
        </w:rPr>
        <w:t>Infestans</w:t>
      </w:r>
      <w:proofErr w:type="spellEnd"/>
      <w:r>
        <w:t xml:space="preserve"> outbreak b</w:t>
      </w:r>
      <w:r>
        <w:t>ased on environmen</w:t>
      </w:r>
      <w:r w:rsidR="007B56FA">
        <w:t>tal and geographical parameters. The algorithm uses</w:t>
      </w:r>
      <w:r>
        <w:t xml:space="preserve"> </w:t>
      </w:r>
      <w:r w:rsidR="007B56FA">
        <w:t>appropriate</w:t>
      </w:r>
      <w:r>
        <w:t xml:space="preserve"> crowd sourced information regarding such infestations. Cilantro, unlike other applications in this domain, has the ability to dynamically integrate new findings and contextual disease rec</w:t>
      </w:r>
      <w:r>
        <w:t xml:space="preserve">ognition alerts from edge servers as well as mobile devices using artificial neural networks for disease detection and actual pathological </w:t>
      </w:r>
      <w:r w:rsidR="007B56FA">
        <w:t xml:space="preserve">and epidemiological </w:t>
      </w:r>
      <w:r>
        <w:t xml:space="preserve">data </w:t>
      </w:r>
      <w:r w:rsidR="007B56FA">
        <w:t xml:space="preserve">collected </w:t>
      </w:r>
      <w:r>
        <w:t xml:space="preserve">from </w:t>
      </w:r>
      <w:r w:rsidR="007B56FA">
        <w:t xml:space="preserve">multiple </w:t>
      </w:r>
      <w:r>
        <w:t xml:space="preserve">laboratories of agricultural extension services. We believe that Cilantro </w:t>
      </w:r>
      <w:r w:rsidR="007B56FA">
        <w:t>will</w:t>
      </w:r>
      <w:r>
        <w:t xml:space="preserve"> help farmers take better prec</w:t>
      </w:r>
      <w:r>
        <w:t>autions against disastrous diseases like late blight that often cause huge financial and social challenges in many countries, thereby, protecting their harvest with the help of early detection, prevention, and treatment.</w:t>
      </w:r>
      <w:r>
        <w:rPr>
          <w:highlight w:val="red"/>
        </w:rPr>
        <w:t xml:space="preserve"> </w:t>
      </w:r>
    </w:p>
    <w:p w:rsidR="002D4700" w:rsidRDefault="00C14B78">
      <w:pPr>
        <w:spacing w:before="200" w:after="200"/>
        <w:rPr>
          <w:b/>
        </w:rPr>
      </w:pPr>
      <w:r>
        <w:rPr>
          <w:b/>
        </w:rPr>
        <w:t>Keywords</w:t>
      </w:r>
    </w:p>
    <w:p w:rsidR="002D4700" w:rsidRDefault="002D4700">
      <w:pPr>
        <w:spacing w:before="200" w:after="200"/>
        <w:rPr>
          <w:b/>
        </w:rPr>
      </w:pPr>
    </w:p>
    <w:p w:rsidR="002D4700" w:rsidRDefault="00C14B78">
      <w:pPr>
        <w:pStyle w:val="Heading2"/>
        <w:numPr>
          <w:ilvl w:val="0"/>
          <w:numId w:val="3"/>
        </w:numPr>
        <w:spacing w:before="200" w:after="200"/>
      </w:pPr>
      <w:bookmarkStart w:id="3" w:name="_heading=h.kt7tdeymyouk" w:colFirst="0" w:colLast="0"/>
      <w:bookmarkEnd w:id="3"/>
      <w:r>
        <w:t>Introduction</w:t>
      </w:r>
    </w:p>
    <w:p w:rsidR="002D4700" w:rsidRDefault="00C14B78">
      <w:pPr>
        <w:spacing w:before="200" w:after="200"/>
      </w:pPr>
      <w:r>
        <w:t xml:space="preserve">For years, </w:t>
      </w:r>
      <w:r>
        <w:t xml:space="preserve">late blight infection has been the subject of many empirical forecasting models [1-8] as well as mechanistic simulation models [2, 9-21]. Empirical forecasting systems are often derived from </w:t>
      </w:r>
      <w:proofErr w:type="spellStart"/>
      <w:r>
        <w:rPr>
          <w:i/>
        </w:rPr>
        <w:t>Blitecast</w:t>
      </w:r>
      <w:proofErr w:type="spellEnd"/>
      <w:r>
        <w:t xml:space="preserve"> [23], and are based on the accumulation of late blight </w:t>
      </w:r>
      <w:r>
        <w:t xml:space="preserve">risk units under daily temperature and humidity conditions summarized from hourly data [4-6,28,13]. However, these models often are unsuitable for commercial implementations involving large-scale data sets derived from real-time user reports. The </w:t>
      </w:r>
      <w:proofErr w:type="spellStart"/>
      <w:r>
        <w:t>Blightcas</w:t>
      </w:r>
      <w:r>
        <w:t>t</w:t>
      </w:r>
      <w:proofErr w:type="spellEnd"/>
      <w:r>
        <w:t xml:space="preserve"> model also has no provision for transfer learning or ergonomics and was originally developed with a single disease in mind. Studies have shown that simple empirical models generally fail to properly address the hidden risk of oospores that often remain d</w:t>
      </w:r>
      <w:r>
        <w:t>ormant in the soil for more than a year [22].</w:t>
      </w:r>
    </w:p>
    <w:p w:rsidR="002D4700" w:rsidRDefault="00C14B78">
      <w:pPr>
        <w:spacing w:before="200" w:after="200"/>
        <w:rPr>
          <w:highlight w:val="green"/>
        </w:rPr>
      </w:pPr>
      <w:r>
        <w:t>Implementing real-time user reports is an important feature to include, especially in models that predict the spread of agricultural diseases in developing nations, where accurate weather and remote-sensing dat</w:t>
      </w:r>
      <w:r>
        <w:t xml:space="preserve">a </w:t>
      </w:r>
      <w:r>
        <w:lastRenderedPageBreak/>
        <w:t>might not always be available. Furthermore, accounting for expected as well as random changes in pathogen characteristics and fungicide resistance due to climate change [22</w:t>
      </w:r>
      <w:proofErr w:type="gramStart"/>
      <w:r>
        <w:t>,25</w:t>
      </w:r>
      <w:proofErr w:type="gramEnd"/>
      <w:r>
        <w:t>-27] is crucial in any modern epidemiological modeling system.</w:t>
      </w:r>
    </w:p>
    <w:p w:rsidR="002D4700" w:rsidRDefault="00C14B78">
      <w:pPr>
        <w:pStyle w:val="Heading2"/>
        <w:numPr>
          <w:ilvl w:val="0"/>
          <w:numId w:val="3"/>
        </w:numPr>
        <w:spacing w:before="200" w:after="200"/>
      </w:pPr>
      <w:bookmarkStart w:id="4" w:name="_heading=h.jxohr9picawv" w:colFirst="0" w:colLast="0"/>
      <w:bookmarkEnd w:id="4"/>
      <w:r>
        <w:t>Problem Statemen</w:t>
      </w:r>
      <w:r>
        <w:t>t</w:t>
      </w:r>
    </w:p>
    <w:p w:rsidR="002D4700" w:rsidRDefault="00C14B78">
      <w:pPr>
        <w:spacing w:before="200" w:after="200"/>
        <w:rPr>
          <w:highlight w:val="green"/>
        </w:rPr>
      </w:pPr>
      <w:r>
        <w:t xml:space="preserve">Late Blight in potatoes, caused by </w:t>
      </w:r>
      <w:r w:rsidRPr="005F4BFC">
        <w:rPr>
          <w:i/>
          <w:iCs/>
        </w:rPr>
        <w:t xml:space="preserve">P. </w:t>
      </w:r>
      <w:proofErr w:type="spellStart"/>
      <w:r w:rsidRPr="005F4BFC">
        <w:rPr>
          <w:i/>
          <w:iCs/>
        </w:rPr>
        <w:t>Infestans</w:t>
      </w:r>
      <w:proofErr w:type="spellEnd"/>
      <w:r>
        <w:t xml:space="preserve"> can quickly spread across geograph</w:t>
      </w:r>
      <w:r w:rsidR="005F4BFC">
        <w:t>ically connected cultivation fields</w:t>
      </w:r>
      <w:r>
        <w:t xml:space="preserve"> through infected tubers, making it incredibly difficult to monitor</w:t>
      </w:r>
      <w:r w:rsidR="005F4BFC">
        <w:t xml:space="preserve"> or control</w:t>
      </w:r>
      <w:r>
        <w:t>. While traditional machine learning</w:t>
      </w:r>
      <w:r w:rsidR="005F4BFC">
        <w:t xml:space="preserve"> methods are capable of recogniz</w:t>
      </w:r>
      <w:r>
        <w:t xml:space="preserve">ing </w:t>
      </w:r>
      <w:r w:rsidR="005F4BFC">
        <w:t xml:space="preserve">the presence of </w:t>
      </w:r>
      <w:r>
        <w:t>l</w:t>
      </w:r>
      <w:r>
        <w:t xml:space="preserve">ate blight </w:t>
      </w:r>
      <w:r>
        <w:t>in farms, they fail to provide accurate early warning</w:t>
      </w:r>
      <w:r w:rsidR="005F4BFC">
        <w:t>s</w:t>
      </w:r>
      <w:r>
        <w:t xml:space="preserve"> and active monitoring </w:t>
      </w:r>
      <w:r w:rsidR="005F4BFC">
        <w:t xml:space="preserve">guidelines </w:t>
      </w:r>
      <w:r>
        <w:t xml:space="preserve">to potato growers and supply chain managers. </w:t>
      </w:r>
      <w:r w:rsidR="00A05596">
        <w:t>An</w:t>
      </w:r>
      <w:r>
        <w:t xml:space="preserve"> average farmer can</w:t>
      </w:r>
      <w:r w:rsidR="00A05596">
        <w:t xml:space="preserve">not rely on these technologies </w:t>
      </w:r>
      <w:r>
        <w:t>since a possible blight ou</w:t>
      </w:r>
      <w:r w:rsidR="00A05596">
        <w:t>tbreak needs expensive and labo</w:t>
      </w:r>
      <w:r>
        <w:t>r i</w:t>
      </w:r>
      <w:r>
        <w:t>ntensive treatment</w:t>
      </w:r>
      <w:r w:rsidR="00A05596">
        <w:t xml:space="preserve"> procedures</w:t>
      </w:r>
      <w:r>
        <w:t xml:space="preserve">. On the other hand, a false negative </w:t>
      </w:r>
      <w:r w:rsidR="00A05596">
        <w:t>alert while</w:t>
      </w:r>
      <w:r>
        <w:t xml:space="preserve"> calculating the risk of blight in a potato tuber can </w:t>
      </w:r>
      <w:r w:rsidR="00A05596">
        <w:t xml:space="preserve">severely </w:t>
      </w:r>
      <w:r>
        <w:t>decimate the yield capacity of a single cropping season, making the need for an accurate early warning and risk profiling methodology the need</w:t>
      </w:r>
      <w:r>
        <w:t xml:space="preserve"> of the hour.</w:t>
      </w:r>
    </w:p>
    <w:p w:rsidR="002D4700" w:rsidRDefault="00C14B78">
      <w:pPr>
        <w:pStyle w:val="Heading2"/>
        <w:numPr>
          <w:ilvl w:val="0"/>
          <w:numId w:val="3"/>
        </w:numPr>
      </w:pPr>
      <w:bookmarkStart w:id="5" w:name="_heading=h.s9ludedd4voz" w:colFirst="0" w:colLast="0"/>
      <w:bookmarkEnd w:id="5"/>
      <w:r>
        <w:t>Proposed Solution</w:t>
      </w:r>
    </w:p>
    <w:p w:rsidR="002D4700" w:rsidRPr="00AE3669" w:rsidRDefault="00C14B78">
      <w:pPr>
        <w:pStyle w:val="Heading2"/>
        <w:numPr>
          <w:ilvl w:val="1"/>
          <w:numId w:val="3"/>
        </w:numPr>
        <w:rPr>
          <w:sz w:val="28"/>
          <w:szCs w:val="28"/>
        </w:rPr>
      </w:pPr>
      <w:bookmarkStart w:id="6" w:name="_heading=h.8ru2eam3wmdn" w:colFirst="0" w:colLast="0"/>
      <w:bookmarkEnd w:id="6"/>
      <w:r w:rsidRPr="00AE3669">
        <w:rPr>
          <w:sz w:val="28"/>
          <w:szCs w:val="28"/>
        </w:rPr>
        <w:t>Overview</w:t>
      </w:r>
    </w:p>
    <w:p w:rsidR="002D4700" w:rsidRDefault="00C14B78">
      <w:pPr>
        <w:spacing w:before="200" w:after="200"/>
        <w:rPr>
          <w:b/>
        </w:rPr>
      </w:pPr>
      <w:r>
        <w:t xml:space="preserve">To tackle the above-mentioned problems, we are introducing a new AI and Graph-based solution for monitoring </w:t>
      </w:r>
      <w:r w:rsidR="00A30520">
        <w:t xml:space="preserve">and analyzing </w:t>
      </w:r>
      <w:r>
        <w:t xml:space="preserve">Blight outbreaks. This </w:t>
      </w:r>
      <w:r w:rsidR="00A30520">
        <w:t xml:space="preserve">analytical </w:t>
      </w:r>
      <w:r>
        <w:t xml:space="preserve">model consists of </w:t>
      </w:r>
      <w:r w:rsidR="00A30520">
        <w:t xml:space="preserve">primarily </w:t>
      </w:r>
      <w:r>
        <w:t>three components: A graph-based risk analysis system, an AI and Co</w:t>
      </w:r>
      <w:r>
        <w:t>mputer Vision-</w:t>
      </w:r>
      <w:r w:rsidR="00A30520">
        <w:t xml:space="preserve">based diagnostic system, and a comprehensive </w:t>
      </w:r>
      <w:r>
        <w:t>user reporting system for dynamically recalibrating the graph-based model.</w:t>
      </w:r>
    </w:p>
    <w:p w:rsidR="002D4700" w:rsidRDefault="00C14B78">
      <w:pPr>
        <w:pStyle w:val="Heading3"/>
        <w:numPr>
          <w:ilvl w:val="1"/>
          <w:numId w:val="3"/>
        </w:numPr>
        <w:rPr>
          <w:color w:val="000000"/>
        </w:rPr>
      </w:pPr>
      <w:bookmarkStart w:id="7" w:name="_heading=h.44qjbmanchy" w:colFirst="0" w:colLast="0"/>
      <w:bookmarkEnd w:id="7"/>
      <w:r>
        <w:rPr>
          <w:color w:val="000000"/>
        </w:rPr>
        <w:t>Description of the Graph-Based Model</w:t>
      </w:r>
    </w:p>
    <w:p w:rsidR="002D4700" w:rsidRDefault="00C14B78">
      <w:pPr>
        <w:spacing w:before="200" w:after="200"/>
      </w:pPr>
      <w:r>
        <w:t xml:space="preserve">We subdivide </w:t>
      </w:r>
      <w:r w:rsidR="00AE3669">
        <w:t>a given</w:t>
      </w:r>
      <w:r>
        <w:t xml:space="preserve"> geographical region into some elementary zones. Each of these element</w:t>
      </w:r>
      <w:r>
        <w:t xml:space="preserve">ary </w:t>
      </w:r>
      <w:r w:rsidR="00AE3669">
        <w:t>zones gets</w:t>
      </w:r>
      <w:r w:rsidR="007F7CDE">
        <w:t xml:space="preserve"> treated as a node in a</w:t>
      </w:r>
      <w:r>
        <w:t xml:space="preserve"> unidirectional, weighted graph. The entire landmass is divided into </w:t>
      </w:r>
      <w:proofErr w:type="spellStart"/>
      <w:r>
        <w:t>n</w:t>
      </w:r>
      <w:proofErr w:type="spellEnd"/>
      <w:r>
        <w:t xml:space="preserve"> equally sized </w:t>
      </w:r>
      <w:r w:rsidR="007545F5">
        <w:t xml:space="preserve">land </w:t>
      </w:r>
      <w:r>
        <w:t xml:space="preserve">blocks. Each </w:t>
      </w:r>
      <w:r w:rsidR="007545F5">
        <w:t xml:space="preserve">of these </w:t>
      </w:r>
      <w:r>
        <w:t>block</w:t>
      </w:r>
      <w:r w:rsidR="007545F5">
        <w:t>s gets represented by a single node in a graph with the following properties and features:</w:t>
      </w:r>
    </w:p>
    <w:p w:rsidR="002D4700" w:rsidRDefault="00C14B78">
      <w:pPr>
        <w:numPr>
          <w:ilvl w:val="0"/>
          <w:numId w:val="2"/>
        </w:numPr>
      </w:pPr>
      <w:r>
        <w:t xml:space="preserve">Each block is connected to eight other </w:t>
      </w:r>
      <w:r w:rsidR="007545F5">
        <w:t xml:space="preserve">neighboring </w:t>
      </w:r>
      <w:r>
        <w:t>blo</w:t>
      </w:r>
      <w:r>
        <w:t>cks by direct land connection.</w:t>
      </w:r>
    </w:p>
    <w:p w:rsidR="002D4700" w:rsidRDefault="00C14B78">
      <w:pPr>
        <w:numPr>
          <w:ilvl w:val="0"/>
          <w:numId w:val="2"/>
        </w:numPr>
      </w:pPr>
      <w:r>
        <w:t>One block can be connected to any other block in the following ways:</w:t>
      </w:r>
    </w:p>
    <w:p w:rsidR="002D4700" w:rsidRDefault="00C14B78">
      <w:pPr>
        <w:numPr>
          <w:ilvl w:val="1"/>
          <w:numId w:val="2"/>
        </w:numPr>
      </w:pPr>
      <w:r>
        <w:t>Air Route</w:t>
      </w:r>
    </w:p>
    <w:p w:rsidR="002D4700" w:rsidRDefault="00C14B78">
      <w:pPr>
        <w:numPr>
          <w:ilvl w:val="1"/>
          <w:numId w:val="2"/>
        </w:numPr>
      </w:pPr>
      <w:r>
        <w:t>Road</w:t>
      </w:r>
    </w:p>
    <w:p w:rsidR="002D4700" w:rsidRDefault="00C14B78">
      <w:pPr>
        <w:numPr>
          <w:ilvl w:val="1"/>
          <w:numId w:val="2"/>
        </w:numPr>
      </w:pPr>
      <w:r>
        <w:t>Rail</w:t>
      </w:r>
    </w:p>
    <w:p w:rsidR="002D4700" w:rsidRDefault="00C14B78">
      <w:pPr>
        <w:numPr>
          <w:ilvl w:val="1"/>
          <w:numId w:val="2"/>
        </w:numPr>
      </w:pPr>
      <w:r>
        <w:t>Sea Route</w:t>
      </w:r>
    </w:p>
    <w:p w:rsidR="002D4700" w:rsidRDefault="00C14B78">
      <w:pPr>
        <w:numPr>
          <w:ilvl w:val="1"/>
          <w:numId w:val="2"/>
        </w:numPr>
      </w:pPr>
      <w:r>
        <w:t>Sea Current</w:t>
      </w:r>
    </w:p>
    <w:p w:rsidR="002D4700" w:rsidRDefault="00C14B78">
      <w:pPr>
        <w:numPr>
          <w:ilvl w:val="1"/>
          <w:numId w:val="2"/>
        </w:numPr>
      </w:pPr>
      <w:r>
        <w:t>Air current/Air Stream</w:t>
      </w:r>
    </w:p>
    <w:p w:rsidR="002D4700" w:rsidRDefault="00C14B78">
      <w:pPr>
        <w:numPr>
          <w:ilvl w:val="1"/>
          <w:numId w:val="2"/>
        </w:numPr>
      </w:pPr>
      <w:r>
        <w:t>Foot trail</w:t>
      </w:r>
    </w:p>
    <w:p w:rsidR="002D4700" w:rsidRDefault="00C14B78">
      <w:pPr>
        <w:numPr>
          <w:ilvl w:val="0"/>
          <w:numId w:val="2"/>
        </w:numPr>
      </w:pPr>
      <w:r>
        <w:t>Each block has a risk factor R associated with it. R is the probability of finding a case of the disease in that location.</w:t>
      </w:r>
    </w:p>
    <w:p w:rsidR="002D4700" w:rsidRDefault="00C14B78">
      <w:pPr>
        <w:spacing w:before="200" w:after="200"/>
      </w:pPr>
      <w:r>
        <w:lastRenderedPageBreak/>
        <w:t xml:space="preserve">A node L1 can be connected to any other node L2 by a directed edge, the weight of which depends on the Vector Score </w:t>
      </w:r>
      <w:proofErr w:type="gramStart"/>
      <w:r>
        <w:t>V(</w:t>
      </w:r>
      <w:proofErr w:type="gramEnd"/>
      <w:r>
        <w:t>L1,L2). V can b</w:t>
      </w:r>
      <w:r>
        <w:t>e represented as,</w:t>
      </w:r>
    </w:p>
    <w:p w:rsidR="002D4700" w:rsidRDefault="00C14B78">
      <w:pPr>
        <w:spacing w:before="200" w:after="200"/>
        <w:jc w:val="center"/>
      </w:pPr>
      <w:proofErr w:type="gramStart"/>
      <w:r>
        <w:t>V(</w:t>
      </w:r>
      <w:proofErr w:type="gramEnd"/>
      <w:r>
        <w:t>L1,L2) = P(L1|L2)</w:t>
      </w:r>
    </w:p>
    <w:p w:rsidR="002D4700" w:rsidRDefault="00C14B78">
      <w:pPr>
        <w:spacing w:before="200" w:after="200"/>
      </w:pPr>
      <w:r>
        <w:t xml:space="preserve">Where </w:t>
      </w:r>
      <w:proofErr w:type="gramStart"/>
      <w:r>
        <w:t>P(</w:t>
      </w:r>
      <w:proofErr w:type="gramEnd"/>
      <w:r>
        <w:t xml:space="preserve">L1) is the probability of finding the disease in node/block L1. </w:t>
      </w:r>
      <w:proofErr w:type="gramStart"/>
      <w:r>
        <w:t>P(</w:t>
      </w:r>
      <w:proofErr w:type="gramEnd"/>
      <w:r>
        <w:t>L1|L2) is the probability of finding the disease, provided the disease has been found in node/block L2. The formula for calculating the edge wei</w:t>
      </w:r>
      <w:r>
        <w:t>ght can be as follows.</w:t>
      </w:r>
    </w:p>
    <w:p w:rsidR="002D4700" w:rsidRDefault="00C14B78">
      <w:pPr>
        <w:spacing w:before="200" w:after="200"/>
        <w:jc w:val="center"/>
      </w:pPr>
      <w:r>
        <w:t xml:space="preserve">V = </w:t>
      </w:r>
      <w:proofErr w:type="spellStart"/>
      <w:proofErr w:type="gramStart"/>
      <w:r>
        <w:t>Vn</w:t>
      </w:r>
      <w:proofErr w:type="spellEnd"/>
      <w:r>
        <w:t xml:space="preserve"> .</w:t>
      </w:r>
      <w:proofErr w:type="gramEnd"/>
      <w:r>
        <w:t xml:space="preserve"> </w:t>
      </w:r>
      <w:proofErr w:type="gramStart"/>
      <w:r>
        <w:t>D(</w:t>
      </w:r>
      <w:proofErr w:type="spellStart"/>
      <w:proofErr w:type="gramEnd"/>
      <w:r>
        <w:t>Vn,t</w:t>
      </w:r>
      <w:proofErr w:type="spellEnd"/>
      <w:r>
        <w:t>)</w:t>
      </w:r>
    </w:p>
    <w:p w:rsidR="002D4700" w:rsidRDefault="00C14B78">
      <w:pPr>
        <w:spacing w:before="200" w:after="200"/>
        <w:jc w:val="center"/>
      </w:pPr>
      <w:proofErr w:type="spellStart"/>
      <w:r>
        <w:t>Vn</w:t>
      </w:r>
      <w:proofErr w:type="spellEnd"/>
      <w:r>
        <w:t xml:space="preserve"> = </w:t>
      </w:r>
      <w:proofErr w:type="gramStart"/>
      <w:r>
        <w:t>[ a</w:t>
      </w:r>
      <w:proofErr w:type="gramEnd"/>
      <w:r>
        <w:t xml:space="preserve"> w </w:t>
      </w:r>
      <w:proofErr w:type="spellStart"/>
      <w:r>
        <w:t>i</w:t>
      </w:r>
      <w:proofErr w:type="spellEnd"/>
      <w:r>
        <w:t xml:space="preserve"> h ]</w:t>
      </w:r>
    </w:p>
    <w:p w:rsidR="002D4700" w:rsidRDefault="00C14B78">
      <w:pPr>
        <w:spacing w:before="200" w:after="200"/>
      </w:pPr>
      <w:r>
        <w:t>Where,</w:t>
      </w:r>
    </w:p>
    <w:p w:rsidR="002D4700" w:rsidRDefault="00C14B78">
      <w:pPr>
        <w:jc w:val="center"/>
      </w:pPr>
      <w:r>
        <w:t xml:space="preserve">a = </w:t>
      </w:r>
      <w:proofErr w:type="gramStart"/>
      <w:r>
        <w:t>P(</w:t>
      </w:r>
      <w:proofErr w:type="gramEnd"/>
      <w:r>
        <w:t>L1|L2) given the mode of transmission is air at the exact moment the disease is first detected in L2</w:t>
      </w:r>
    </w:p>
    <w:p w:rsidR="002D4700" w:rsidRDefault="00C14B78">
      <w:pPr>
        <w:jc w:val="center"/>
      </w:pPr>
      <w:r>
        <w:t xml:space="preserve">w = </w:t>
      </w:r>
      <w:proofErr w:type="gramStart"/>
      <w:r>
        <w:t>P(</w:t>
      </w:r>
      <w:proofErr w:type="gramEnd"/>
      <w:r>
        <w:t>L1|L2) given the mode of transmission is water at the exact moment the disease is first detected in L2</w:t>
      </w:r>
    </w:p>
    <w:p w:rsidR="002D4700" w:rsidRDefault="00C14B78">
      <w:pPr>
        <w:jc w:val="center"/>
      </w:pPr>
      <w:proofErr w:type="spellStart"/>
      <w:r>
        <w:t>i</w:t>
      </w:r>
      <w:proofErr w:type="spellEnd"/>
      <w:r>
        <w:t xml:space="preserve"> = </w:t>
      </w:r>
      <w:proofErr w:type="gramStart"/>
      <w:r>
        <w:t>P(</w:t>
      </w:r>
      <w:proofErr w:type="gramEnd"/>
      <w:r>
        <w:t>L1|L2) given insects act as a vector at the exact moment the disease is first detected in L2</w:t>
      </w:r>
    </w:p>
    <w:p w:rsidR="002D4700" w:rsidRDefault="00C14B78">
      <w:pPr>
        <w:jc w:val="center"/>
      </w:pPr>
      <w:r>
        <w:t xml:space="preserve">h = </w:t>
      </w:r>
      <w:proofErr w:type="gramStart"/>
      <w:r>
        <w:t>P(</w:t>
      </w:r>
      <w:proofErr w:type="gramEnd"/>
      <w:r>
        <w:t>L1|L2) given humans act as a vector at the</w:t>
      </w:r>
      <w:r>
        <w:t xml:space="preserve"> exact moment the disease is first detected in L2</w:t>
      </w:r>
    </w:p>
    <w:p w:rsidR="002D4700" w:rsidRDefault="00C14B78">
      <w:proofErr w:type="spellStart"/>
      <w:r>
        <w:t>Vn</w:t>
      </w:r>
      <w:proofErr w:type="spellEnd"/>
      <w:r>
        <w:t xml:space="preserve"> is also called the Transport Factor. It is an intrinsic, time-invariant property of a particular edge.</w:t>
      </w:r>
    </w:p>
    <w:p w:rsidR="002D4700" w:rsidRDefault="00C14B78">
      <w:pPr>
        <w:spacing w:before="200" w:after="200"/>
      </w:pPr>
      <w:r>
        <w:t xml:space="preserve">The matrix </w:t>
      </w:r>
      <w:proofErr w:type="gramStart"/>
      <w:r>
        <w:t>[ f1</w:t>
      </w:r>
      <w:proofErr w:type="gramEnd"/>
      <w:r>
        <w:t>(t) f2(t) f3(t) f4(t) ]</w:t>
      </w:r>
      <m:oMath>
        <m:sSup>
          <m:sSupPr>
            <m:ctrlPr>
              <w:rPr>
                <w:rFonts w:ascii="Cambria Math" w:eastAsia="Cambria Math" w:hAnsi="Cambria Math" w:cs="Cambria Math"/>
              </w:rPr>
            </m:ctrlPr>
          </m:sSupPr>
          <m:e/>
          <m:sup>
            <m:r>
              <w:rPr>
                <w:rFonts w:ascii="Cambria Math" w:eastAsia="Cambria Math" w:hAnsi="Cambria Math" w:cs="Cambria Math"/>
              </w:rPr>
              <m:t>T</m:t>
            </m:r>
          </m:sup>
        </m:sSup>
      </m:oMath>
      <w:r>
        <w:t xml:space="preserve"> is also called Decay Vector D(Y,t) for the vector Y. It spe</w:t>
      </w:r>
      <w:proofErr w:type="spellStart"/>
      <w:r>
        <w:t>cifies</w:t>
      </w:r>
      <w:proofErr w:type="spellEnd"/>
      <w:r>
        <w:t xml:space="preserve"> how the risk of each transmission medium depends on time. Each </w:t>
      </w:r>
      <w:proofErr w:type="spellStart"/>
      <w:proofErr w:type="gramStart"/>
      <w:r>
        <w:t>fn</w:t>
      </w:r>
      <w:proofErr w:type="spellEnd"/>
      <w:r>
        <w:t>(</w:t>
      </w:r>
      <w:proofErr w:type="gramEnd"/>
      <w:r>
        <w:t>t) has the general form</w:t>
      </w:r>
    </w:p>
    <w:p w:rsidR="002D4700" w:rsidRDefault="00C14B78">
      <w:pPr>
        <w:spacing w:before="200" w:after="200"/>
        <w:jc w:val="center"/>
      </w:pPr>
      <w:proofErr w:type="spellStart"/>
      <w:proofErr w:type="gramStart"/>
      <w:r>
        <w:t>fn</w:t>
      </w:r>
      <w:proofErr w:type="spellEnd"/>
      <w:r>
        <w:t>(</w:t>
      </w:r>
      <w:proofErr w:type="gramEnd"/>
      <w:r>
        <w:t xml:space="preserve">t) = </w:t>
      </w:r>
      <m:oMath>
        <m:r>
          <w:rPr>
            <w:rFonts w:ascii="Cambria Math" w:eastAsia="Cambria Math" w:hAnsi="Cambria Math" w:cs="Cambria Math"/>
          </w:rPr>
          <m:t>Γe</m:t>
        </m:r>
        <m:sSup>
          <m:sSupPr>
            <m:ctrlPr>
              <w:rPr>
                <w:rFonts w:ascii="Cambria Math" w:eastAsia="Cambria Math" w:hAnsi="Cambria Math" w:cs="Cambria Math"/>
              </w:rPr>
            </m:ctrlPr>
          </m:sSupPr>
          <m:e/>
          <m:sup>
            <m:r>
              <w:rPr>
                <w:rFonts w:ascii="Cambria Math" w:eastAsia="Cambria Math" w:hAnsi="Cambria Math" w:cs="Cambria Math"/>
              </w:rPr>
              <m:t>-</m:t>
            </m:r>
            <m:r>
              <w:rPr>
                <w:rFonts w:ascii="Cambria Math" w:eastAsia="Cambria Math" w:hAnsi="Cambria Math" w:cs="Cambria Math"/>
              </w:rPr>
              <m:t>φϕt</m:t>
            </m:r>
          </m:sup>
        </m:sSup>
      </m:oMath>
      <w:r>
        <w:t xml:space="preserve"> + c</w:t>
      </w:r>
    </w:p>
    <w:p w:rsidR="002D4700" w:rsidRDefault="00C14B78">
      <w:pPr>
        <w:spacing w:before="200" w:after="200"/>
      </w:pPr>
      <w:r>
        <w:t>Where,</w:t>
      </w:r>
    </w:p>
    <w:p w:rsidR="002D4700" w:rsidRDefault="00C14B78">
      <w:pPr>
        <w:jc w:val="center"/>
      </w:pPr>
      <m:oMath>
        <m:r>
          <w:rPr>
            <w:rFonts w:ascii="Cambria Math" w:hAnsi="Cambria Math"/>
          </w:rPr>
          <m:t>ϕ</m:t>
        </m:r>
      </m:oMath>
      <w:r>
        <w:t xml:space="preserve"> = constant that depends on the vector and disease</w:t>
      </w:r>
    </w:p>
    <w:p w:rsidR="002D4700" w:rsidRDefault="00C14B78">
      <w:pPr>
        <w:jc w:val="center"/>
      </w:pPr>
      <m:oMath>
        <m:r>
          <w:rPr>
            <w:rFonts w:ascii="Cambria Math" w:hAnsi="Cambria Math"/>
          </w:rPr>
          <m:t>φ</m:t>
        </m:r>
      </m:oMath>
      <w:r>
        <w:t xml:space="preserve"> = constant that depends on the government policies and quarantine method</w:t>
      </w:r>
      <w:r>
        <w:t>s</w:t>
      </w:r>
    </w:p>
    <w:p w:rsidR="002D4700" w:rsidRDefault="00C14B78">
      <w:pPr>
        <w:jc w:val="center"/>
      </w:pPr>
      <m:oMath>
        <m:r>
          <w:rPr>
            <w:rFonts w:ascii="Cambria Math" w:hAnsi="Cambria Math"/>
          </w:rPr>
          <m:t>Γ</m:t>
        </m:r>
      </m:oMath>
      <w:r>
        <w:t xml:space="preserve"> = constant that depends on the disease</w:t>
      </w:r>
    </w:p>
    <w:p w:rsidR="002D4700" w:rsidRDefault="00C14B78">
      <w:pPr>
        <w:jc w:val="center"/>
      </w:pPr>
      <w:proofErr w:type="gramStart"/>
      <w:r>
        <w:t>c  =</w:t>
      </w:r>
      <w:proofErr w:type="gramEnd"/>
      <w:r>
        <w:t xml:space="preserve">  positive constant that depends on the disease</w:t>
      </w:r>
    </w:p>
    <w:p w:rsidR="002D4700" w:rsidRDefault="00C14B78">
      <w:pPr>
        <w:spacing w:before="200" w:after="200"/>
      </w:pPr>
      <w:r>
        <w:t xml:space="preserve">For </w:t>
      </w:r>
      <w:proofErr w:type="gramStart"/>
      <w:r>
        <w:t>V(</w:t>
      </w:r>
      <w:proofErr w:type="gramEnd"/>
      <w:r>
        <w:t xml:space="preserve">L1,L2), Y = Vn. Each node also has a Susceptibility Score </w:t>
      </w:r>
      <w:proofErr w:type="gramStart"/>
      <w:r>
        <w:t>S(</w:t>
      </w:r>
      <w:proofErr w:type="gramEnd"/>
      <w:r>
        <w:t>L1,m). Where S can be represented as,</w:t>
      </w:r>
    </w:p>
    <w:p w:rsidR="002D4700" w:rsidRDefault="00C14B78">
      <w:pPr>
        <w:spacing w:before="200" w:after="200"/>
        <w:jc w:val="center"/>
      </w:pPr>
      <w:r>
        <w:t>S = (</w:t>
      </w:r>
      <w:proofErr w:type="gramStart"/>
      <w:r>
        <w:t>E .</w:t>
      </w:r>
      <w:proofErr w:type="gramEnd"/>
      <w:r>
        <w:t xml:space="preserve"> Sn</w:t>
      </w:r>
      <m:oMath>
        <m:sSup>
          <m:sSupPr>
            <m:ctrlPr>
              <w:rPr>
                <w:rFonts w:ascii="Cambria Math" w:eastAsia="Cambria Math" w:hAnsi="Cambria Math" w:cs="Cambria Math"/>
              </w:rPr>
            </m:ctrlPr>
          </m:sSupPr>
          <m:e/>
          <m:sup>
            <m:r>
              <w:rPr>
                <w:rFonts w:ascii="Cambria Math" w:eastAsia="Cambria Math" w:hAnsi="Cambria Math" w:cs="Cambria Math"/>
              </w:rPr>
              <m:t>T</m:t>
            </m:r>
          </m:sup>
        </m:sSup>
      </m:oMath>
      <w:proofErr w:type="gramStart"/>
      <w:r>
        <w:t>) .</w:t>
      </w:r>
      <w:proofErr w:type="gramEnd"/>
      <w:r>
        <w:t xml:space="preserve"> </w:t>
      </w:r>
      <w:proofErr w:type="gramStart"/>
      <w:r>
        <w:t>D(</w:t>
      </w:r>
      <w:proofErr w:type="gramEnd"/>
      <w:r>
        <w:t>Sn,t)</w:t>
      </w:r>
      <m:oMath>
        <m:sSup>
          <m:sSupPr>
            <m:ctrlPr>
              <w:rPr>
                <w:rFonts w:ascii="Cambria Math" w:eastAsia="Cambria Math" w:hAnsi="Cambria Math" w:cs="Cambria Math"/>
              </w:rPr>
            </m:ctrlPr>
          </m:sSupPr>
          <m:e/>
          <m:sup>
            <m:r>
              <w:rPr>
                <w:rFonts w:ascii="Cambria Math" w:eastAsia="Cambria Math" w:hAnsi="Cambria Math" w:cs="Cambria Math"/>
              </w:rPr>
              <m:t>T</m:t>
            </m:r>
          </m:sup>
        </m:sSup>
      </m:oMath>
    </w:p>
    <w:p w:rsidR="002D4700" w:rsidRDefault="00C14B78">
      <w:pPr>
        <w:spacing w:before="200" w:after="200"/>
        <w:jc w:val="center"/>
      </w:pPr>
      <w:r>
        <w:t xml:space="preserve">Sn = </w:t>
      </w:r>
      <w:proofErr w:type="gramStart"/>
      <w:r>
        <w:t>[ T</w:t>
      </w:r>
      <w:proofErr w:type="gramEnd"/>
      <w:r>
        <w:t xml:space="preserve"> r u v ]</w:t>
      </w:r>
    </w:p>
    <w:p w:rsidR="002D4700" w:rsidRDefault="00C14B78">
      <w:pPr>
        <w:spacing w:before="200" w:after="200"/>
      </w:pPr>
      <w:r>
        <w:t>Where,</w:t>
      </w:r>
    </w:p>
    <w:p w:rsidR="002D4700" w:rsidRDefault="00C14B78">
      <w:pPr>
        <w:jc w:val="center"/>
      </w:pPr>
      <w:r>
        <w:t>T = Average temperature of the node/block L1 in Kelvin for the month m</w:t>
      </w:r>
    </w:p>
    <w:p w:rsidR="002D4700" w:rsidRDefault="00C14B78">
      <w:pPr>
        <w:jc w:val="center"/>
      </w:pPr>
      <w:r>
        <w:t>r = Average rainfall recorded in the node/block L1 in mm for the month m</w:t>
      </w:r>
    </w:p>
    <w:p w:rsidR="002D4700" w:rsidRDefault="00C14B78">
      <w:pPr>
        <w:jc w:val="center"/>
      </w:pPr>
      <w:r>
        <w:t>u = Average relative humidity in the node/block L1 in % for the month m</w:t>
      </w:r>
    </w:p>
    <w:p w:rsidR="002D4700" w:rsidRDefault="00C14B78">
      <w:pPr>
        <w:jc w:val="center"/>
      </w:pPr>
      <w:r>
        <w:t>v = Average irradiance of solar radiatio</w:t>
      </w:r>
      <w:r>
        <w:t>n with wavelength 400nm - 1900nm received per meter square in the node/block L1 measured in W/m</w:t>
      </w:r>
      <w:r>
        <w:rPr>
          <w:vertAlign w:val="superscript"/>
        </w:rPr>
        <w:t>2</w:t>
      </w:r>
      <w:r>
        <w:t xml:space="preserve"> for the month m</w:t>
      </w:r>
    </w:p>
    <w:p w:rsidR="002D4700" w:rsidRDefault="00C14B78">
      <w:pPr>
        <w:jc w:val="center"/>
      </w:pPr>
      <w:r>
        <w:t xml:space="preserve">E = A square matrix of size </w:t>
      </w:r>
      <w:proofErr w:type="gramStart"/>
      <w:r>
        <w:t>dim(</w:t>
      </w:r>
      <w:proofErr w:type="gramEnd"/>
      <w:r>
        <w:t>Sn)</w:t>
      </w:r>
      <w:proofErr w:type="spellStart"/>
      <w:r>
        <w:t>xdim</w:t>
      </w:r>
      <w:proofErr w:type="spellEnd"/>
      <w:r>
        <w:t>(Sn) that represents the dependency of the disease on a particular environmental factor.</w:t>
      </w:r>
    </w:p>
    <w:p w:rsidR="002D4700" w:rsidRDefault="00C14B78">
      <w:pPr>
        <w:spacing w:before="200" w:after="200"/>
      </w:pPr>
      <w:r>
        <w:lastRenderedPageBreak/>
        <w:t>From the above,</w:t>
      </w:r>
      <w:r>
        <w:t xml:space="preserve"> it can be deduced that </w:t>
      </w:r>
      <w:proofErr w:type="gramStart"/>
      <w:r>
        <w:t>S(</w:t>
      </w:r>
      <w:proofErr w:type="gramEnd"/>
      <w:r>
        <w:t>L1,m) can also be represented as,</w:t>
      </w:r>
    </w:p>
    <w:p w:rsidR="002D4700" w:rsidRDefault="00C14B78">
      <w:pPr>
        <w:spacing w:before="200" w:after="200"/>
        <w:jc w:val="center"/>
      </w:pPr>
      <w:proofErr w:type="gramStart"/>
      <w:r>
        <w:t>S(</w:t>
      </w:r>
      <w:proofErr w:type="gramEnd"/>
      <w:r>
        <w:t>L1,m) = P(L1|t)</w:t>
      </w:r>
    </w:p>
    <w:p w:rsidR="002D4700" w:rsidRDefault="00C14B78">
      <w:pPr>
        <w:spacing w:before="200" w:after="200"/>
      </w:pPr>
      <w:r>
        <w:t>Where,</w:t>
      </w:r>
    </w:p>
    <w:p w:rsidR="002D4700" w:rsidRDefault="00C14B78">
      <w:pPr>
        <w:spacing w:before="200" w:after="200"/>
        <w:jc w:val="center"/>
      </w:pPr>
      <w:proofErr w:type="gramStart"/>
      <w:r>
        <w:t>P(</w:t>
      </w:r>
      <w:proofErr w:type="gramEnd"/>
      <w:r>
        <w:t>L1|t) = Probability of finding the disease at L1 at time t.</w:t>
      </w:r>
    </w:p>
    <w:p w:rsidR="002D4700" w:rsidRDefault="00C14B78">
      <w:pPr>
        <w:spacing w:before="200" w:after="200"/>
      </w:pPr>
      <w:r>
        <w:t>The risk can be formulated as</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m:t>
              </m:r>
              <m:r>
                <w:rPr>
                  <w:rFonts w:ascii="Cambria Math" w:eastAsia="Cambria Math" w:hAnsi="Cambria Math" w:cs="Cambria Math"/>
                </w:rPr>
                <m:t>,</m:t>
              </m:r>
              <m:r>
                <w:rPr>
                  <w:rFonts w:ascii="Cambria Math" w:eastAsia="Cambria Math" w:hAnsi="Cambria Math" w:cs="Cambria Math"/>
                </w:rPr>
                <m:t>t</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exp</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ηe</m:t>
                  </m:r>
                  <m:sSup>
                    <m:sSupPr>
                      <m:ctrlPr>
                        <w:rPr>
                          <w:rFonts w:ascii="Cambria Math" w:eastAsia="Cambria Math" w:hAnsi="Cambria Math" w:cs="Cambria Math"/>
                        </w:rPr>
                      </m:ctrlPr>
                    </m:sSupPr>
                    <m:e/>
                    <m:sup>
                      <m:r>
                        <w:rPr>
                          <w:rFonts w:ascii="Cambria Math" w:eastAsia="Cambria Math" w:hAnsi="Cambria Math" w:cs="Cambria Math"/>
                        </w:rPr>
                        <m:t>-</m:t>
                      </m:r>
                      <m:r>
                        <w:rPr>
                          <w:rFonts w:ascii="Cambria Math" w:eastAsia="Cambria Math" w:hAnsi="Cambria Math" w:cs="Cambria Math"/>
                        </w:rPr>
                        <m:t>γt</m:t>
                      </m:r>
                    </m:sup>
                  </m:sSup>
                  <m:d>
                    <m:dPr>
                      <m:ctrlPr>
                        <w:rPr>
                          <w:rFonts w:ascii="Cambria Math" w:eastAsia="Cambria Math" w:hAnsi="Cambria Math" w:cs="Cambria Math"/>
                        </w:rPr>
                      </m:ctrlPr>
                    </m:dPr>
                    <m:e>
                      <m:nary>
                        <m:naryPr>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0</m:t>
                          </m:r>
                        </m:sub>
                        <m:sup>
                          <m:r>
                            <w:rPr>
                              <w:rFonts w:ascii="Cambria Math" w:eastAsia="Cambria Math" w:hAnsi="Cambria Math" w:cs="Cambria Math"/>
                            </w:rPr>
                            <m:t>tf</m:t>
                          </m:r>
                        </m:sup>
                        <m:e/>
                      </m:nary>
                      <m:r>
                        <w:rPr>
                          <w:rFonts w:ascii="Cambria Math" w:eastAsia="Cambria Math" w:hAnsi="Cambria Math" w:cs="Cambria Math"/>
                        </w:rPr>
                        <m:t>κS</m:t>
                      </m:r>
                      <m:sSup>
                        <m:sSupPr>
                          <m:ctrlPr>
                            <w:rPr>
                              <w:rFonts w:ascii="Cambria Math" w:eastAsia="Cambria Math" w:hAnsi="Cambria Math" w:cs="Cambria Math"/>
                            </w:rPr>
                          </m:ctrlPr>
                        </m:sSupPr>
                        <m:e/>
                        <m:sup>
                          <m:r>
                            <w:rPr>
                              <w:rFonts w:ascii="Cambria Math" w:eastAsia="Cambria Math" w:hAnsi="Cambria Math" w:cs="Cambria Math"/>
                            </w:rPr>
                            <m:t>α</m:t>
                          </m:r>
                        </m:sup>
                      </m:sSup>
                      <m:d>
                        <m:dPr>
                          <m:ctrlPr>
                            <w:rPr>
                              <w:rFonts w:ascii="Cambria Math" w:eastAsia="Cambria Math" w:hAnsi="Cambria Math" w:cs="Cambria Math"/>
                            </w:rPr>
                          </m:ctrlPr>
                        </m:dPr>
                        <m:e>
                          <m:r>
                            <w:rPr>
                              <w:rFonts w:ascii="Cambria Math" w:eastAsia="Cambria Math" w:hAnsi="Cambria Math" w:cs="Cambria Math"/>
                            </w:rPr>
                            <m:t>Lk</m:t>
                          </m:r>
                          <m:r>
                            <w:rPr>
                              <w:rFonts w:ascii="Cambria Math" w:eastAsia="Cambria Math" w:hAnsi="Cambria Math" w:cs="Cambria Math"/>
                            </w:rPr>
                            <m:t>,</m:t>
                          </m:r>
                          <m:r>
                            <w:rPr>
                              <w:rFonts w:ascii="Cambria Math" w:eastAsia="Cambria Math" w:hAnsi="Cambria Math" w:cs="Cambria Math"/>
                            </w:rPr>
                            <m:t>t</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q</m:t>
                          </m:r>
                        </m:sup>
                        <m:e/>
                      </m:nary>
                      <m:r>
                        <w:rPr>
                          <w:rFonts w:ascii="Cambria Math" w:eastAsia="Cambria Math" w:hAnsi="Cambria Math" w:cs="Cambria Math"/>
                        </w:rPr>
                        <m:t>ξV</m:t>
                      </m:r>
                      <m:sSup>
                        <m:sSupPr>
                          <m:ctrlPr>
                            <w:rPr>
                              <w:rFonts w:ascii="Cambria Math" w:eastAsia="Cambria Math" w:hAnsi="Cambria Math" w:cs="Cambria Math"/>
                            </w:rPr>
                          </m:ctrlPr>
                        </m:sSupPr>
                        <m:e/>
                        <m:sup>
                          <m:r>
                            <w:rPr>
                              <w:rFonts w:ascii="Cambria Math" w:eastAsia="Cambria Math" w:hAnsi="Cambria Math" w:cs="Cambria Math"/>
                            </w:rPr>
                            <m:t>β</m:t>
                          </m:r>
                        </m:sup>
                      </m:sSup>
                      <m:d>
                        <m:dPr>
                          <m:ctrlPr>
                            <w:rPr>
                              <w:rFonts w:ascii="Cambria Math" w:eastAsia="Cambria Math" w:hAnsi="Cambria Math" w:cs="Cambria Math"/>
                            </w:rPr>
                          </m:ctrlPr>
                        </m:dPr>
                        <m:e>
                          <m:r>
                            <w:rPr>
                              <w:rFonts w:ascii="Cambria Math" w:eastAsia="Cambria Math" w:hAnsi="Cambria Math" w:cs="Cambria Math"/>
                            </w:rPr>
                            <m:t>Li</m:t>
                          </m:r>
                          <m:r>
                            <w:rPr>
                              <w:rFonts w:ascii="Cambria Math" w:eastAsia="Cambria Math" w:hAnsi="Cambria Math" w:cs="Cambria Math"/>
                            </w:rPr>
                            <m:t>,</m:t>
                          </m:r>
                          <m:r>
                            <w:rPr>
                              <w:rFonts w:ascii="Cambria Math" w:eastAsia="Cambria Math" w:hAnsi="Cambria Math" w:cs="Cambria Math"/>
                            </w:rPr>
                            <m:t>Lk</m:t>
                          </m:r>
                        </m:e>
                      </m:d>
                      <m:r>
                        <w:rPr>
                          <w:rFonts w:ascii="Cambria Math" w:eastAsia="Cambria Math" w:hAnsi="Cambria Math" w:cs="Cambria Math"/>
                        </w:rPr>
                        <m:t>.</m:t>
                      </m:r>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m:t>
                          </m:r>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t</m:t>
                          </m:r>
                        </m:e>
                      </m:d>
                    </m:e>
                  </m:d>
                  <m:r>
                    <w:rPr>
                      <w:rFonts w:ascii="Cambria Math" w:eastAsia="Cambria Math" w:hAnsi="Cambria Math" w:cs="Cambria Math"/>
                    </w:rPr>
                    <m:t>-</m:t>
                  </m:r>
                  <m:r>
                    <w:rPr>
                      <w:rFonts w:ascii="Cambria Math" w:eastAsia="Cambria Math" w:hAnsi="Cambria Math" w:cs="Cambria Math"/>
                    </w:rPr>
                    <m:t>μ</m:t>
                  </m:r>
                </m:e>
              </m:d>
            </m:e>
          </m:d>
          <m:sSup>
            <m:sSupPr>
              <m:ctrlPr>
                <w:rPr>
                  <w:rFonts w:ascii="Cambria Math" w:eastAsia="Cambria Math" w:hAnsi="Cambria Math" w:cs="Cambria Math"/>
                </w:rPr>
              </m:ctrlPr>
            </m:sSupPr>
            <m:e/>
            <m:sup>
              <m:r>
                <w:rPr>
                  <w:rFonts w:ascii="Cambria Math" w:eastAsia="Cambria Math" w:hAnsi="Cambria Math" w:cs="Cambria Math"/>
                </w:rPr>
                <m:t>-</m:t>
              </m:r>
              <m:r>
                <w:rPr>
                  <w:rFonts w:ascii="Cambria Math" w:eastAsia="Cambria Math" w:hAnsi="Cambria Math" w:cs="Cambria Math"/>
                </w:rPr>
                <m:t>ζ</m:t>
              </m:r>
            </m:sup>
          </m:sSup>
        </m:oMath>
      </m:oMathPara>
    </w:p>
    <w:p w:rsidR="002D4700" w:rsidRDefault="00C14B78">
      <w:pPr>
        <w:spacing w:before="200" w:after="200"/>
      </w:pPr>
      <w:r>
        <w:t xml:space="preserve">The </w:t>
      </w:r>
      <w:r w:rsidR="007545F5">
        <w:t>expression</w:t>
      </w:r>
      <w:r>
        <w:t xml:space="preserve"> </w:t>
      </w:r>
      <m:oMath>
        <m:r>
          <w:rPr>
            <w:rFonts w:ascii="Cambria Math" w:eastAsia="Cambria Math" w:hAnsi="Cambria Math" w:cs="Cambria Math"/>
          </w:rPr>
          <m:t>ηe</m:t>
        </m:r>
        <m:sSup>
          <m:sSupPr>
            <m:ctrlPr>
              <w:rPr>
                <w:rFonts w:ascii="Cambria Math" w:eastAsia="Cambria Math" w:hAnsi="Cambria Math" w:cs="Cambria Math"/>
              </w:rPr>
            </m:ctrlPr>
          </m:sSupPr>
          <m:e/>
          <m:sup>
            <m:r>
              <w:rPr>
                <w:rFonts w:ascii="Cambria Math" w:eastAsia="Cambria Math" w:hAnsi="Cambria Math" w:cs="Cambria Math"/>
              </w:rPr>
              <m:t>-</m:t>
            </m:r>
            <m:r>
              <w:rPr>
                <w:rFonts w:ascii="Cambria Math" w:eastAsia="Cambria Math" w:hAnsi="Cambria Math" w:cs="Cambria Math"/>
              </w:rPr>
              <m:t>γt</m:t>
            </m:r>
          </m:sup>
        </m:sSup>
      </m:oMath>
      <w:r>
        <w:t xml:space="preserve"> is called </w:t>
      </w:r>
      <w:r w:rsidRPr="007545F5">
        <w:rPr>
          <w:i/>
          <w:iCs/>
        </w:rPr>
        <w:t>Recovery Coefficient</w:t>
      </w:r>
      <w:r w:rsidR="007545F5">
        <w:t xml:space="preserve"> and it </w:t>
      </w:r>
      <w:r>
        <w:t>specifies the rate at which the</w:t>
      </w:r>
      <w:r w:rsidR="007545F5">
        <w:t xml:space="preserve"> effect of the disease dies off (in other words diminishing gradient)</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m:t>
              </m:r>
              <m:r>
                <w:rPr>
                  <w:rFonts w:ascii="Cambria Math" w:eastAsia="Cambria Math" w:hAnsi="Cambria Math" w:cs="Cambria Math"/>
                </w:rPr>
                <m:t>,</m:t>
              </m:r>
              <m:r>
                <w:rPr>
                  <w:rFonts w:ascii="Cambria Math" w:eastAsia="Cambria Math" w:hAnsi="Cambria Math" w:cs="Cambria Math"/>
                </w:rPr>
                <m:t>t</m:t>
              </m:r>
            </m:e>
          </m:d>
          <m:r>
            <w:rPr>
              <w:rFonts w:ascii="Cambria Math" w:eastAsia="Cambria Math" w:hAnsi="Cambria Math" w:cs="Cambria Math"/>
            </w:rPr>
            <m:t>,</m:t>
          </m:r>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m:t>
              </m:r>
              <m:r>
                <w:rPr>
                  <w:rFonts w:ascii="Cambria Math" w:eastAsia="Cambria Math" w:hAnsi="Cambria Math" w:cs="Cambria Math"/>
                </w:rPr>
                <m:t>,</m:t>
              </m:r>
              <m:r>
                <w:rPr>
                  <w:rFonts w:ascii="Cambria Math" w:eastAsia="Cambria Math" w:hAnsi="Cambria Math" w:cs="Cambria Math"/>
                </w:rPr>
                <m:t>t</m:t>
              </m:r>
            </m:e>
          </m:d>
          <m:r>
            <w:rPr>
              <w:rFonts w:ascii="Cambria Math" w:eastAsia="Cambria Math" w:hAnsi="Cambria Math" w:cs="Cambria Math"/>
            </w:rPr>
            <m:t>,</m:t>
          </m:r>
          <m:r>
            <w:rPr>
              <w:rFonts w:ascii="Cambria Math" w:eastAsia="Cambria Math" w:hAnsi="Cambria Math" w:cs="Cambria Math"/>
            </w:rPr>
            <m:t>γ</m:t>
          </m:r>
          <m:r>
            <w:rPr>
              <w:rFonts w:ascii="Cambria Math" w:eastAsia="Cambria Math" w:hAnsi="Cambria Math" w:cs="Cambria Math"/>
            </w:rPr>
            <m:t>,</m:t>
          </m:r>
          <m:r>
            <w:rPr>
              <w:rFonts w:ascii="Cambria Math" w:eastAsia="Cambria Math" w:hAnsi="Cambria Math" w:cs="Cambria Math"/>
            </w:rPr>
            <m:t>μ</m:t>
          </m:r>
          <m:r>
            <w:rPr>
              <w:rFonts w:ascii="Cambria Math" w:eastAsia="Cambria Math" w:hAnsi="Cambria Math" w:cs="Cambria Math"/>
            </w:rPr>
            <m:t>,</m:t>
          </m:r>
          <m:r>
            <w:rPr>
              <w:rFonts w:ascii="Cambria Math" w:eastAsia="Cambria Math" w:hAnsi="Cambria Math" w:cs="Cambria Math"/>
            </w:rPr>
            <m:t>ζ</m:t>
          </m:r>
          <m:r>
            <w:rPr>
              <w:rFonts w:ascii="Cambria Math" w:eastAsia="Cambria Math" w:hAnsi="Cambria Math" w:cs="Cambria Math"/>
            </w:rPr>
            <m:t>∈</m:t>
          </m:r>
        </m:oMath>
      </m:oMathPara>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k</m:t>
          </m:r>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n</m:t>
              </m:r>
            </m:e>
          </m:d>
        </m:oMath>
      </m:oMathPara>
    </w:p>
    <w:p w:rsidR="002D4700" w:rsidRDefault="00C14B78">
      <w:pPr>
        <w:jc w:val="center"/>
      </w:pPr>
      <m:oMathPara>
        <m:oMath>
          <m:r>
            <w:rPr>
              <w:rFonts w:ascii="Cambria Math" w:hAnsi="Cambria Math"/>
            </w:rPr>
            <m:t>α</m:t>
          </m:r>
          <m:r>
            <w:rPr>
              <w:rFonts w:ascii="Cambria Math" w:eastAsia="Cambria Math" w:hAnsi="Cambria Math" w:cs="Cambria Math"/>
            </w:rPr>
            <m:t>,</m:t>
          </m:r>
          <m:r>
            <w:rPr>
              <w:rFonts w:ascii="Cambria Math" w:eastAsia="Cambria Math" w:hAnsi="Cambria Math" w:cs="Cambria Math"/>
            </w:rPr>
            <m:t>β</m:t>
          </m:r>
          <m:r>
            <w:rPr>
              <w:rFonts w:ascii="Cambria Math" w:eastAsia="Cambria Math" w:hAnsi="Cambria Math" w:cs="Cambria Math"/>
            </w:rPr>
            <m:t>,</m:t>
          </m:r>
          <m:r>
            <w:rPr>
              <w:rFonts w:ascii="Cambria Math" w:eastAsia="Cambria Math" w:hAnsi="Cambria Math" w:cs="Cambria Math"/>
            </w:rPr>
            <m:t>κ</m:t>
          </m:r>
          <m:r>
            <w:rPr>
              <w:rFonts w:ascii="Cambria Math" w:eastAsia="Cambria Math" w:hAnsi="Cambria Math" w:cs="Cambria Math"/>
            </w:rPr>
            <m:t>∈</m:t>
          </m:r>
        </m:oMath>
      </m:oMathPara>
    </w:p>
    <w:p w:rsidR="002D4700" w:rsidRDefault="00C14B78">
      <w:pPr>
        <w:jc w:val="center"/>
      </w:pPr>
      <m:oMath>
        <m:r>
          <w:rPr>
            <w:rFonts w:ascii="Cambria Math" w:eastAsia="Cambria Math" w:hAnsi="Cambria Math" w:cs="Cambria Math"/>
          </w:rPr>
          <m:t>q</m:t>
        </m:r>
      </m:oMath>
      <w:r>
        <w:t>= number of nodes connected to the node Lk by a directed edge to Lk.</w:t>
      </w:r>
    </w:p>
    <w:p w:rsidR="002D4700" w:rsidRDefault="00C14B78">
      <w:pPr>
        <w:jc w:val="center"/>
      </w:pPr>
      <w:r>
        <w:t xml:space="preserve">The constants </w:t>
      </w:r>
      <m:oMath>
        <m:r>
          <w:rPr>
            <w:rFonts w:ascii="Cambria Math" w:hAnsi="Cambria Math"/>
          </w:rPr>
          <m:t>α</m:t>
        </m:r>
        <m:r>
          <w:rPr>
            <w:rFonts w:ascii="Cambria Math" w:eastAsia="Cambria Math" w:hAnsi="Cambria Math" w:cs="Cambria Math"/>
          </w:rPr>
          <m:t>,</m:t>
        </m:r>
        <m:r>
          <w:rPr>
            <w:rFonts w:ascii="Cambria Math" w:eastAsia="Cambria Math" w:hAnsi="Cambria Math" w:cs="Cambria Math"/>
          </w:rPr>
          <m:t>β</m:t>
        </m:r>
        <m:r>
          <w:rPr>
            <w:rFonts w:ascii="Cambria Math" w:eastAsia="Cambria Math" w:hAnsi="Cambria Math" w:cs="Cambria Math"/>
          </w:rPr>
          <m:t>,</m:t>
        </m:r>
        <m:r>
          <w:rPr>
            <w:rFonts w:ascii="Cambria Math" w:eastAsia="Cambria Math" w:hAnsi="Cambria Math" w:cs="Cambria Math"/>
          </w:rPr>
          <m:t>γ</m:t>
        </m:r>
        <m:r>
          <w:rPr>
            <w:rFonts w:ascii="Cambria Math" w:eastAsia="Cambria Math" w:hAnsi="Cambria Math" w:cs="Cambria Math"/>
          </w:rPr>
          <m:t>,</m:t>
        </m:r>
        <m:r>
          <w:rPr>
            <w:rFonts w:ascii="Cambria Math" w:eastAsia="Cambria Math" w:hAnsi="Cambria Math" w:cs="Cambria Math"/>
          </w:rPr>
          <m:t>κ</m:t>
        </m:r>
        <m:r>
          <w:rPr>
            <w:rFonts w:ascii="Cambria Math" w:eastAsia="Cambria Math" w:hAnsi="Cambria Math" w:cs="Cambria Math"/>
          </w:rPr>
          <m:t>,</m:t>
        </m:r>
        <m:r>
          <w:rPr>
            <w:rFonts w:ascii="Cambria Math" w:eastAsia="Cambria Math" w:hAnsi="Cambria Math" w:cs="Cambria Math"/>
          </w:rPr>
          <m:t>ζ</m:t>
        </m:r>
      </m:oMath>
      <w:r>
        <w:t xml:space="preserve"> depend on the particular disease.</w:t>
      </w:r>
    </w:p>
    <w:p w:rsidR="002D4700" w:rsidRDefault="00C14B78">
      <w:pPr>
        <w:jc w:val="center"/>
      </w:pPr>
      <m:oMath>
        <m:r>
          <w:rPr>
            <w:rFonts w:ascii="Cambria Math" w:eastAsia="Cambria Math" w:hAnsi="Cambria Math" w:cs="Cambria Math"/>
          </w:rPr>
          <m:t>n</m:t>
        </m:r>
      </m:oMath>
      <w:r>
        <w:t xml:space="preserve"> = the number of blocks or nodes.</w:t>
      </w:r>
    </w:p>
    <w:p w:rsidR="002D4700" w:rsidRDefault="00C14B78">
      <w:pPr>
        <w:jc w:val="center"/>
      </w:pPr>
      <m:oMath>
        <m:r>
          <w:rPr>
            <w:rFonts w:ascii="Cambria Math" w:hAnsi="Cambria Math"/>
          </w:rPr>
          <m:t>μ</m:t>
        </m:r>
      </m:oMath>
      <w:r>
        <w:t xml:space="preserve"> = Memory Coefficient which represents the fact that the risk of a disease reappearing is always finite and non-zero.</w:t>
      </w:r>
    </w:p>
    <w:p w:rsidR="002D4700" w:rsidRDefault="00C14B78">
      <w:pPr>
        <w:spacing w:before="200" w:after="200"/>
      </w:pPr>
      <w:r>
        <w:t>Since the graph is not fully connecte</w:t>
      </w:r>
      <w:r>
        <w:t xml:space="preserve">d, the adjacency matrix </w:t>
      </w:r>
      <w:r w:rsidR="007545F5">
        <w:t xml:space="preserve">corresponding to this graph </w:t>
      </w:r>
      <w:r>
        <w:t xml:space="preserve">is a sparse matrix. Thus, traditional sparse matrix representations are adequate in representing the graph. The Risk Factor </w:t>
      </w:r>
      <w:r w:rsidR="007545F5">
        <w:t xml:space="preserve">of a given node </w:t>
      </w:r>
      <w:r>
        <w:t xml:space="preserve">only states the probability of finding the disease given the Risk Factor of nodes/blocks connected to it by </w:t>
      </w:r>
      <w:r>
        <w:t>a directed, weighted edge from the other nodes.</w:t>
      </w:r>
    </w:p>
    <w:p w:rsidR="002D4700" w:rsidRDefault="00C14B78">
      <w:pPr>
        <w:pStyle w:val="Heading3"/>
        <w:numPr>
          <w:ilvl w:val="1"/>
          <w:numId w:val="3"/>
        </w:numPr>
        <w:rPr>
          <w:color w:val="000000"/>
        </w:rPr>
      </w:pPr>
      <w:bookmarkStart w:id="8" w:name="_heading=h.84oue62ozq9i" w:colFirst="0" w:colLast="0"/>
      <w:bookmarkEnd w:id="8"/>
      <w:r>
        <w:rPr>
          <w:color w:val="000000"/>
        </w:rPr>
        <w:t>Algorithm</w:t>
      </w:r>
      <w:r w:rsidR="007545F5">
        <w:rPr>
          <w:color w:val="000000"/>
        </w:rPr>
        <w:t xml:space="preserve"> to model the spread of diseases</w:t>
      </w:r>
    </w:p>
    <w:p w:rsidR="002D4700" w:rsidRDefault="00C14B78">
      <w:pPr>
        <w:spacing w:before="200" w:after="200"/>
      </w:pPr>
      <w:r>
        <w:t>The algorithm to simulate disease spread is:</w:t>
      </w:r>
    </w:p>
    <w:p w:rsidR="002D4700" w:rsidRDefault="00C14B78">
      <w:pPr>
        <w:numPr>
          <w:ilvl w:val="0"/>
          <w:numId w:val="5"/>
        </w:numPr>
      </w:pPr>
      <w:r>
        <w:t>The nodes, in which the disease has already been found, the Risk Factor is initialized to a random value between 0.9 and 1.</w:t>
      </w:r>
    </w:p>
    <w:p w:rsidR="002D4700" w:rsidRDefault="00C14B78">
      <w:pPr>
        <w:numPr>
          <w:ilvl w:val="0"/>
          <w:numId w:val="5"/>
        </w:numPr>
      </w:pPr>
      <w:r>
        <w:t>Initialize the adjacency matr</w:t>
      </w:r>
      <w:r>
        <w:t>ix.</w:t>
      </w:r>
    </w:p>
    <w:p w:rsidR="002D4700" w:rsidRDefault="00C14B78">
      <w:pPr>
        <w:numPr>
          <w:ilvl w:val="0"/>
          <w:numId w:val="5"/>
        </w:numPr>
      </w:pPr>
      <w:r>
        <w:t>Initialize time as t=t0.</w:t>
      </w:r>
    </w:p>
    <w:p w:rsidR="002D4700" w:rsidRDefault="00C14B78">
      <w:pPr>
        <w:numPr>
          <w:ilvl w:val="0"/>
          <w:numId w:val="5"/>
        </w:numPr>
      </w:pPr>
      <w:r>
        <w:t>If t</w:t>
      </w:r>
      <w:r w:rsidR="007545F5">
        <w:t xml:space="preserve"> </w:t>
      </w:r>
      <w:r>
        <w:t>&lt;</w:t>
      </w:r>
      <w:r w:rsidR="007545F5">
        <w:t xml:space="preserve"> </w:t>
      </w:r>
      <w:proofErr w:type="spellStart"/>
      <w:r>
        <w:t>t</w:t>
      </w:r>
      <w:r w:rsidRPr="007545F5">
        <w:rPr>
          <w:vertAlign w:val="subscript"/>
        </w:rPr>
        <w:t>f</w:t>
      </w:r>
      <w:proofErr w:type="spellEnd"/>
      <w:r>
        <w:t>, continue. Else, Jump to end</w:t>
      </w:r>
    </w:p>
    <w:p w:rsidR="002D4700" w:rsidRDefault="00C14B78">
      <w:pPr>
        <w:numPr>
          <w:ilvl w:val="0"/>
          <w:numId w:val="5"/>
        </w:numPr>
      </w:pPr>
      <w:r>
        <w:t xml:space="preserve">t := t + </w:t>
      </w:r>
      <w:proofErr w:type="spellStart"/>
      <w:r>
        <w:t>dt</w:t>
      </w:r>
      <w:proofErr w:type="spellEnd"/>
    </w:p>
    <w:p w:rsidR="002D4700" w:rsidRDefault="00C14B78">
      <w:pPr>
        <w:numPr>
          <w:ilvl w:val="0"/>
          <w:numId w:val="5"/>
        </w:numPr>
      </w:pPr>
      <w:proofErr w:type="spellStart"/>
      <w:r>
        <w:t>Recompute</w:t>
      </w:r>
      <w:proofErr w:type="spellEnd"/>
      <w:r>
        <w:t xml:space="preserve"> the adjacency matrix</w:t>
      </w:r>
    </w:p>
    <w:p w:rsidR="002D4700" w:rsidRDefault="00C14B78">
      <w:pPr>
        <w:numPr>
          <w:ilvl w:val="0"/>
          <w:numId w:val="5"/>
        </w:numPr>
      </w:pPr>
      <w:r>
        <w:t>Compute the average Risk Factor among the nodes with a non-zero Risk Factor.</w:t>
      </w:r>
    </w:p>
    <w:p w:rsidR="002D4700" w:rsidRDefault="00C14B78">
      <w:pPr>
        <w:numPr>
          <w:ilvl w:val="0"/>
          <w:numId w:val="5"/>
        </w:numPr>
      </w:pPr>
      <w:r>
        <w:t>For all the nodes having higher than average risk factors, increase the Risk Factor by multiplying the Risk Factor with (1 + j), where j is a positive constant between 0 and 1.</w:t>
      </w:r>
    </w:p>
    <w:p w:rsidR="002D4700" w:rsidRDefault="00C14B78">
      <w:pPr>
        <w:numPr>
          <w:ilvl w:val="0"/>
          <w:numId w:val="5"/>
        </w:numPr>
      </w:pPr>
      <w:r>
        <w:lastRenderedPageBreak/>
        <w:t>End.</w:t>
      </w:r>
    </w:p>
    <w:p w:rsidR="002D4700" w:rsidRDefault="00C14B78">
      <w:pPr>
        <w:spacing w:before="200" w:after="200"/>
      </w:pPr>
      <w:r>
        <w:t>The average Risk Factor is treated as the Universal Risk Factor Ur</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Ur</m:t>
          </m:r>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m:t>
                  </m:r>
                  <m:r>
                    <w:rPr>
                      <w:rFonts w:ascii="Cambria Math" w:eastAsia="Cambria Math" w:hAnsi="Cambria Math" w:cs="Cambria Math"/>
                    </w:rPr>
                    <m:t>,</m:t>
                  </m:r>
                  <m:r>
                    <w:rPr>
                      <w:rFonts w:ascii="Cambria Math" w:eastAsia="Cambria Math" w:hAnsi="Cambria Math" w:cs="Cambria Math"/>
                    </w:rPr>
                    <m:t>t</m:t>
                  </m:r>
                </m:e>
              </m:d>
            </m:num>
            <m:den>
              <m:r>
                <w:rPr>
                  <w:rFonts w:ascii="Cambria Math" w:eastAsia="Cambria Math" w:hAnsi="Cambria Math" w:cs="Cambria Math"/>
                </w:rPr>
                <m:t>n</m:t>
              </m:r>
            </m:den>
          </m:f>
        </m:oMath>
      </m:oMathPara>
    </w:p>
    <w:p w:rsidR="002D4700" w:rsidRDefault="00C14B78">
      <w:pPr>
        <w:spacing w:before="200" w:after="200"/>
      </w:pPr>
      <w:r>
        <w:t>A collection of such graphs can be mapped into a single graph by treating each individual graph as a node and its corresponding Universal Risk Factor as its Risk Factor. In this case, the whole system can be treated as a fractal. Scaling up</w:t>
      </w:r>
      <w:r>
        <w:t xml:space="preserve"> this system would also be highly efficient with this method.</w:t>
      </w:r>
    </w:p>
    <w:p w:rsidR="002D4700" w:rsidRDefault="00C14B78">
      <w:pPr>
        <w:spacing w:before="200" w:after="200"/>
        <w:jc w:val="center"/>
      </w:pPr>
      <w:r>
        <w:rPr>
          <w:i/>
        </w:rPr>
        <w:t>Figure 1: Description and flowchart of Cilantro architecture</w:t>
      </w:r>
      <w:r>
        <w:rPr>
          <w:noProof/>
        </w:rPr>
        <w:drawing>
          <wp:anchor distT="0" distB="0" distL="0" distR="0" simplePos="0" relativeHeight="251658240" behindDoc="0" locked="0" layoutInCell="1" hidden="0" allowOverlap="1">
            <wp:simplePos x="0" y="0"/>
            <wp:positionH relativeFrom="column">
              <wp:posOffset>1600200</wp:posOffset>
            </wp:positionH>
            <wp:positionV relativeFrom="paragraph">
              <wp:posOffset>0</wp:posOffset>
            </wp:positionV>
            <wp:extent cx="2486025" cy="4181475"/>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591"/>
                    <a:stretch>
                      <a:fillRect/>
                    </a:stretch>
                  </pic:blipFill>
                  <pic:spPr>
                    <a:xfrm>
                      <a:off x="0" y="0"/>
                      <a:ext cx="2486025" cy="4181475"/>
                    </a:xfrm>
                    <a:prstGeom prst="rect">
                      <a:avLst/>
                    </a:prstGeom>
                    <a:ln/>
                  </pic:spPr>
                </pic:pic>
              </a:graphicData>
            </a:graphic>
          </wp:anchor>
        </w:drawing>
      </w:r>
    </w:p>
    <w:p w:rsidR="002D4700" w:rsidRDefault="00C14B78">
      <w:pPr>
        <w:pStyle w:val="Heading3"/>
        <w:numPr>
          <w:ilvl w:val="1"/>
          <w:numId w:val="3"/>
        </w:numPr>
        <w:rPr>
          <w:color w:val="000000"/>
        </w:rPr>
      </w:pPr>
      <w:bookmarkStart w:id="9" w:name="_heading=h.2c4o4xf3cb7q" w:colFirst="0" w:colLast="0"/>
      <w:bookmarkEnd w:id="9"/>
      <w:r>
        <w:rPr>
          <w:color w:val="000000"/>
        </w:rPr>
        <w:t>User-Based Report</w:t>
      </w:r>
      <w:r w:rsidR="007545F5">
        <w:rPr>
          <w:color w:val="000000"/>
        </w:rPr>
        <w:t>s</w:t>
      </w:r>
    </w:p>
    <w:p w:rsidR="002D4700" w:rsidRDefault="00C14B78">
      <w:pPr>
        <w:spacing w:before="200" w:after="200"/>
        <w:rPr>
          <w:highlight w:val="red"/>
        </w:rPr>
      </w:pPr>
      <w:r>
        <w:t xml:space="preserve">Reports </w:t>
      </w:r>
      <w:r w:rsidR="007545F5">
        <w:t xml:space="preserve">collected </w:t>
      </w:r>
      <w:r>
        <w:t xml:space="preserve">from </w:t>
      </w:r>
      <w:r w:rsidR="007545F5">
        <w:t>the user base</w:t>
      </w:r>
      <w:r>
        <w:t xml:space="preserve"> are extremely important in this model. Cilantro will collect reports from existing use</w:t>
      </w:r>
      <w:r>
        <w:t>rs of the technology stack and use the gathered information both as a starting point for the graph-based model and generate errors to calibrate the model every 24 hours. The us</w:t>
      </w:r>
      <w:r w:rsidR="007545F5">
        <w:t>er reports are mapped into a 10-</w:t>
      </w:r>
      <w:r>
        <w:t>point severity scale and are represented as a sp</w:t>
      </w:r>
      <w:r>
        <w:t>arse matrix and normalized.</w:t>
      </w:r>
    </w:p>
    <w:p w:rsidR="002D4700" w:rsidRDefault="00C14B78">
      <w:pPr>
        <w:pStyle w:val="Heading2"/>
        <w:numPr>
          <w:ilvl w:val="0"/>
          <w:numId w:val="3"/>
        </w:numPr>
        <w:spacing w:before="200" w:after="200"/>
      </w:pPr>
      <w:bookmarkStart w:id="10" w:name="_heading=h.xvp5g4y1yxrc" w:colFirst="0" w:colLast="0"/>
      <w:bookmarkEnd w:id="10"/>
      <w:r>
        <w:lastRenderedPageBreak/>
        <w:t>Experimental Results and Analysis</w:t>
      </w:r>
    </w:p>
    <w:p w:rsidR="002D4700" w:rsidRPr="007545F5" w:rsidRDefault="00C14B78">
      <w:pPr>
        <w:pStyle w:val="Heading2"/>
        <w:numPr>
          <w:ilvl w:val="1"/>
          <w:numId w:val="3"/>
        </w:numPr>
        <w:spacing w:before="200" w:after="200"/>
        <w:rPr>
          <w:sz w:val="28"/>
          <w:szCs w:val="28"/>
        </w:rPr>
      </w:pPr>
      <w:bookmarkStart w:id="11" w:name="_heading=h.zgmlc5me6avi" w:colFirst="0" w:colLast="0"/>
      <w:bookmarkEnd w:id="11"/>
      <w:r w:rsidRPr="007545F5">
        <w:rPr>
          <w:sz w:val="28"/>
          <w:szCs w:val="28"/>
        </w:rPr>
        <w:t>Experiments</w:t>
      </w:r>
    </w:p>
    <w:p w:rsidR="002D4700" w:rsidRDefault="00C14B78">
      <w:pPr>
        <w:spacing w:before="200" w:after="200"/>
        <w:rPr>
          <w:highlight w:val="green"/>
        </w:rPr>
      </w:pPr>
      <w:r>
        <w:t>To gauge the validity of the model, we consider the spread of the pandemic between the dates June 24, 2009, and July 8, 2009, [23] for 59 different counties in the state of New York,</w:t>
      </w:r>
      <w:r>
        <w:t xml:space="preserve"> US. We tabulate the spread of the disease into a data frame with counties as rows and dates as columns. The cells have two values: 1 if samples from the county tested positive for blight; 0 if the samples tested negative for blight. The value can be fract</w:t>
      </w:r>
      <w:r>
        <w:t>ional if no samples are available for that date. For each county, we compute the edge weight by calculating the geographical distance between each pair of counties. The resultant 59 x 59 distance matrix is fed into the model. The probability output from th</w:t>
      </w:r>
      <w:r>
        <w:t>e model is compared with the real data obtained. If the probability is reasonably high, beyond a certain threshold, the county is declared infected and the resulting confusion matrix is compared.</w:t>
      </w:r>
    </w:p>
    <w:p w:rsidR="002D4700" w:rsidRPr="007545F5" w:rsidRDefault="00C14B78">
      <w:pPr>
        <w:pStyle w:val="Heading2"/>
        <w:numPr>
          <w:ilvl w:val="1"/>
          <w:numId w:val="3"/>
        </w:numPr>
        <w:spacing w:before="200" w:after="200"/>
        <w:rPr>
          <w:sz w:val="28"/>
          <w:szCs w:val="28"/>
        </w:rPr>
      </w:pPr>
      <w:bookmarkStart w:id="12" w:name="_heading=h.rhkfnfqqic91" w:colFirst="0" w:colLast="0"/>
      <w:bookmarkEnd w:id="12"/>
      <w:r w:rsidRPr="007545F5">
        <w:rPr>
          <w:sz w:val="28"/>
          <w:szCs w:val="28"/>
        </w:rPr>
        <w:t>Dataset Used</w:t>
      </w:r>
    </w:p>
    <w:p w:rsidR="002D4700" w:rsidRDefault="00C14B78">
      <w:pPr>
        <w:spacing w:before="200" w:after="200"/>
      </w:pPr>
      <w:r>
        <w:t>The data used for the model falls into three ca</w:t>
      </w:r>
      <w:r>
        <w:t>tegories:</w:t>
      </w:r>
    </w:p>
    <w:p w:rsidR="002D4700" w:rsidRDefault="00C14B78">
      <w:pPr>
        <w:numPr>
          <w:ilvl w:val="0"/>
          <w:numId w:val="1"/>
        </w:numPr>
      </w:pPr>
      <w:r>
        <w:t xml:space="preserve">Epidemiological data: Constants describing how the oospores and zoospores of </w:t>
      </w:r>
      <w:r>
        <w:rPr>
          <w:i/>
        </w:rPr>
        <w:t xml:space="preserve">P. </w:t>
      </w:r>
      <w:proofErr w:type="spellStart"/>
      <w:r>
        <w:rPr>
          <w:i/>
        </w:rPr>
        <w:t>Infestans</w:t>
      </w:r>
      <w:proofErr w:type="spellEnd"/>
      <w:r>
        <w:t xml:space="preserve"> spread.</w:t>
      </w:r>
    </w:p>
    <w:p w:rsidR="002D4700" w:rsidRDefault="00C14B78">
      <w:pPr>
        <w:numPr>
          <w:ilvl w:val="0"/>
          <w:numId w:val="1"/>
        </w:numPr>
      </w:pPr>
      <w:r>
        <w:t>Weather Information: Weather data, in this case, refers to the wind vector, surface temperature, Relative Humidity, daily minimum and maximum temper</w:t>
      </w:r>
      <w:r>
        <w:t>ature in the state of New York for the summer of 2009 from the JRA-55 dataset. The information is represented as a vector map that represents hourly wind, precipitation, temperature, and wind direction information in a JSON file, which is then decoded usin</w:t>
      </w:r>
      <w:r>
        <w:t>g a custom, proprietary Python script.</w:t>
      </w:r>
    </w:p>
    <w:p w:rsidR="002D4700" w:rsidRDefault="00C14B78">
      <w:pPr>
        <w:numPr>
          <w:ilvl w:val="0"/>
          <w:numId w:val="1"/>
        </w:numPr>
      </w:pPr>
      <w:r>
        <w:t xml:space="preserve">User reports: User reports are generated randomly following a </w:t>
      </w:r>
      <w:proofErr w:type="spellStart"/>
      <w:r>
        <w:t>gaussian</w:t>
      </w:r>
      <w:proofErr w:type="spellEnd"/>
      <w:r>
        <w:t xml:space="preserve"> distribution and a decay function and in another case, following a uniform distribution. The user reports in a real scenario can be perfectly unif</w:t>
      </w:r>
      <w:r>
        <w:t>orm or heavily biased. However, in an experimental stage, since we are testing the model’s ability to analyze the outbreak and give timely forecasts, a simulated user reporting system will suffice.</w:t>
      </w:r>
    </w:p>
    <w:p w:rsidR="002D4700" w:rsidRDefault="00C14B78">
      <w:pPr>
        <w:numPr>
          <w:ilvl w:val="0"/>
          <w:numId w:val="1"/>
        </w:numPr>
      </w:pPr>
      <w:r>
        <w:t>Real-world disease spread data: As described in section 4.</w:t>
      </w:r>
      <w:r>
        <w:t>1, we have obtained disease spread information from the National Plant Diagnostic Network (NPDN) and have tabulated the data using tesseract and positional OCR.</w:t>
      </w:r>
    </w:p>
    <w:p w:rsidR="002D4700" w:rsidRDefault="00C14B78">
      <w:pPr>
        <w:spacing w:before="200" w:after="200"/>
        <w:jc w:val="center"/>
      </w:pPr>
      <w:r>
        <w:rPr>
          <w:noProof/>
        </w:rPr>
        <w:lastRenderedPageBreak/>
        <w:drawing>
          <wp:inline distT="0" distB="0" distL="0" distR="0">
            <wp:extent cx="4076700" cy="3543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76700" cy="3543300"/>
                    </a:xfrm>
                    <a:prstGeom prst="rect">
                      <a:avLst/>
                    </a:prstGeom>
                    <a:ln/>
                  </pic:spPr>
                </pic:pic>
              </a:graphicData>
            </a:graphic>
          </wp:inline>
        </w:drawing>
      </w:r>
    </w:p>
    <w:p w:rsidR="002D4700" w:rsidRDefault="00C14B78">
      <w:pPr>
        <w:jc w:val="center"/>
        <w:rPr>
          <w:i/>
        </w:rPr>
      </w:pPr>
      <w:r>
        <w:rPr>
          <w:i/>
        </w:rPr>
        <w:t xml:space="preserve">Figure 3: Counties in New York which had reported late blight (in a garden center or in the field) during </w:t>
      </w:r>
      <w:r w:rsidR="00FE0F43">
        <w:rPr>
          <w:i/>
        </w:rPr>
        <w:t xml:space="preserve">the </w:t>
      </w:r>
      <w:r>
        <w:rPr>
          <w:i/>
        </w:rPr>
        <w:t xml:space="preserve">summer </w:t>
      </w:r>
      <w:r w:rsidR="00FE0F43">
        <w:rPr>
          <w:i/>
        </w:rPr>
        <w:t xml:space="preserve">of </w:t>
      </w:r>
      <w:r>
        <w:rPr>
          <w:i/>
        </w:rPr>
        <w:t>2009. [23]</w:t>
      </w:r>
    </w:p>
    <w:p w:rsidR="002D4700" w:rsidRDefault="00C14B78">
      <w:pPr>
        <w:spacing w:before="200" w:after="200"/>
      </w:pPr>
      <w:r>
        <w:t xml:space="preserve">The dataset is converted into a graph-assisted </w:t>
      </w:r>
      <w:proofErr w:type="spellStart"/>
      <w:r>
        <w:t>spatio</w:t>
      </w:r>
      <w:proofErr w:type="spellEnd"/>
      <w:r>
        <w:t xml:space="preserve"> temporal representation by first obtaining the latitudes and longitudes for th</w:t>
      </w:r>
      <w:r>
        <w:t>e various counties represented on the map. Then the adjacency matrix is computed using the geographical distance between each county and the relative density of road interchanges within the county. Since the oospores and zoospores can spread through infect</w:t>
      </w:r>
      <w:r>
        <w:t>ed farm equipment, this is an important factor that must be incorporated into the dataset, to accurately predict the spread of blight. The temporal part of the dataset is generated automatically using a custom Python script and the resultant dataset is fed</w:t>
      </w:r>
      <w:r>
        <w:t xml:space="preserve"> into the model.</w:t>
      </w:r>
    </w:p>
    <w:p w:rsidR="002D4700" w:rsidRDefault="00C14B78">
      <w:pPr>
        <w:pStyle w:val="Heading2"/>
        <w:numPr>
          <w:ilvl w:val="0"/>
          <w:numId w:val="3"/>
        </w:numPr>
        <w:spacing w:before="200" w:after="200"/>
      </w:pPr>
      <w:bookmarkStart w:id="13" w:name="_heading=h.nvybiqh58v9z" w:colFirst="0" w:colLast="0"/>
      <w:bookmarkEnd w:id="13"/>
      <w:r>
        <w:t>Results and Discussion</w:t>
      </w:r>
    </w:p>
    <w:p w:rsidR="002D4700" w:rsidRDefault="00C14B78">
      <w:r>
        <w:t xml:space="preserve">Simulating the disease spread, we clearly see an increase in risk value just before a disease is detected. The risk value decreases after disease detection, in line with the hypothesis presented in this paper. </w:t>
      </w:r>
    </w:p>
    <w:p w:rsidR="002D4700" w:rsidRDefault="002D4700"/>
    <w:p w:rsidR="002D4700" w:rsidRDefault="00C14B78">
      <w:pPr>
        <w:jc w:val="center"/>
      </w:pPr>
      <w:r>
        <w:rPr>
          <w:noProof/>
        </w:rPr>
        <w:lastRenderedPageBreak/>
        <w:drawing>
          <wp:inline distT="0" distB="0" distL="0" distR="0">
            <wp:extent cx="3138488" cy="204896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4694"/>
                    <a:stretch>
                      <a:fillRect/>
                    </a:stretch>
                  </pic:blipFill>
                  <pic:spPr>
                    <a:xfrm>
                      <a:off x="0" y="0"/>
                      <a:ext cx="3138488" cy="2048961"/>
                    </a:xfrm>
                    <a:prstGeom prst="rect">
                      <a:avLst/>
                    </a:prstGeom>
                    <a:ln/>
                  </pic:spPr>
                </pic:pic>
              </a:graphicData>
            </a:graphic>
          </wp:inline>
        </w:drawing>
      </w:r>
    </w:p>
    <w:p w:rsidR="002D4700" w:rsidRDefault="002D4700"/>
    <w:p w:rsidR="002D4700" w:rsidRDefault="00C14B78">
      <w:pPr>
        <w:jc w:val="center"/>
      </w:pPr>
      <w:r>
        <w:rPr>
          <w:noProof/>
        </w:rPr>
        <w:drawing>
          <wp:inline distT="0" distB="0" distL="0" distR="0">
            <wp:extent cx="3019425" cy="19971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553"/>
                    <a:stretch>
                      <a:fillRect/>
                    </a:stretch>
                  </pic:blipFill>
                  <pic:spPr>
                    <a:xfrm>
                      <a:off x="0" y="0"/>
                      <a:ext cx="3019425" cy="1997100"/>
                    </a:xfrm>
                    <a:prstGeom prst="rect">
                      <a:avLst/>
                    </a:prstGeom>
                    <a:ln/>
                  </pic:spPr>
                </pic:pic>
              </a:graphicData>
            </a:graphic>
          </wp:inline>
        </w:drawing>
      </w:r>
    </w:p>
    <w:p w:rsidR="002D4700" w:rsidRDefault="00C14B78">
      <w:pPr>
        <w:jc w:val="center"/>
        <w:rPr>
          <w:i/>
        </w:rPr>
      </w:pPr>
      <w:r>
        <w:rPr>
          <w:i/>
        </w:rPr>
        <w:t>Figure 4 (above) displays the disease detected for each county. 0.5 means no report available. 1 means a positive report for a blight outbreak in that county. 0 means a negative report for a blight outbreak, signifying the absence of blight in that region</w:t>
      </w:r>
      <w:r>
        <w:rPr>
          <w:i/>
        </w:rPr>
        <w:t>.</w:t>
      </w:r>
    </w:p>
    <w:p w:rsidR="002D4700" w:rsidRDefault="00C14B78">
      <w:pPr>
        <w:jc w:val="center"/>
        <w:rPr>
          <w:i/>
        </w:rPr>
      </w:pPr>
      <w:r>
        <w:rPr>
          <w:i/>
        </w:rPr>
        <w:t>Figure 5 (below) represents the risk profile of each county. The higher the risk value, the more probable it is to find a positive blight case in that county. Note the increase in risk value just before a definitively positive report is received for each</w:t>
      </w:r>
      <w:r>
        <w:rPr>
          <w:i/>
        </w:rPr>
        <w:t xml:space="preserve"> county.</w:t>
      </w:r>
    </w:p>
    <w:p w:rsidR="002D4700" w:rsidRDefault="002D4700"/>
    <w:p w:rsidR="002D4700" w:rsidRDefault="00C14B78">
      <w:r>
        <w:t>The correlation between high-risk value and positive cases in respective counties indicate the correctness of the model. To simplify the calculation, the decay function of f(x) = 0.6667x is chosen as the decay value, while the vectors and atmosph</w:t>
      </w:r>
      <w:r>
        <w:t>eric conditions are treated as independent random variables.</w:t>
      </w:r>
    </w:p>
    <w:p w:rsidR="002D4700" w:rsidRDefault="00C14B78">
      <w:pPr>
        <w:pStyle w:val="Heading2"/>
        <w:numPr>
          <w:ilvl w:val="0"/>
          <w:numId w:val="3"/>
        </w:numPr>
        <w:spacing w:before="200" w:after="200"/>
      </w:pPr>
      <w:bookmarkStart w:id="14" w:name="_heading=h.dw51llewzad6" w:colFirst="0" w:colLast="0"/>
      <w:bookmarkEnd w:id="14"/>
      <w:r>
        <w:t>Future Work</w:t>
      </w:r>
    </w:p>
    <w:p w:rsidR="002D4700" w:rsidRDefault="00122098">
      <w:pPr>
        <w:spacing w:before="200" w:after="200"/>
      </w:pPr>
      <w:r>
        <w:t>In future, we plan to extend this research work by concentrating on</w:t>
      </w:r>
      <w:r w:rsidR="00C14B78">
        <w:t xml:space="preserve"> </w:t>
      </w:r>
      <w:r>
        <w:t xml:space="preserve">a few different techniques for </w:t>
      </w:r>
      <w:r w:rsidR="00C14B78">
        <w:t>fine-</w:t>
      </w:r>
      <w:r>
        <w:t>tuning this</w:t>
      </w:r>
      <w:r w:rsidR="00C14B78">
        <w:t xml:space="preserve"> model by further quantifying the </w:t>
      </w:r>
      <w:r w:rsidR="00FE0F43">
        <w:t xml:space="preserve">severity scale of </w:t>
      </w:r>
      <w:r>
        <w:t>various</w:t>
      </w:r>
      <w:r w:rsidR="00FE0F43">
        <w:t xml:space="preserve"> plant diseases</w:t>
      </w:r>
      <w:r>
        <w:t>. This</w:t>
      </w:r>
      <w:r w:rsidR="00C14B78">
        <w:t xml:space="preserve"> quantification process </w:t>
      </w:r>
      <w:r>
        <w:t>is expected to</w:t>
      </w:r>
      <w:r w:rsidR="00C14B78">
        <w:t xml:space="preserve"> increase the accuracy of the model and </w:t>
      </w:r>
      <w:r w:rsidR="00C14B78">
        <w:t xml:space="preserve">decrease its reliance on user reports. This will make the model suitable for precision treatment and will enable error detection </w:t>
      </w:r>
      <w:r>
        <w:t>as well as</w:t>
      </w:r>
      <w:r w:rsidR="00C14B78">
        <w:t xml:space="preserve"> recalibration using remote sensing satellites.</w:t>
      </w:r>
      <w:r>
        <w:t xml:space="preserve"> Down the line, we want to focus on creating novel</w:t>
      </w:r>
      <w:bookmarkStart w:id="15" w:name="_GoBack"/>
      <w:bookmarkEnd w:id="15"/>
      <w:r>
        <w:t xml:space="preserve"> methods for disease control, prevention and avoidance. </w:t>
      </w:r>
    </w:p>
    <w:p w:rsidR="002D4700" w:rsidRDefault="00C14B78">
      <w:pPr>
        <w:pStyle w:val="Heading2"/>
        <w:numPr>
          <w:ilvl w:val="0"/>
          <w:numId w:val="3"/>
        </w:numPr>
        <w:spacing w:before="200" w:after="200"/>
      </w:pPr>
      <w:bookmarkStart w:id="16" w:name="_heading=h.drhm13lzgxr1" w:colFirst="0" w:colLast="0"/>
      <w:bookmarkEnd w:id="16"/>
      <w:r>
        <w:lastRenderedPageBreak/>
        <w:t>Conclusion</w:t>
      </w:r>
    </w:p>
    <w:p w:rsidR="002D4700" w:rsidRDefault="00C14B78">
      <w:r>
        <w:t xml:space="preserve">In this </w:t>
      </w:r>
      <w:r w:rsidR="00FE0F43">
        <w:t>paper</w:t>
      </w:r>
      <w:r>
        <w:t xml:space="preserve">, we </w:t>
      </w:r>
      <w:r w:rsidR="00FE0F43">
        <w:t xml:space="preserve">have </w:t>
      </w:r>
      <w:r>
        <w:t>present</w:t>
      </w:r>
      <w:r w:rsidR="00FE0F43">
        <w:t>ed</w:t>
      </w:r>
      <w:r>
        <w:t xml:space="preserve"> </w:t>
      </w:r>
      <w:r>
        <w:rPr>
          <w:i/>
        </w:rPr>
        <w:t>Cilantro</w:t>
      </w:r>
      <w:r>
        <w:t>, a novel graph-based, scalab</w:t>
      </w:r>
      <w:r>
        <w:t>le artificial intelligence algorith</w:t>
      </w:r>
      <w:r w:rsidR="00FE0F43">
        <w:t>m that can predict the risk of</w:t>
      </w:r>
      <w:r>
        <w:t xml:space="preserve"> Blight outbreak</w:t>
      </w:r>
      <w:r w:rsidR="00FE0F43">
        <w:t>s</w:t>
      </w:r>
      <w:r>
        <w:t xml:space="preserve"> in a particular location. Cilantro is scalable and possesses a significant advantage over other commercial software in the domain of agricultural pathology, due to its abil</w:t>
      </w:r>
      <w:r>
        <w:t xml:space="preserve">ity to take into account user reports and atmospheric data while modelling the spread of Blight. We have tested </w:t>
      </w:r>
      <w:r>
        <w:rPr>
          <w:i/>
        </w:rPr>
        <w:t>Cilantro</w:t>
      </w:r>
      <w:r>
        <w:t xml:space="preserve"> by using it to predict the 2009 Blight outbreak in New York, USA. </w:t>
      </w:r>
      <w:r>
        <w:rPr>
          <w:i/>
        </w:rPr>
        <w:t>Cilantro</w:t>
      </w:r>
      <w:r>
        <w:t xml:space="preserve"> correctly predicted the outbreak by indicating an increase i</w:t>
      </w:r>
      <w:r>
        <w:t xml:space="preserve">n risk values in counties where positive Blight cases were found. Further testing using higher resolution, comprehensive </w:t>
      </w:r>
      <w:proofErr w:type="spellStart"/>
      <w:r>
        <w:t>spatio</w:t>
      </w:r>
      <w:proofErr w:type="spellEnd"/>
      <w:r>
        <w:t>-temporal datasets will further prove the accuracy and ability of this model.</w:t>
      </w:r>
    </w:p>
    <w:p w:rsidR="002D4700" w:rsidRDefault="00C14B78">
      <w:r>
        <w:br w:type="page"/>
      </w:r>
    </w:p>
    <w:p w:rsidR="002D4700" w:rsidRDefault="00C14B78">
      <w:pPr>
        <w:pStyle w:val="Heading2"/>
        <w:numPr>
          <w:ilvl w:val="0"/>
          <w:numId w:val="3"/>
        </w:numPr>
        <w:spacing w:before="200" w:after="200"/>
      </w:pPr>
      <w:bookmarkStart w:id="17" w:name="_heading=h.yfh05339ulp9" w:colFirst="0" w:colLast="0"/>
      <w:bookmarkEnd w:id="17"/>
      <w:r>
        <w:lastRenderedPageBreak/>
        <w:t>References</w:t>
      </w:r>
    </w:p>
    <w:p w:rsidR="002D4700" w:rsidRDefault="00C14B78">
      <w:pPr>
        <w:numPr>
          <w:ilvl w:val="0"/>
          <w:numId w:val="4"/>
        </w:numPr>
      </w:pPr>
      <w:r>
        <w:rPr>
          <w:sz w:val="20"/>
          <w:szCs w:val="20"/>
        </w:rPr>
        <w:t xml:space="preserve">Baker, K.; Lake, T.; Benston, S.; </w:t>
      </w:r>
      <w:proofErr w:type="spellStart"/>
      <w:r>
        <w:rPr>
          <w:sz w:val="20"/>
          <w:szCs w:val="20"/>
        </w:rPr>
        <w:t>Tren</w:t>
      </w:r>
      <w:r>
        <w:rPr>
          <w:sz w:val="20"/>
          <w:szCs w:val="20"/>
        </w:rPr>
        <w:t>ary</w:t>
      </w:r>
      <w:proofErr w:type="spellEnd"/>
      <w:r>
        <w:rPr>
          <w:sz w:val="20"/>
          <w:szCs w:val="20"/>
        </w:rPr>
        <w:t xml:space="preserve">, R.; Wharton, P.; </w:t>
      </w:r>
      <w:proofErr w:type="spellStart"/>
      <w:r>
        <w:rPr>
          <w:sz w:val="20"/>
          <w:szCs w:val="20"/>
        </w:rPr>
        <w:t>Duynslager</w:t>
      </w:r>
      <w:proofErr w:type="spellEnd"/>
      <w:r>
        <w:rPr>
          <w:sz w:val="20"/>
          <w:szCs w:val="20"/>
        </w:rPr>
        <w:t>, L.; Kirk, W. Improved weather-based late blight risk management: Comparing models with a ten year forecast archive. J. Agric. Sci. 2015, 153, 245–256.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Fry, W.; Apple, A.; Bruhn, J. Evaluation of potato late blig</w:t>
      </w:r>
      <w:r>
        <w:rPr>
          <w:sz w:val="20"/>
          <w:szCs w:val="20"/>
        </w:rPr>
        <w:t>ht forecasts modified to incorporate host resistance and fungicide weathering. Phytopathology 1983, 73, 1054–1059.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 xml:space="preserve">Garcia, B.I.L.; </w:t>
      </w:r>
      <w:proofErr w:type="spellStart"/>
      <w:r>
        <w:rPr>
          <w:sz w:val="20"/>
          <w:szCs w:val="20"/>
        </w:rPr>
        <w:t>Sentelhas</w:t>
      </w:r>
      <w:proofErr w:type="spellEnd"/>
      <w:r>
        <w:rPr>
          <w:sz w:val="20"/>
          <w:szCs w:val="20"/>
        </w:rPr>
        <w:t xml:space="preserve">, P.C.; Tapia, L.R.; </w:t>
      </w:r>
      <w:proofErr w:type="spellStart"/>
      <w:r>
        <w:rPr>
          <w:sz w:val="20"/>
          <w:szCs w:val="20"/>
        </w:rPr>
        <w:t>Sparovek</w:t>
      </w:r>
      <w:proofErr w:type="spellEnd"/>
      <w:r>
        <w:rPr>
          <w:sz w:val="20"/>
          <w:szCs w:val="20"/>
        </w:rPr>
        <w:t xml:space="preserve">, G. Climatic risk for potato late blight in the Andes region of Venezuela. </w:t>
      </w:r>
      <w:r>
        <w:rPr>
          <w:sz w:val="20"/>
          <w:szCs w:val="20"/>
        </w:rPr>
        <w:t>Sci. Agric. 2008, 65, 32–39.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Grünwald</w:t>
      </w:r>
      <w:proofErr w:type="spellEnd"/>
      <w:r>
        <w:rPr>
          <w:sz w:val="20"/>
          <w:szCs w:val="20"/>
        </w:rPr>
        <w:t xml:space="preserve">, N.J.; Montes, G.R.; </w:t>
      </w:r>
      <w:proofErr w:type="spellStart"/>
      <w:r>
        <w:rPr>
          <w:sz w:val="20"/>
          <w:szCs w:val="20"/>
        </w:rPr>
        <w:t>Saldaña</w:t>
      </w:r>
      <w:proofErr w:type="spellEnd"/>
      <w:r>
        <w:rPr>
          <w:sz w:val="20"/>
          <w:szCs w:val="20"/>
        </w:rPr>
        <w:t xml:space="preserve">, H.L.; Covarrubias, O.R.; Fry, W.E. Potato late blight management in the Toluca Valley: Field validation of </w:t>
      </w:r>
      <w:proofErr w:type="spellStart"/>
      <w:r>
        <w:rPr>
          <w:sz w:val="20"/>
          <w:szCs w:val="20"/>
        </w:rPr>
        <w:t>SimCast</w:t>
      </w:r>
      <w:proofErr w:type="spellEnd"/>
      <w:r>
        <w:rPr>
          <w:sz w:val="20"/>
          <w:szCs w:val="20"/>
        </w:rPr>
        <w:t xml:space="preserve"> modified for cultivars with high field resistance. Plant Dis. </w:t>
      </w:r>
      <w:r>
        <w:rPr>
          <w:sz w:val="20"/>
          <w:szCs w:val="20"/>
        </w:rPr>
        <w:t>2002, 86, 1163–1168. [</w:t>
      </w:r>
      <w:proofErr w:type="spellStart"/>
      <w:r>
        <w:rPr>
          <w:sz w:val="20"/>
          <w:szCs w:val="20"/>
        </w:rPr>
        <w:t>CrossRef</w:t>
      </w:r>
      <w:proofErr w:type="spellEnd"/>
      <w:r>
        <w:rPr>
          <w:sz w:val="20"/>
          <w:szCs w:val="20"/>
        </w:rPr>
        <w:t>] [PubMed]</w:t>
      </w:r>
    </w:p>
    <w:p w:rsidR="002D4700" w:rsidRDefault="00C14B78">
      <w:pPr>
        <w:numPr>
          <w:ilvl w:val="0"/>
          <w:numId w:val="4"/>
        </w:numPr>
      </w:pPr>
      <w:proofErr w:type="spellStart"/>
      <w:r>
        <w:rPr>
          <w:sz w:val="20"/>
          <w:szCs w:val="20"/>
        </w:rPr>
        <w:t>Hijmans</w:t>
      </w:r>
      <w:proofErr w:type="spellEnd"/>
      <w:r>
        <w:rPr>
          <w:sz w:val="20"/>
          <w:szCs w:val="20"/>
        </w:rPr>
        <w:t xml:space="preserve">, R.J.; Forbes, G.; Walker, T. Estimating the global severity of potato late blight with GIS-linked disease forecast models. Plant </w:t>
      </w:r>
      <w:proofErr w:type="spellStart"/>
      <w:r>
        <w:rPr>
          <w:sz w:val="20"/>
          <w:szCs w:val="20"/>
        </w:rPr>
        <w:t>Pathol</w:t>
      </w:r>
      <w:proofErr w:type="spellEnd"/>
      <w:r>
        <w:rPr>
          <w:sz w:val="20"/>
          <w:szCs w:val="20"/>
        </w:rPr>
        <w:t>. 2000, 49, 697–705.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 xml:space="preserve">Iglesias, I.; </w:t>
      </w:r>
      <w:proofErr w:type="spellStart"/>
      <w:r>
        <w:rPr>
          <w:sz w:val="20"/>
          <w:szCs w:val="20"/>
        </w:rPr>
        <w:t>Escuredo</w:t>
      </w:r>
      <w:proofErr w:type="spellEnd"/>
      <w:r>
        <w:rPr>
          <w:sz w:val="20"/>
          <w:szCs w:val="20"/>
        </w:rPr>
        <w:t xml:space="preserve">, O.; </w:t>
      </w:r>
      <w:proofErr w:type="spellStart"/>
      <w:r>
        <w:rPr>
          <w:sz w:val="20"/>
          <w:szCs w:val="20"/>
        </w:rPr>
        <w:t>Seijo</w:t>
      </w:r>
      <w:proofErr w:type="spellEnd"/>
      <w:r>
        <w:rPr>
          <w:sz w:val="20"/>
          <w:szCs w:val="20"/>
        </w:rPr>
        <w:t xml:space="preserve">, C.; </w:t>
      </w:r>
      <w:r>
        <w:rPr>
          <w:sz w:val="20"/>
          <w:szCs w:val="20"/>
        </w:rPr>
        <w:t xml:space="preserve">Méndez, J.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prediction for a potato crop. Am. J. Potato Res. 2010, 87, 32–40.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Johnson, D.A.; Cummings, T.F.; Fox, A.D. Accuracy of rain forecasts for use in scheduling late blight management tactics in the Columbia Basin of</w:t>
      </w:r>
      <w:r>
        <w:rPr>
          <w:sz w:val="20"/>
          <w:szCs w:val="20"/>
        </w:rPr>
        <w:t xml:space="preserve"> Washington and Oregon. Plant Dis. 2015, 99, 683–690. [</w:t>
      </w:r>
      <w:proofErr w:type="spellStart"/>
      <w:r>
        <w:rPr>
          <w:sz w:val="20"/>
          <w:szCs w:val="20"/>
        </w:rPr>
        <w:t>CrossRef</w:t>
      </w:r>
      <w:proofErr w:type="spellEnd"/>
      <w:r>
        <w:rPr>
          <w:sz w:val="20"/>
          <w:szCs w:val="20"/>
        </w:rPr>
        <w:t>] Pathogens 2020, 9, 659 18 of 20</w:t>
      </w:r>
    </w:p>
    <w:p w:rsidR="002D4700" w:rsidRDefault="00C14B78">
      <w:pPr>
        <w:numPr>
          <w:ilvl w:val="0"/>
          <w:numId w:val="4"/>
        </w:numPr>
      </w:pPr>
      <w:proofErr w:type="spellStart"/>
      <w:r>
        <w:rPr>
          <w:sz w:val="20"/>
          <w:szCs w:val="20"/>
        </w:rPr>
        <w:t>Kaukoranta</w:t>
      </w:r>
      <w:proofErr w:type="spellEnd"/>
      <w:r>
        <w:rPr>
          <w:sz w:val="20"/>
          <w:szCs w:val="20"/>
        </w:rPr>
        <w:t>, T. Impact of global warming on potato late blight: Risk, yield loss and control. Agric. Food Sci. 1996, 5, 311–327.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Apel</w:t>
      </w:r>
      <w:proofErr w:type="spellEnd"/>
      <w:r>
        <w:rPr>
          <w:sz w:val="20"/>
          <w:szCs w:val="20"/>
        </w:rPr>
        <w:t xml:space="preserve">, H.; </w:t>
      </w:r>
      <w:proofErr w:type="spellStart"/>
      <w:r>
        <w:rPr>
          <w:sz w:val="20"/>
          <w:szCs w:val="20"/>
        </w:rPr>
        <w:t>Paudyal</w:t>
      </w:r>
      <w:proofErr w:type="spellEnd"/>
      <w:r>
        <w:rPr>
          <w:sz w:val="20"/>
          <w:szCs w:val="20"/>
        </w:rPr>
        <w:t xml:space="preserve">, M.; Richter, O. Evaluation of treatment strategies of the late blight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in Nepal by population dynamics modeling. Environ. Model. </w:t>
      </w:r>
      <w:proofErr w:type="spellStart"/>
      <w:r>
        <w:rPr>
          <w:sz w:val="20"/>
          <w:szCs w:val="20"/>
        </w:rPr>
        <w:t>Softw</w:t>
      </w:r>
      <w:proofErr w:type="spellEnd"/>
      <w:r>
        <w:rPr>
          <w:sz w:val="20"/>
          <w:szCs w:val="20"/>
        </w:rPr>
        <w:t>. 2003, 18, 355–364.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Aylor</w:t>
      </w:r>
      <w:proofErr w:type="spellEnd"/>
      <w:r>
        <w:rPr>
          <w:sz w:val="20"/>
          <w:szCs w:val="20"/>
        </w:rPr>
        <w:t xml:space="preserve">, D.E.; Fry, W.E.; </w:t>
      </w:r>
      <w:proofErr w:type="spellStart"/>
      <w:r>
        <w:rPr>
          <w:sz w:val="20"/>
          <w:szCs w:val="20"/>
        </w:rPr>
        <w:t>Mayton</w:t>
      </w:r>
      <w:proofErr w:type="spellEnd"/>
      <w:r>
        <w:rPr>
          <w:sz w:val="20"/>
          <w:szCs w:val="20"/>
        </w:rPr>
        <w:t>, H.; Andrade-</w:t>
      </w:r>
      <w:proofErr w:type="spellStart"/>
      <w:r>
        <w:rPr>
          <w:sz w:val="20"/>
          <w:szCs w:val="20"/>
        </w:rPr>
        <w:t>Piedr</w:t>
      </w:r>
      <w:r>
        <w:rPr>
          <w:sz w:val="20"/>
          <w:szCs w:val="20"/>
        </w:rPr>
        <w:t>a</w:t>
      </w:r>
      <w:proofErr w:type="spellEnd"/>
      <w:r>
        <w:rPr>
          <w:sz w:val="20"/>
          <w:szCs w:val="20"/>
        </w:rPr>
        <w:t xml:space="preserve">, J.L. Quantifying the rate of release and escape of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sporangia from a potato canopy. Phytopathology 2001, 91, 1189–1196. [</w:t>
      </w:r>
      <w:proofErr w:type="spellStart"/>
      <w:r>
        <w:rPr>
          <w:sz w:val="20"/>
          <w:szCs w:val="20"/>
        </w:rPr>
        <w:t>CrossRef</w:t>
      </w:r>
      <w:proofErr w:type="spellEnd"/>
      <w:r>
        <w:rPr>
          <w:sz w:val="20"/>
          <w:szCs w:val="20"/>
        </w:rPr>
        <w:t>] [PubMed]</w:t>
      </w:r>
    </w:p>
    <w:p w:rsidR="002D4700" w:rsidRDefault="00C14B78">
      <w:pPr>
        <w:numPr>
          <w:ilvl w:val="0"/>
          <w:numId w:val="4"/>
        </w:numPr>
      </w:pPr>
      <w:r>
        <w:rPr>
          <w:sz w:val="20"/>
          <w:szCs w:val="20"/>
        </w:rPr>
        <w:t>Bruhn, J.; Fry, W. Analysis of potato late blight epidemiology by simulation modeling. Phyt</w:t>
      </w:r>
      <w:r>
        <w:rPr>
          <w:sz w:val="20"/>
          <w:szCs w:val="20"/>
        </w:rPr>
        <w:t>opathology 1981, 71, 612–616.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 xml:space="preserve">Fall, M.; Van der </w:t>
      </w:r>
      <w:proofErr w:type="spellStart"/>
      <w:r>
        <w:rPr>
          <w:sz w:val="20"/>
          <w:szCs w:val="20"/>
        </w:rPr>
        <w:t>Heyden</w:t>
      </w:r>
      <w:proofErr w:type="spellEnd"/>
      <w:r>
        <w:rPr>
          <w:sz w:val="20"/>
          <w:szCs w:val="20"/>
        </w:rPr>
        <w:t xml:space="preserve">, H.; </w:t>
      </w:r>
      <w:proofErr w:type="spellStart"/>
      <w:r>
        <w:rPr>
          <w:sz w:val="20"/>
          <w:szCs w:val="20"/>
        </w:rPr>
        <w:t>Brodeur</w:t>
      </w:r>
      <w:proofErr w:type="spellEnd"/>
      <w:r>
        <w:rPr>
          <w:sz w:val="20"/>
          <w:szCs w:val="20"/>
        </w:rPr>
        <w:t xml:space="preserve">, L.; Leclerc, Y.; Moreau, G.; </w:t>
      </w:r>
      <w:proofErr w:type="spellStart"/>
      <w:r>
        <w:rPr>
          <w:sz w:val="20"/>
          <w:szCs w:val="20"/>
        </w:rPr>
        <w:t>Carisse</w:t>
      </w:r>
      <w:proofErr w:type="spellEnd"/>
      <w:r>
        <w:rPr>
          <w:sz w:val="20"/>
          <w:szCs w:val="20"/>
        </w:rPr>
        <w:t xml:space="preserve">, O. Spatiotemporal variation in airborne sporangia of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Characterization and initiatives towards improving potato lat</w:t>
      </w:r>
      <w:r>
        <w:rPr>
          <w:sz w:val="20"/>
          <w:szCs w:val="20"/>
        </w:rPr>
        <w:t xml:space="preserve">e blight risk estimation. Plant </w:t>
      </w:r>
      <w:proofErr w:type="spellStart"/>
      <w:r>
        <w:rPr>
          <w:sz w:val="20"/>
          <w:szCs w:val="20"/>
        </w:rPr>
        <w:t>Pathol</w:t>
      </w:r>
      <w:proofErr w:type="spellEnd"/>
      <w:r>
        <w:rPr>
          <w:sz w:val="20"/>
          <w:szCs w:val="20"/>
        </w:rPr>
        <w:t>. 2015, 64, 178–190.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Henshall</w:t>
      </w:r>
      <w:proofErr w:type="spellEnd"/>
      <w:r>
        <w:rPr>
          <w:sz w:val="20"/>
          <w:szCs w:val="20"/>
        </w:rPr>
        <w:t xml:space="preserve">, W.; </w:t>
      </w:r>
      <w:proofErr w:type="spellStart"/>
      <w:r>
        <w:rPr>
          <w:sz w:val="20"/>
          <w:szCs w:val="20"/>
        </w:rPr>
        <w:t>Shtienberg</w:t>
      </w:r>
      <w:proofErr w:type="spellEnd"/>
      <w:r>
        <w:rPr>
          <w:sz w:val="20"/>
          <w:szCs w:val="20"/>
        </w:rPr>
        <w:t>, D.; Beresford, R. A new potato late blight disease prediction model and its comparison with two previous models. N. Z. Plant Prot. 2006, 59, 150–154.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Michaelides</w:t>
      </w:r>
      <w:proofErr w:type="spellEnd"/>
      <w:r>
        <w:rPr>
          <w:sz w:val="20"/>
          <w:szCs w:val="20"/>
        </w:rPr>
        <w:t xml:space="preserve">, S. A simulation model of the fungus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(Mont) De </w:t>
      </w:r>
      <w:proofErr w:type="spellStart"/>
      <w:r>
        <w:rPr>
          <w:sz w:val="20"/>
          <w:szCs w:val="20"/>
        </w:rPr>
        <w:t>Bary</w:t>
      </w:r>
      <w:proofErr w:type="spellEnd"/>
      <w:r>
        <w:rPr>
          <w:sz w:val="20"/>
          <w:szCs w:val="20"/>
        </w:rPr>
        <w:t>. Ecol. Model. 1985, 28, 121–137.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Raymundo, R.; Andrade-</w:t>
      </w:r>
      <w:proofErr w:type="spellStart"/>
      <w:r>
        <w:rPr>
          <w:sz w:val="20"/>
          <w:szCs w:val="20"/>
        </w:rPr>
        <w:t>Piedra</w:t>
      </w:r>
      <w:proofErr w:type="spellEnd"/>
      <w:r>
        <w:rPr>
          <w:sz w:val="20"/>
          <w:szCs w:val="20"/>
        </w:rPr>
        <w:t xml:space="preserve">, J.; </w:t>
      </w:r>
      <w:proofErr w:type="spellStart"/>
      <w:r>
        <w:rPr>
          <w:sz w:val="20"/>
          <w:szCs w:val="20"/>
        </w:rPr>
        <w:t>Juárez</w:t>
      </w:r>
      <w:proofErr w:type="spellEnd"/>
      <w:r>
        <w:rPr>
          <w:sz w:val="20"/>
          <w:szCs w:val="20"/>
        </w:rPr>
        <w:t xml:space="preserve">, H.; Forbes, G.; </w:t>
      </w:r>
      <w:proofErr w:type="spellStart"/>
      <w:r>
        <w:rPr>
          <w:sz w:val="20"/>
          <w:szCs w:val="20"/>
        </w:rPr>
        <w:t>Hijmans</w:t>
      </w:r>
      <w:proofErr w:type="spellEnd"/>
      <w:r>
        <w:rPr>
          <w:sz w:val="20"/>
          <w:szCs w:val="20"/>
        </w:rPr>
        <w:t xml:space="preserve">, R.J. Towards an integrated and universal </w:t>
      </w:r>
      <w:proofErr w:type="spellStart"/>
      <w:r>
        <w:rPr>
          <w:sz w:val="20"/>
          <w:szCs w:val="20"/>
        </w:rPr>
        <w:t>cropdisease</w:t>
      </w:r>
      <w:proofErr w:type="spellEnd"/>
      <w:r>
        <w:rPr>
          <w:sz w:val="20"/>
          <w:szCs w:val="20"/>
        </w:rPr>
        <w:t xml:space="preserve"> mode</w:t>
      </w:r>
      <w:r>
        <w:rPr>
          <w:sz w:val="20"/>
          <w:szCs w:val="20"/>
        </w:rPr>
        <w:t xml:space="preserve">l for potato late blight. In Late Blight: Managing the Global Threat, Proceedings of Global Initiative on Late Blight (GILB) Conference, Hamburg, Germany, 11–13 July 2002; </w:t>
      </w:r>
      <w:proofErr w:type="spellStart"/>
      <w:r>
        <w:rPr>
          <w:sz w:val="20"/>
          <w:szCs w:val="20"/>
        </w:rPr>
        <w:t>Lizárraga</w:t>
      </w:r>
      <w:proofErr w:type="spellEnd"/>
      <w:r>
        <w:rPr>
          <w:sz w:val="20"/>
          <w:szCs w:val="20"/>
        </w:rPr>
        <w:t>, C., Ed.; International Potato Center (CIP): Lima, Peru, 2002; pp. 77–82.</w:t>
      </w:r>
    </w:p>
    <w:p w:rsidR="002D4700" w:rsidRDefault="00C14B78">
      <w:pPr>
        <w:numPr>
          <w:ilvl w:val="0"/>
          <w:numId w:val="4"/>
        </w:numPr>
      </w:pPr>
      <w:r>
        <w:rPr>
          <w:sz w:val="20"/>
          <w:szCs w:val="20"/>
        </w:rPr>
        <w:t xml:space="preserve">Johnson, A.C.S.; Frost, K.E.; Rouse, D.I.; </w:t>
      </w:r>
      <w:proofErr w:type="spellStart"/>
      <w:r>
        <w:rPr>
          <w:sz w:val="20"/>
          <w:szCs w:val="20"/>
        </w:rPr>
        <w:t>Gevens</w:t>
      </w:r>
      <w:proofErr w:type="spellEnd"/>
      <w:r>
        <w:rPr>
          <w:sz w:val="20"/>
          <w:szCs w:val="20"/>
        </w:rPr>
        <w:t xml:space="preserve">, A.J. Effect of temperature on growth and sporulation of US-22, US-23, and US-24 clonal lineages of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and implications for late blight epidemiology. Phytopathology 2015, 105, 449–459.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Shtienberg</w:t>
      </w:r>
      <w:proofErr w:type="spellEnd"/>
      <w:r>
        <w:rPr>
          <w:sz w:val="20"/>
          <w:szCs w:val="20"/>
        </w:rPr>
        <w:t xml:space="preserve">, D.; </w:t>
      </w:r>
      <w:proofErr w:type="spellStart"/>
      <w:r>
        <w:rPr>
          <w:sz w:val="20"/>
          <w:szCs w:val="20"/>
        </w:rPr>
        <w:t>Doster</w:t>
      </w:r>
      <w:proofErr w:type="spellEnd"/>
      <w:r>
        <w:rPr>
          <w:sz w:val="20"/>
          <w:szCs w:val="20"/>
        </w:rPr>
        <w:t>, M.; Pelletier, J.; Fry, W. Use of simulation models to develop a low-risk strategy to suppress early and late blight in potato foliage. Phytopathology 1989, 79, 590–595.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Skelsey</w:t>
      </w:r>
      <w:proofErr w:type="spellEnd"/>
      <w:r>
        <w:rPr>
          <w:sz w:val="20"/>
          <w:szCs w:val="20"/>
        </w:rPr>
        <w:t xml:space="preserve">, P.; Kessel, G.; </w:t>
      </w:r>
      <w:proofErr w:type="spellStart"/>
      <w:r>
        <w:rPr>
          <w:sz w:val="20"/>
          <w:szCs w:val="20"/>
        </w:rPr>
        <w:t>Holtslag</w:t>
      </w:r>
      <w:proofErr w:type="spellEnd"/>
      <w:r>
        <w:rPr>
          <w:sz w:val="20"/>
          <w:szCs w:val="20"/>
        </w:rPr>
        <w:t xml:space="preserve">, A.; </w:t>
      </w:r>
      <w:proofErr w:type="spellStart"/>
      <w:r>
        <w:rPr>
          <w:sz w:val="20"/>
          <w:szCs w:val="20"/>
        </w:rPr>
        <w:t>Mo</w:t>
      </w:r>
      <w:r>
        <w:rPr>
          <w:sz w:val="20"/>
          <w:szCs w:val="20"/>
        </w:rPr>
        <w:t>ene</w:t>
      </w:r>
      <w:proofErr w:type="spellEnd"/>
      <w:r>
        <w:rPr>
          <w:sz w:val="20"/>
          <w:szCs w:val="20"/>
        </w:rPr>
        <w:t xml:space="preserve">, A.; Van Der </w:t>
      </w:r>
      <w:proofErr w:type="spellStart"/>
      <w:r>
        <w:rPr>
          <w:sz w:val="20"/>
          <w:szCs w:val="20"/>
        </w:rPr>
        <w:t>Werf</w:t>
      </w:r>
      <w:proofErr w:type="spellEnd"/>
      <w:r>
        <w:rPr>
          <w:sz w:val="20"/>
          <w:szCs w:val="20"/>
        </w:rPr>
        <w:t xml:space="preserve">, W. Regional spore dispersal as a factor in disease risk warnings for potato late blight: A proof of concept. Agric. For. </w:t>
      </w:r>
      <w:proofErr w:type="spellStart"/>
      <w:r>
        <w:rPr>
          <w:sz w:val="20"/>
          <w:szCs w:val="20"/>
        </w:rPr>
        <w:t>Meteorol</w:t>
      </w:r>
      <w:proofErr w:type="spellEnd"/>
      <w:r>
        <w:rPr>
          <w:sz w:val="20"/>
          <w:szCs w:val="20"/>
        </w:rPr>
        <w:t>. 2009, 149, 419–430.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Skelsey</w:t>
      </w:r>
      <w:proofErr w:type="spellEnd"/>
      <w:r>
        <w:rPr>
          <w:sz w:val="20"/>
          <w:szCs w:val="20"/>
        </w:rPr>
        <w:t xml:space="preserve">, P.; Kessel, G.; </w:t>
      </w:r>
      <w:proofErr w:type="spellStart"/>
      <w:r>
        <w:rPr>
          <w:sz w:val="20"/>
          <w:szCs w:val="20"/>
        </w:rPr>
        <w:t>Rossing</w:t>
      </w:r>
      <w:proofErr w:type="spellEnd"/>
      <w:r>
        <w:rPr>
          <w:sz w:val="20"/>
          <w:szCs w:val="20"/>
        </w:rPr>
        <w:t xml:space="preserve">, W.; Van Der </w:t>
      </w:r>
      <w:proofErr w:type="spellStart"/>
      <w:r>
        <w:rPr>
          <w:sz w:val="20"/>
          <w:szCs w:val="20"/>
        </w:rPr>
        <w:t>Werf</w:t>
      </w:r>
      <w:proofErr w:type="spellEnd"/>
      <w:r>
        <w:rPr>
          <w:sz w:val="20"/>
          <w:szCs w:val="20"/>
        </w:rPr>
        <w:t>, W. Parameterization</w:t>
      </w:r>
      <w:r>
        <w:rPr>
          <w:sz w:val="20"/>
          <w:szCs w:val="20"/>
        </w:rPr>
        <w:t xml:space="preserve"> and evaluation of a spatiotemporal model of the potato late blight </w:t>
      </w:r>
      <w:proofErr w:type="spellStart"/>
      <w:r>
        <w:rPr>
          <w:sz w:val="20"/>
          <w:szCs w:val="20"/>
        </w:rPr>
        <w:t>pathosystem</w:t>
      </w:r>
      <w:proofErr w:type="spellEnd"/>
      <w:r>
        <w:rPr>
          <w:sz w:val="20"/>
          <w:szCs w:val="20"/>
        </w:rPr>
        <w:t>. Phytopathology 2009, 99, 290–300.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lastRenderedPageBreak/>
        <w:t xml:space="preserve">Small, I.M.; Joseph, L.; Fry, W.E. Evaluation of the </w:t>
      </w:r>
      <w:proofErr w:type="spellStart"/>
      <w:r>
        <w:rPr>
          <w:sz w:val="20"/>
          <w:szCs w:val="20"/>
        </w:rPr>
        <w:t>BlightPro</w:t>
      </w:r>
      <w:proofErr w:type="spellEnd"/>
      <w:r>
        <w:rPr>
          <w:sz w:val="20"/>
          <w:szCs w:val="20"/>
        </w:rPr>
        <w:t xml:space="preserve"> decision support system for management of potato late blight using </w:t>
      </w:r>
      <w:r>
        <w:rPr>
          <w:sz w:val="20"/>
          <w:szCs w:val="20"/>
        </w:rPr>
        <w:t>computer simulation and field validation. Phytopathology 2015, 105, 1545–1554. [</w:t>
      </w:r>
      <w:proofErr w:type="spellStart"/>
      <w:r>
        <w:rPr>
          <w:sz w:val="20"/>
          <w:szCs w:val="20"/>
        </w:rPr>
        <w:t>CrossRef</w:t>
      </w:r>
      <w:proofErr w:type="spellEnd"/>
      <w:r>
        <w:rPr>
          <w:sz w:val="20"/>
          <w:szCs w:val="20"/>
        </w:rPr>
        <w:t>]</w:t>
      </w:r>
    </w:p>
    <w:p w:rsidR="002D4700" w:rsidRDefault="00C14B78">
      <w:pPr>
        <w:numPr>
          <w:ilvl w:val="0"/>
          <w:numId w:val="4"/>
        </w:numPr>
      </w:pPr>
      <w:r>
        <w:rPr>
          <w:sz w:val="20"/>
          <w:szCs w:val="20"/>
        </w:rPr>
        <w:t xml:space="preserve">Van </w:t>
      </w:r>
      <w:proofErr w:type="spellStart"/>
      <w:r>
        <w:rPr>
          <w:sz w:val="20"/>
          <w:szCs w:val="20"/>
        </w:rPr>
        <w:t>Oijen</w:t>
      </w:r>
      <w:proofErr w:type="spellEnd"/>
      <w:r>
        <w:rPr>
          <w:sz w:val="20"/>
          <w:szCs w:val="20"/>
        </w:rPr>
        <w:t xml:space="preserve">, M. Selection and use of a mathematical model to evaluate components of resistance to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in potato. Neth. J. Plant </w:t>
      </w:r>
      <w:proofErr w:type="spellStart"/>
      <w:r>
        <w:rPr>
          <w:sz w:val="20"/>
          <w:szCs w:val="20"/>
        </w:rPr>
        <w:t>Pathol</w:t>
      </w:r>
      <w:proofErr w:type="spellEnd"/>
      <w:r>
        <w:rPr>
          <w:sz w:val="20"/>
          <w:szCs w:val="20"/>
        </w:rPr>
        <w:t>. 1992, 98, 192</w:t>
      </w:r>
      <w:r>
        <w:rPr>
          <w:sz w:val="20"/>
          <w:szCs w:val="20"/>
        </w:rPr>
        <w:t>–202. [</w:t>
      </w:r>
      <w:proofErr w:type="spellStart"/>
      <w:r>
        <w:rPr>
          <w:sz w:val="20"/>
          <w:szCs w:val="20"/>
        </w:rPr>
        <w:t>CrossRef</w:t>
      </w:r>
      <w:proofErr w:type="spellEnd"/>
      <w:r>
        <w:rPr>
          <w:sz w:val="20"/>
          <w:szCs w:val="20"/>
        </w:rPr>
        <w:t>]</w:t>
      </w:r>
    </w:p>
    <w:p w:rsidR="002D4700" w:rsidRDefault="00C14B78">
      <w:pPr>
        <w:numPr>
          <w:ilvl w:val="0"/>
          <w:numId w:val="4"/>
        </w:numPr>
      </w:pPr>
      <w:proofErr w:type="spellStart"/>
      <w:r>
        <w:rPr>
          <w:sz w:val="20"/>
          <w:szCs w:val="20"/>
        </w:rPr>
        <w:t>Narouei-Khandan</w:t>
      </w:r>
      <w:proofErr w:type="spellEnd"/>
      <w:r>
        <w:rPr>
          <w:sz w:val="20"/>
          <w:szCs w:val="20"/>
        </w:rPr>
        <w:t xml:space="preserve">, Hossein A., et al. "BLIGHTSIM: A new potato late blight model simulating the response of </w:t>
      </w:r>
      <w:proofErr w:type="spellStart"/>
      <w:r>
        <w:rPr>
          <w:sz w:val="20"/>
          <w:szCs w:val="20"/>
        </w:rPr>
        <w:t>Phytophthora</w:t>
      </w:r>
      <w:proofErr w:type="spellEnd"/>
      <w:r>
        <w:rPr>
          <w:sz w:val="20"/>
          <w:szCs w:val="20"/>
        </w:rPr>
        <w:t xml:space="preserve"> </w:t>
      </w:r>
      <w:proofErr w:type="spellStart"/>
      <w:r>
        <w:rPr>
          <w:sz w:val="20"/>
          <w:szCs w:val="20"/>
        </w:rPr>
        <w:t>infestans</w:t>
      </w:r>
      <w:proofErr w:type="spellEnd"/>
      <w:r>
        <w:rPr>
          <w:sz w:val="20"/>
          <w:szCs w:val="20"/>
        </w:rPr>
        <w:t xml:space="preserve"> to diurnal temperature and humidity fluctuations in relation to climate change." </w:t>
      </w:r>
      <w:r>
        <w:rPr>
          <w:i/>
          <w:sz w:val="20"/>
          <w:szCs w:val="20"/>
        </w:rPr>
        <w:t>Pathogens</w:t>
      </w:r>
      <w:r>
        <w:rPr>
          <w:sz w:val="20"/>
          <w:szCs w:val="20"/>
        </w:rPr>
        <w:t xml:space="preserve"> 9.8 (2020): 659.</w:t>
      </w:r>
    </w:p>
    <w:p w:rsidR="002D4700" w:rsidRDefault="00C14B78">
      <w:pPr>
        <w:numPr>
          <w:ilvl w:val="0"/>
          <w:numId w:val="4"/>
        </w:numPr>
      </w:pPr>
      <w:r>
        <w:rPr>
          <w:sz w:val="20"/>
          <w:szCs w:val="20"/>
        </w:rPr>
        <w:t>Fr</w:t>
      </w:r>
      <w:r>
        <w:rPr>
          <w:sz w:val="20"/>
          <w:szCs w:val="20"/>
        </w:rPr>
        <w:t>y, W. E., et al. "The 2009 Late blight pandemic in Eastern USA." (2012).</w:t>
      </w:r>
    </w:p>
    <w:p w:rsidR="002D4700" w:rsidRDefault="00C14B78">
      <w:pPr>
        <w:numPr>
          <w:ilvl w:val="0"/>
          <w:numId w:val="4"/>
        </w:numPr>
      </w:pPr>
      <w:r>
        <w:rPr>
          <w:sz w:val="20"/>
          <w:szCs w:val="20"/>
        </w:rPr>
        <w:t>24F. Wang, Z. Xuan, Z. Zhen, K. Li, T. Wang, and M. Shi, “A day-ahead PV power forecasting method based on LSTM-RNN model and time correlation modification under partial daily pattern</w:t>
      </w:r>
      <w:r>
        <w:rPr>
          <w:sz w:val="20"/>
          <w:szCs w:val="20"/>
        </w:rPr>
        <w:t xml:space="preserve"> prediction framework,” </w:t>
      </w:r>
      <w:r>
        <w:rPr>
          <w:i/>
          <w:sz w:val="20"/>
          <w:szCs w:val="20"/>
        </w:rPr>
        <w:t xml:space="preserve">Energy Convers. </w:t>
      </w:r>
      <w:proofErr w:type="spellStart"/>
      <w:proofErr w:type="gramStart"/>
      <w:r>
        <w:rPr>
          <w:i/>
          <w:sz w:val="20"/>
          <w:szCs w:val="20"/>
        </w:rPr>
        <w:t>Manag</w:t>
      </w:r>
      <w:proofErr w:type="spellEnd"/>
      <w:r>
        <w:rPr>
          <w:i/>
          <w:sz w:val="20"/>
          <w:szCs w:val="20"/>
        </w:rPr>
        <w:t>.</w:t>
      </w:r>
      <w:r>
        <w:rPr>
          <w:sz w:val="20"/>
          <w:szCs w:val="20"/>
        </w:rPr>
        <w:t>,</w:t>
      </w:r>
      <w:proofErr w:type="gramEnd"/>
      <w:r>
        <w:rPr>
          <w:sz w:val="20"/>
          <w:szCs w:val="20"/>
        </w:rPr>
        <w:t xml:space="preserve"> vol. 212, no. 112766, p. 112766, 2020. </w:t>
      </w:r>
      <w:hyperlink r:id="rId12">
        <w:r>
          <w:rPr>
            <w:sz w:val="20"/>
            <w:szCs w:val="20"/>
            <w:u w:val="single"/>
          </w:rPr>
          <w:t>https://doi.org/10.1016/j.enconman.2020.112766</w:t>
        </w:r>
      </w:hyperlink>
    </w:p>
    <w:p w:rsidR="002D4700" w:rsidRDefault="00C14B78">
      <w:pPr>
        <w:numPr>
          <w:ilvl w:val="0"/>
          <w:numId w:val="4"/>
        </w:numPr>
      </w:pPr>
      <w:r>
        <w:rPr>
          <w:sz w:val="20"/>
          <w:szCs w:val="20"/>
        </w:rPr>
        <w:t xml:space="preserve">25A. R. </w:t>
      </w:r>
      <w:proofErr w:type="spellStart"/>
      <w:r>
        <w:rPr>
          <w:sz w:val="20"/>
          <w:szCs w:val="20"/>
        </w:rPr>
        <w:t>Blaustein</w:t>
      </w:r>
      <w:proofErr w:type="spellEnd"/>
      <w:r>
        <w:rPr>
          <w:sz w:val="20"/>
          <w:szCs w:val="20"/>
        </w:rPr>
        <w:t xml:space="preserve">, S. C. Walls, B. A. Bancroft, J. J. Lawler, C. L. Searle, and S. S. </w:t>
      </w:r>
      <w:proofErr w:type="spellStart"/>
      <w:r>
        <w:rPr>
          <w:sz w:val="20"/>
          <w:szCs w:val="20"/>
        </w:rPr>
        <w:t>Gervasi</w:t>
      </w:r>
      <w:proofErr w:type="spellEnd"/>
      <w:r>
        <w:rPr>
          <w:sz w:val="20"/>
          <w:szCs w:val="20"/>
        </w:rPr>
        <w:t xml:space="preserve">, “Direct and indirect effects of climate change on amphibian populations,” </w:t>
      </w:r>
      <w:r>
        <w:rPr>
          <w:i/>
          <w:sz w:val="20"/>
          <w:szCs w:val="20"/>
        </w:rPr>
        <w:t>Diversity (Basel)</w:t>
      </w:r>
      <w:r>
        <w:rPr>
          <w:sz w:val="20"/>
          <w:szCs w:val="20"/>
        </w:rPr>
        <w:t xml:space="preserve">, vol. 2, no. 2, pp. 281–313, 2010. </w:t>
      </w:r>
      <w:hyperlink r:id="rId13">
        <w:r>
          <w:rPr>
            <w:b/>
            <w:sz w:val="20"/>
            <w:szCs w:val="20"/>
          </w:rPr>
          <w:t>https://doi.org/10.3390/d2020281</w:t>
        </w:r>
      </w:hyperlink>
    </w:p>
    <w:p w:rsidR="002D4700" w:rsidRDefault="00C14B78">
      <w:pPr>
        <w:numPr>
          <w:ilvl w:val="0"/>
          <w:numId w:val="4"/>
        </w:numPr>
      </w:pPr>
      <w:r>
        <w:rPr>
          <w:sz w:val="20"/>
          <w:szCs w:val="20"/>
        </w:rPr>
        <w:t xml:space="preserve">26I. </w:t>
      </w:r>
      <w:proofErr w:type="spellStart"/>
      <w:r>
        <w:rPr>
          <w:sz w:val="20"/>
          <w:szCs w:val="20"/>
        </w:rPr>
        <w:t>Kurane</w:t>
      </w:r>
      <w:proofErr w:type="spellEnd"/>
      <w:r>
        <w:rPr>
          <w:sz w:val="20"/>
          <w:szCs w:val="20"/>
        </w:rPr>
        <w:t xml:space="preserve">, “The effect of global warming on infectious diseases,” </w:t>
      </w:r>
      <w:proofErr w:type="spellStart"/>
      <w:r>
        <w:rPr>
          <w:i/>
          <w:sz w:val="20"/>
          <w:szCs w:val="20"/>
        </w:rPr>
        <w:t>Osong</w:t>
      </w:r>
      <w:proofErr w:type="spellEnd"/>
      <w:r>
        <w:rPr>
          <w:i/>
          <w:sz w:val="20"/>
          <w:szCs w:val="20"/>
        </w:rPr>
        <w:t xml:space="preserve"> Public Health Res. </w:t>
      </w:r>
      <w:proofErr w:type="spellStart"/>
      <w:r>
        <w:rPr>
          <w:i/>
          <w:sz w:val="20"/>
          <w:szCs w:val="20"/>
        </w:rPr>
        <w:t>Perspect</w:t>
      </w:r>
      <w:proofErr w:type="spellEnd"/>
      <w:r>
        <w:rPr>
          <w:i/>
          <w:sz w:val="20"/>
          <w:szCs w:val="20"/>
        </w:rPr>
        <w:t>.</w:t>
      </w:r>
      <w:r>
        <w:rPr>
          <w:sz w:val="20"/>
          <w:szCs w:val="20"/>
        </w:rPr>
        <w:t xml:space="preserve">, vol. 1, no. 1, pp. 4–9, 2010. DOI : </w:t>
      </w:r>
      <w:hyperlink r:id="rId14">
        <w:r>
          <w:rPr>
            <w:sz w:val="20"/>
            <w:szCs w:val="20"/>
            <w:u w:val="single"/>
          </w:rPr>
          <w:t>https://dx.doi.org/10.1016%2Fj.phrp.2010.12.004</w:t>
        </w:r>
      </w:hyperlink>
    </w:p>
    <w:p w:rsidR="002D4700" w:rsidRDefault="00C14B78">
      <w:pPr>
        <w:numPr>
          <w:ilvl w:val="0"/>
          <w:numId w:val="4"/>
        </w:numPr>
      </w:pPr>
      <w:r>
        <w:rPr>
          <w:sz w:val="20"/>
          <w:szCs w:val="20"/>
        </w:rPr>
        <w:t xml:space="preserve">27M. </w:t>
      </w:r>
      <w:proofErr w:type="spellStart"/>
      <w:r>
        <w:rPr>
          <w:sz w:val="20"/>
          <w:szCs w:val="20"/>
        </w:rPr>
        <w:t>Matzrafi</w:t>
      </w:r>
      <w:proofErr w:type="spellEnd"/>
      <w:r>
        <w:rPr>
          <w:sz w:val="20"/>
          <w:szCs w:val="20"/>
        </w:rPr>
        <w:t xml:space="preserve">, “Climate change exacerbates pest damage through reduced pesticide efficacy,” </w:t>
      </w:r>
      <w:r>
        <w:rPr>
          <w:i/>
          <w:sz w:val="20"/>
          <w:szCs w:val="20"/>
        </w:rPr>
        <w:t xml:space="preserve">Pest </w:t>
      </w:r>
      <w:proofErr w:type="spellStart"/>
      <w:r>
        <w:rPr>
          <w:i/>
          <w:sz w:val="20"/>
          <w:szCs w:val="20"/>
        </w:rPr>
        <w:t>Manag</w:t>
      </w:r>
      <w:proofErr w:type="spellEnd"/>
      <w:r>
        <w:rPr>
          <w:i/>
          <w:sz w:val="20"/>
          <w:szCs w:val="20"/>
        </w:rPr>
        <w:t>. Sci.</w:t>
      </w:r>
      <w:r>
        <w:rPr>
          <w:sz w:val="20"/>
          <w:szCs w:val="20"/>
        </w:rPr>
        <w:t xml:space="preserve">, vol. 75, no. 1, pp. 9–13, 2019. DOI: </w:t>
      </w:r>
      <w:hyperlink r:id="rId15">
        <w:r>
          <w:rPr>
            <w:sz w:val="20"/>
            <w:szCs w:val="20"/>
            <w:u w:val="single"/>
          </w:rPr>
          <w:t>https://</w:t>
        </w:r>
        <w:r>
          <w:rPr>
            <w:sz w:val="20"/>
            <w:szCs w:val="20"/>
            <w:u w:val="single"/>
          </w:rPr>
          <w:t>doi.org/10.1002/ps.5121</w:t>
        </w:r>
      </w:hyperlink>
    </w:p>
    <w:p w:rsidR="002D4700" w:rsidRDefault="00C14B78">
      <w:pPr>
        <w:numPr>
          <w:ilvl w:val="0"/>
          <w:numId w:val="4"/>
        </w:numPr>
        <w:spacing w:before="200"/>
      </w:pPr>
      <w:r>
        <w:rPr>
          <w:sz w:val="20"/>
          <w:szCs w:val="20"/>
        </w:rPr>
        <w:t xml:space="preserve">28“Blight,” </w:t>
      </w:r>
      <w:r>
        <w:rPr>
          <w:i/>
          <w:sz w:val="20"/>
          <w:szCs w:val="20"/>
        </w:rPr>
        <w:t>Com.au</w:t>
      </w:r>
      <w:r>
        <w:rPr>
          <w:sz w:val="20"/>
          <w:szCs w:val="20"/>
        </w:rPr>
        <w:t>. [Online]. Available: https://www.yates.com.au/plants/problem-solver/diseases/blight/. [Accessed: 26-Sep-2021].</w:t>
      </w:r>
    </w:p>
    <w:p w:rsidR="002D4700" w:rsidRDefault="00C14B78">
      <w:pPr>
        <w:numPr>
          <w:ilvl w:val="0"/>
          <w:numId w:val="4"/>
        </w:numPr>
      </w:pPr>
      <w:r>
        <w:rPr>
          <w:sz w:val="20"/>
          <w:szCs w:val="20"/>
        </w:rPr>
        <w:t xml:space="preserve">29N. </w:t>
      </w:r>
      <w:proofErr w:type="spellStart"/>
      <w:r>
        <w:rPr>
          <w:sz w:val="20"/>
          <w:szCs w:val="20"/>
        </w:rPr>
        <w:t>Alam</w:t>
      </w:r>
      <w:proofErr w:type="spellEnd"/>
      <w:r>
        <w:rPr>
          <w:sz w:val="20"/>
          <w:szCs w:val="20"/>
        </w:rPr>
        <w:t xml:space="preserve">, “Late Blight of potato </w:t>
      </w:r>
      <w:proofErr w:type="spellStart"/>
      <w:r>
        <w:rPr>
          <w:i/>
          <w:sz w:val="20"/>
          <w:szCs w:val="20"/>
        </w:rPr>
        <w:t>Phytophthora</w:t>
      </w:r>
      <w:proofErr w:type="spellEnd"/>
      <w:r>
        <w:rPr>
          <w:i/>
          <w:sz w:val="20"/>
          <w:szCs w:val="20"/>
        </w:rPr>
        <w:t xml:space="preserve"> </w:t>
      </w:r>
      <w:proofErr w:type="spellStart"/>
      <w:r>
        <w:rPr>
          <w:i/>
          <w:sz w:val="20"/>
          <w:szCs w:val="20"/>
        </w:rPr>
        <w:t>infestans</w:t>
      </w:r>
      <w:proofErr w:type="spellEnd"/>
      <w:r>
        <w:rPr>
          <w:sz w:val="20"/>
          <w:szCs w:val="20"/>
        </w:rPr>
        <w:t xml:space="preserve">. - name: </w:t>
      </w:r>
      <w:proofErr w:type="spellStart"/>
      <w:r>
        <w:rPr>
          <w:sz w:val="20"/>
          <w:szCs w:val="20"/>
        </w:rPr>
        <w:t>azme</w:t>
      </w:r>
      <w:proofErr w:type="spellEnd"/>
      <w:r>
        <w:rPr>
          <w:sz w:val="20"/>
          <w:szCs w:val="20"/>
        </w:rPr>
        <w:t xml:space="preserve"> </w:t>
      </w:r>
      <w:proofErr w:type="spellStart"/>
      <w:r>
        <w:rPr>
          <w:sz w:val="20"/>
          <w:szCs w:val="20"/>
        </w:rPr>
        <w:t>agri</w:t>
      </w:r>
      <w:proofErr w:type="spellEnd"/>
      <w:r>
        <w:rPr>
          <w:sz w:val="20"/>
          <w:szCs w:val="20"/>
        </w:rPr>
        <w:t xml:space="preserve"> study,” </w:t>
      </w:r>
      <w:r>
        <w:rPr>
          <w:i/>
          <w:sz w:val="20"/>
          <w:szCs w:val="20"/>
        </w:rPr>
        <w:t>Nazmeagristudy.co</w:t>
      </w:r>
      <w:r>
        <w:rPr>
          <w:i/>
          <w:sz w:val="20"/>
          <w:szCs w:val="20"/>
        </w:rPr>
        <w:t>m</w:t>
      </w:r>
      <w:r>
        <w:rPr>
          <w:sz w:val="20"/>
          <w:szCs w:val="20"/>
        </w:rPr>
        <w:t>, 10-Jun-2021. [Online]. Available: www.nazmeagristudy.com/late-blight-of-potato-phytopthora-infestans/. [Accessed: 26-Sep-2021].</w:t>
      </w:r>
    </w:p>
    <w:p w:rsidR="002D4700" w:rsidRDefault="00C14B78">
      <w:pPr>
        <w:numPr>
          <w:ilvl w:val="0"/>
          <w:numId w:val="4"/>
        </w:numPr>
      </w:pPr>
      <w:r>
        <w:rPr>
          <w:sz w:val="20"/>
          <w:szCs w:val="20"/>
        </w:rPr>
        <w:t xml:space="preserve">30K. J. </w:t>
      </w:r>
      <w:proofErr w:type="spellStart"/>
      <w:r>
        <w:rPr>
          <w:sz w:val="20"/>
          <w:szCs w:val="20"/>
        </w:rPr>
        <w:t>Mutuku</w:t>
      </w:r>
      <w:proofErr w:type="spellEnd"/>
      <w:r>
        <w:rPr>
          <w:sz w:val="20"/>
          <w:szCs w:val="20"/>
        </w:rPr>
        <w:t xml:space="preserve">, M. J. Joseph, N. M. </w:t>
      </w:r>
      <w:proofErr w:type="spellStart"/>
      <w:r>
        <w:rPr>
          <w:sz w:val="20"/>
          <w:szCs w:val="20"/>
        </w:rPr>
        <w:t>Wabomba</w:t>
      </w:r>
      <w:proofErr w:type="spellEnd"/>
      <w:r>
        <w:rPr>
          <w:sz w:val="20"/>
          <w:szCs w:val="20"/>
        </w:rPr>
        <w:t xml:space="preserve">, and K. A. </w:t>
      </w:r>
      <w:proofErr w:type="spellStart"/>
      <w:r>
        <w:rPr>
          <w:sz w:val="20"/>
          <w:szCs w:val="20"/>
        </w:rPr>
        <w:t>Mwangi</w:t>
      </w:r>
      <w:proofErr w:type="spellEnd"/>
      <w:r>
        <w:rPr>
          <w:sz w:val="20"/>
          <w:szCs w:val="20"/>
        </w:rPr>
        <w:t xml:space="preserve">, “Efficacy of </w:t>
      </w:r>
      <w:r>
        <w:rPr>
          <w:i/>
          <w:sz w:val="20"/>
          <w:szCs w:val="20"/>
        </w:rPr>
        <w:t xml:space="preserve">Trichoderma </w:t>
      </w:r>
      <w:proofErr w:type="spellStart"/>
      <w:r>
        <w:rPr>
          <w:i/>
          <w:sz w:val="20"/>
          <w:szCs w:val="20"/>
        </w:rPr>
        <w:t>asperellum</w:t>
      </w:r>
      <w:proofErr w:type="spellEnd"/>
      <w:r>
        <w:rPr>
          <w:sz w:val="20"/>
          <w:szCs w:val="20"/>
        </w:rPr>
        <w:t xml:space="preserve"> seed treatment and </w:t>
      </w:r>
      <w:proofErr w:type="spellStart"/>
      <w:r>
        <w:rPr>
          <w:sz w:val="20"/>
          <w:szCs w:val="20"/>
        </w:rPr>
        <w:t>Ridomil</w:t>
      </w:r>
      <w:proofErr w:type="spellEnd"/>
      <w:r>
        <w:rPr>
          <w:sz w:val="20"/>
          <w:szCs w:val="20"/>
        </w:rPr>
        <w:t xml:space="preserve">® application in managing late blight on potato,” </w:t>
      </w:r>
      <w:r>
        <w:rPr>
          <w:i/>
          <w:sz w:val="20"/>
          <w:szCs w:val="20"/>
        </w:rPr>
        <w:t>World J. Agric. Res.</w:t>
      </w:r>
      <w:r>
        <w:rPr>
          <w:sz w:val="20"/>
          <w:szCs w:val="20"/>
        </w:rPr>
        <w:t xml:space="preserve">, vol. 9, no. 2, pp. 42–52, 2021. DOI: 10.12691/wjar-9-2-1 </w:t>
      </w:r>
    </w:p>
    <w:p w:rsidR="002D4700" w:rsidRDefault="00C14B78">
      <w:pPr>
        <w:numPr>
          <w:ilvl w:val="0"/>
          <w:numId w:val="4"/>
        </w:numPr>
      </w:pPr>
      <w:r>
        <w:rPr>
          <w:sz w:val="20"/>
          <w:szCs w:val="20"/>
        </w:rPr>
        <w:t xml:space="preserve">31“Late blight of tomato – NOVIC daughter trial: Tomatoes,” </w:t>
      </w:r>
      <w:r>
        <w:rPr>
          <w:i/>
          <w:sz w:val="20"/>
          <w:szCs w:val="20"/>
        </w:rPr>
        <w:t>Evergreen.edu</w:t>
      </w:r>
      <w:r>
        <w:rPr>
          <w:sz w:val="20"/>
          <w:szCs w:val="20"/>
        </w:rPr>
        <w:t>. [Online]. Available: http://blogs.evergreen.edu/fie</w:t>
      </w:r>
      <w:r>
        <w:rPr>
          <w:sz w:val="20"/>
          <w:szCs w:val="20"/>
        </w:rPr>
        <w:t>ldstudy-patrick/late-blight-of-tomato-a-brief-history-of-the-disease-and-its-impact-and-current-knowledge-of-resistance-with-a-focus-in-western-washington/. [Accessed: 01-Oct-2021]</w:t>
      </w:r>
    </w:p>
    <w:p w:rsidR="002D4700" w:rsidRDefault="00C14B78">
      <w:pPr>
        <w:numPr>
          <w:ilvl w:val="0"/>
          <w:numId w:val="4"/>
        </w:numPr>
      </w:pPr>
      <w:r>
        <w:rPr>
          <w:sz w:val="20"/>
          <w:szCs w:val="20"/>
        </w:rPr>
        <w:t xml:space="preserve">32J. B. </w:t>
      </w:r>
      <w:proofErr w:type="spellStart"/>
      <w:r>
        <w:rPr>
          <w:sz w:val="20"/>
          <w:szCs w:val="20"/>
        </w:rPr>
        <w:t>Ristaino</w:t>
      </w:r>
      <w:proofErr w:type="spellEnd"/>
      <w:r>
        <w:rPr>
          <w:sz w:val="20"/>
          <w:szCs w:val="20"/>
        </w:rPr>
        <w:t xml:space="preserve">, “Tracking historic migrations of the Irish potato famine </w:t>
      </w:r>
      <w:r>
        <w:rPr>
          <w:sz w:val="20"/>
          <w:szCs w:val="20"/>
        </w:rPr>
        <w:t xml:space="preserve">pathogen, </w:t>
      </w:r>
      <w:proofErr w:type="spellStart"/>
      <w:r>
        <w:rPr>
          <w:i/>
          <w:sz w:val="20"/>
          <w:szCs w:val="20"/>
        </w:rPr>
        <w:t>Phytophthora</w:t>
      </w:r>
      <w:proofErr w:type="spellEnd"/>
      <w:r>
        <w:rPr>
          <w:i/>
          <w:sz w:val="20"/>
          <w:szCs w:val="20"/>
        </w:rPr>
        <w:t xml:space="preserve"> </w:t>
      </w:r>
      <w:proofErr w:type="spellStart"/>
      <w:r>
        <w:rPr>
          <w:i/>
          <w:sz w:val="20"/>
          <w:szCs w:val="20"/>
        </w:rPr>
        <w:t>infestans</w:t>
      </w:r>
      <w:proofErr w:type="spellEnd"/>
      <w:r>
        <w:rPr>
          <w:sz w:val="20"/>
          <w:szCs w:val="20"/>
        </w:rPr>
        <w:t xml:space="preserve">,” </w:t>
      </w:r>
      <w:r>
        <w:rPr>
          <w:i/>
          <w:sz w:val="20"/>
          <w:szCs w:val="20"/>
        </w:rPr>
        <w:t>Microbes Infect.</w:t>
      </w:r>
      <w:r>
        <w:rPr>
          <w:sz w:val="20"/>
          <w:szCs w:val="20"/>
        </w:rPr>
        <w:t xml:space="preserve">, vol. 4, no. 13, pp. 1369–1377, 2002.   DOI: </w:t>
      </w:r>
      <w:hyperlink r:id="rId16">
        <w:r>
          <w:rPr>
            <w:sz w:val="20"/>
            <w:szCs w:val="20"/>
            <w:u w:val="single"/>
          </w:rPr>
          <w:t>10.1016/S1286-4579(02)00010-2</w:t>
        </w:r>
      </w:hyperlink>
    </w:p>
    <w:p w:rsidR="002D4700" w:rsidRDefault="002D4700">
      <w:pPr>
        <w:rPr>
          <w:highlight w:val="green"/>
        </w:rPr>
      </w:pPr>
    </w:p>
    <w:p w:rsidR="002D4700" w:rsidRDefault="002D4700">
      <w:pPr>
        <w:spacing w:after="200"/>
        <w:ind w:left="360"/>
        <w:rPr>
          <w:sz w:val="20"/>
          <w:szCs w:val="20"/>
          <w:highlight w:val="green"/>
        </w:rPr>
      </w:pPr>
    </w:p>
    <w:sectPr w:rsidR="002D4700">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B78" w:rsidRDefault="00C14B78">
      <w:pPr>
        <w:spacing w:line="240" w:lineRule="auto"/>
      </w:pPr>
      <w:r>
        <w:separator/>
      </w:r>
    </w:p>
  </w:endnote>
  <w:endnote w:type="continuationSeparator" w:id="0">
    <w:p w:rsidR="00C14B78" w:rsidRDefault="00C14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00" w:rsidRDefault="002D47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B78" w:rsidRDefault="00C14B78">
      <w:pPr>
        <w:spacing w:line="240" w:lineRule="auto"/>
      </w:pPr>
      <w:r>
        <w:separator/>
      </w:r>
    </w:p>
  </w:footnote>
  <w:footnote w:type="continuationSeparator" w:id="0">
    <w:p w:rsidR="00C14B78" w:rsidRDefault="00C14B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F4AD8"/>
    <w:multiLevelType w:val="multilevel"/>
    <w:tmpl w:val="130C144A"/>
    <w:lvl w:ilvl="0">
      <w:start w:val="1"/>
      <w:numFmt w:val="decimal"/>
      <w:lvlText w:val="[%1]"/>
      <w:lvlJc w:val="left"/>
      <w:pPr>
        <w:ind w:left="36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4D6BB2"/>
    <w:multiLevelType w:val="multilevel"/>
    <w:tmpl w:val="934A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C53E6C"/>
    <w:multiLevelType w:val="multilevel"/>
    <w:tmpl w:val="C92A0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E33B27"/>
    <w:multiLevelType w:val="multilevel"/>
    <w:tmpl w:val="CAB0741A"/>
    <w:lvl w:ilvl="0">
      <w:start w:val="1"/>
      <w:numFmt w:val="decimal"/>
      <w:lvlText w:val="%1."/>
      <w:lvlJc w:val="left"/>
      <w:pPr>
        <w:ind w:left="450" w:hanging="450"/>
      </w:pPr>
    </w:lvl>
    <w:lvl w:ilvl="1">
      <w:start w:val="1"/>
      <w:numFmt w:val="decimal"/>
      <w:lvlText w:val="%1.%2."/>
      <w:lvlJc w:val="right"/>
      <w:pPr>
        <w:ind w:left="630" w:hanging="180"/>
      </w:pPr>
      <w:rPr>
        <w:sz w:val="28"/>
        <w:szCs w:val="28"/>
      </w:rPr>
    </w:lvl>
    <w:lvl w:ilvl="2">
      <w:start w:val="1"/>
      <w:numFmt w:val="decimal"/>
      <w:lvlText w:val="%1.%2.%3."/>
      <w:lvlJc w:val="right"/>
      <w:pPr>
        <w:ind w:left="1080" w:hanging="720"/>
      </w:pPr>
    </w:lvl>
    <w:lvl w:ilvl="3">
      <w:start w:val="1"/>
      <w:numFmt w:val="decimal"/>
      <w:lvlText w:val="%1.%2.%3.%4."/>
      <w:lvlJc w:val="right"/>
      <w:pPr>
        <w:ind w:left="1080" w:hanging="720"/>
      </w:pPr>
    </w:lvl>
    <w:lvl w:ilvl="4">
      <w:start w:val="1"/>
      <w:numFmt w:val="decimal"/>
      <w:lvlText w:val="%1.%2.%3.%4.%5."/>
      <w:lvlJc w:val="right"/>
      <w:pPr>
        <w:ind w:left="1440" w:hanging="1080"/>
      </w:pPr>
    </w:lvl>
    <w:lvl w:ilvl="5">
      <w:start w:val="1"/>
      <w:numFmt w:val="decimal"/>
      <w:lvlText w:val="%1.%2.%3.%4.%5.%6."/>
      <w:lvlJc w:val="right"/>
      <w:pPr>
        <w:ind w:left="1440" w:hanging="1080"/>
      </w:pPr>
    </w:lvl>
    <w:lvl w:ilvl="6">
      <w:start w:val="1"/>
      <w:numFmt w:val="decimal"/>
      <w:lvlText w:val="%1.%2.%3.%4.%5.%6.%7."/>
      <w:lvlJc w:val="right"/>
      <w:pPr>
        <w:ind w:left="1800" w:hanging="1440"/>
      </w:pPr>
    </w:lvl>
    <w:lvl w:ilvl="7">
      <w:start w:val="1"/>
      <w:numFmt w:val="decimal"/>
      <w:lvlText w:val="%1.%2.%3.%4.%5.%6.%7.%8."/>
      <w:lvlJc w:val="right"/>
      <w:pPr>
        <w:ind w:left="1800" w:hanging="1440"/>
      </w:pPr>
    </w:lvl>
    <w:lvl w:ilvl="8">
      <w:start w:val="1"/>
      <w:numFmt w:val="decimal"/>
      <w:lvlText w:val="%1.%2.%3.%4.%5.%6.%7.%8.%9."/>
      <w:lvlJc w:val="right"/>
      <w:pPr>
        <w:ind w:left="2160" w:hanging="1800"/>
      </w:pPr>
    </w:lvl>
  </w:abstractNum>
  <w:abstractNum w:abstractNumId="4" w15:restartNumberingAfterBreak="0">
    <w:nsid w:val="646552FE"/>
    <w:multiLevelType w:val="multilevel"/>
    <w:tmpl w:val="258A695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00"/>
    <w:rsid w:val="001064D8"/>
    <w:rsid w:val="00122098"/>
    <w:rsid w:val="002D4700"/>
    <w:rsid w:val="005F4BFC"/>
    <w:rsid w:val="007545F5"/>
    <w:rsid w:val="007B56FA"/>
    <w:rsid w:val="007F7CDE"/>
    <w:rsid w:val="00A05596"/>
    <w:rsid w:val="00A30520"/>
    <w:rsid w:val="00AE3669"/>
    <w:rsid w:val="00C14B78"/>
    <w:rsid w:val="00FE0F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8524E4-1CEC-453A-B966-C6A59DD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bn-IN"/>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11D35"/>
    <w:pPr>
      <w:ind w:left="720"/>
      <w:contextualSpacing/>
    </w:pPr>
    <w:rPr>
      <w:szCs w:val="2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d202028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conman.2020.11276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1016/S1286-4579(02)000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2/ps.512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x.doi.org/10.1016%2Fj.phrp.2010.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IuLzHg2B71DAb3TEF8wgHW+eFQ==">AMUW2mVn/IlQotUhy453Om5fhv3xhcLoxmWSvIa+q0SoqRvPOylnW3z3Xh9JAjOdBzPRgvBRpJOPjRqRuKy8ZukgW/8z5SiY1CsZLbg0H4UtNgml4jg/qhTEvDctClYodV2JEWVxES5QC4PUT4eBx3R/BGhZHftcb/C6994bQEI892IVa1gOVYbHK/cnd7OGY21eqPc0t0OgEcM8cdgZOZvJq6JxpV91OkFyE7eox7d+/nYrtm4DRdBtYU7q/hKOqMAif+Af5p3DobrtQnw0GHut63a2xwqq8aRC8mBtpkMzsIJCOsQ1Tl9X7YxlxN++jdOkakWXhtO57LdxGupZb33fhpQXcjgDpXLIdgWjQYhtj13znSdGvd2J8Jh0n6U1bqFia0OTxQdfbi0ISC8LbTm8I5YG0IjVwA3uUMuOjXmySk5/n8OH0Chb544+yGl6qwzmsdUzrN8M8M23NIzT2EeomU2IDa6f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rajarshir</dc:creator>
  <cp:lastModifiedBy>rajarshir</cp:lastModifiedBy>
  <cp:revision>9</cp:revision>
  <dcterms:created xsi:type="dcterms:W3CDTF">2022-05-24T12:31:00Z</dcterms:created>
  <dcterms:modified xsi:type="dcterms:W3CDTF">2022-05-24T18:33:00Z</dcterms:modified>
</cp:coreProperties>
</file>