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7C" w:rsidRDefault="00CC3E7C">
      <w:pPr>
        <w:rPr>
          <w:b/>
          <w:i/>
          <w:sz w:val="32"/>
          <w:szCs w:val="32"/>
          <w:u w:val="single"/>
        </w:rPr>
      </w:pPr>
      <w:r>
        <w:t xml:space="preserve">                                                     </w:t>
      </w:r>
      <w:r w:rsidRPr="00CC3E7C">
        <w:rPr>
          <w:b/>
          <w:i/>
          <w:sz w:val="32"/>
          <w:szCs w:val="32"/>
          <w:u w:val="single"/>
        </w:rPr>
        <w:t xml:space="preserve">ASSIGNMENT OF </w:t>
      </w:r>
      <w:proofErr w:type="gramStart"/>
      <w:r w:rsidRPr="00CC3E7C">
        <w:rPr>
          <w:b/>
          <w:i/>
          <w:sz w:val="32"/>
          <w:szCs w:val="32"/>
          <w:u w:val="single"/>
        </w:rPr>
        <w:t>STANDARD  DEVIATION</w:t>
      </w:r>
      <w:proofErr w:type="gramEnd"/>
    </w:p>
    <w:p w:rsidR="00FD3313" w:rsidRPr="00FD3313" w:rsidRDefault="00FD3313">
      <w:pPr>
        <w:rPr>
          <w:b/>
          <w:i/>
          <w:sz w:val="30"/>
          <w:szCs w:val="30"/>
          <w:u w:val="single"/>
        </w:rPr>
      </w:pPr>
      <w:r w:rsidRPr="00FD3313">
        <w:rPr>
          <w:b/>
          <w:i/>
          <w:sz w:val="32"/>
          <w:szCs w:val="32"/>
        </w:rPr>
        <w:t xml:space="preserve">               </w:t>
      </w:r>
      <w:r>
        <w:rPr>
          <w:b/>
          <w:i/>
          <w:sz w:val="32"/>
          <w:szCs w:val="32"/>
        </w:rPr>
        <w:t xml:space="preserve">                        </w:t>
      </w:r>
      <w:r w:rsidRPr="00FD3313">
        <w:rPr>
          <w:b/>
          <w:i/>
          <w:sz w:val="32"/>
          <w:szCs w:val="32"/>
        </w:rPr>
        <w:t xml:space="preserve"> </w:t>
      </w:r>
      <w:r w:rsidRPr="00FD3313">
        <w:rPr>
          <w:b/>
          <w:i/>
          <w:sz w:val="30"/>
          <w:szCs w:val="30"/>
          <w:u w:val="single"/>
        </w:rPr>
        <w:t xml:space="preserve">Assignment </w:t>
      </w:r>
      <w:proofErr w:type="gramStart"/>
      <w:r w:rsidRPr="00FD3313">
        <w:rPr>
          <w:b/>
          <w:i/>
          <w:sz w:val="30"/>
          <w:szCs w:val="30"/>
          <w:u w:val="single"/>
        </w:rPr>
        <w:t>About</w:t>
      </w:r>
      <w:proofErr w:type="gramEnd"/>
      <w:r w:rsidRPr="00FD3313">
        <w:rPr>
          <w:b/>
          <w:i/>
          <w:sz w:val="30"/>
          <w:szCs w:val="30"/>
          <w:u w:val="single"/>
        </w:rPr>
        <w:t xml:space="preserve"> 1.5 Scale in Outlier</w:t>
      </w:r>
    </w:p>
    <w:p w:rsidR="00CC3E7C" w:rsidRDefault="00CC3E7C">
      <w:r>
        <w:rPr>
          <w:noProof/>
        </w:rPr>
        <w:drawing>
          <wp:inline distT="0" distB="0" distL="0" distR="0">
            <wp:extent cx="6753225" cy="20193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E7C" w:rsidRDefault="00FD3313">
      <w:pPr>
        <w:rPr>
          <w:b/>
          <w:i/>
          <w:sz w:val="24"/>
          <w:szCs w:val="24"/>
          <w:u w:val="single"/>
        </w:rPr>
      </w:pPr>
      <w:r>
        <w:t xml:space="preserve">                                                                          </w:t>
      </w:r>
      <w:r w:rsidRPr="00FD3313">
        <w:rPr>
          <w:b/>
          <w:i/>
          <w:sz w:val="24"/>
          <w:szCs w:val="24"/>
          <w:u w:val="single"/>
        </w:rPr>
        <w:t>The mean ± 1.5 standard deviations</w:t>
      </w:r>
    </w:p>
    <w:p w:rsidR="00FD3313" w:rsidRDefault="00FD3313">
      <w:pPr>
        <w:rPr>
          <w:rFonts w:ascii="Segoe UI" w:hAnsi="Segoe UI" w:cs="Segoe UI"/>
          <w:color w:val="1A1816"/>
          <w:shd w:val="clear" w:color="auto" w:fill="FFFFFF"/>
        </w:rPr>
      </w:pPr>
      <w:r>
        <w:rPr>
          <w:rFonts w:ascii="Segoe UI" w:hAnsi="Segoe UI" w:cs="Segoe UI"/>
          <w:color w:val="1A1816"/>
          <w:shd w:val="clear" w:color="auto" w:fill="FFFFFF"/>
        </w:rPr>
        <w:t xml:space="preserve">IQR is another robust method for labeling outliers. </w:t>
      </w:r>
      <w:proofErr w:type="gramStart"/>
      <w:r>
        <w:rPr>
          <w:rFonts w:ascii="Segoe UI" w:hAnsi="Segoe UI" w:cs="Segoe UI"/>
          <w:color w:val="1A1816"/>
          <w:shd w:val="clear" w:color="auto" w:fill="FFFFFF"/>
        </w:rPr>
        <w:t>The IQR (</w:t>
      </w:r>
      <w:proofErr w:type="spellStart"/>
      <w:r>
        <w:rPr>
          <w:rFonts w:ascii="Segoe UI" w:hAnsi="Segoe UI" w:cs="Segoe UI"/>
          <w:color w:val="1A1816"/>
          <w:shd w:val="clear" w:color="auto" w:fill="FFFFFF"/>
        </w:rPr>
        <w:t>interquartile</w:t>
      </w:r>
      <w:proofErr w:type="spellEnd"/>
      <w:r>
        <w:rPr>
          <w:rFonts w:ascii="Segoe UI" w:hAnsi="Segoe UI" w:cs="Segoe UI"/>
          <w:color w:val="1A1816"/>
          <w:shd w:val="clear" w:color="auto" w:fill="FFFFFF"/>
        </w:rPr>
        <w:t xml:space="preserve"> range) method of outlier detection.</w:t>
      </w:r>
      <w:proofErr w:type="gramEnd"/>
    </w:p>
    <w:p w:rsidR="00FD3313" w:rsidRDefault="00FD3313">
      <w:pPr>
        <w:rPr>
          <w:rFonts w:ascii="Segoe UI" w:hAnsi="Segoe UI" w:cs="Segoe UI"/>
          <w:color w:val="1A1816"/>
          <w:shd w:val="clear" w:color="auto" w:fill="FFFFFF"/>
        </w:rPr>
      </w:pPr>
      <w:r>
        <w:rPr>
          <w:rFonts w:ascii="Segoe UI" w:hAnsi="Segoe UI" w:cs="Segoe UI"/>
          <w:color w:val="1A1816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1A1816"/>
          <w:shd w:val="clear" w:color="auto" w:fill="FFFFFF"/>
        </w:rPr>
        <w:t>interquartile</w:t>
      </w:r>
      <w:proofErr w:type="spellEnd"/>
      <w:r>
        <w:rPr>
          <w:rFonts w:ascii="Segoe UI" w:hAnsi="Segoe UI" w:cs="Segoe UI"/>
          <w:color w:val="1A1816"/>
          <w:shd w:val="clear" w:color="auto" w:fill="FFFFFF"/>
        </w:rPr>
        <w:t xml:space="preserve"> range, which gives this method of outlier detection its name, is the range between the first and the third quartiles (the edges of the box). </w:t>
      </w:r>
      <w:proofErr w:type="spellStart"/>
      <w:r>
        <w:rPr>
          <w:rFonts w:ascii="Segoe UI" w:hAnsi="Segoe UI" w:cs="Segoe UI"/>
          <w:color w:val="1A1816"/>
          <w:shd w:val="clear" w:color="auto" w:fill="FFFFFF"/>
        </w:rPr>
        <w:t>Tukey</w:t>
      </w:r>
      <w:proofErr w:type="spellEnd"/>
      <w:r>
        <w:rPr>
          <w:rFonts w:ascii="Segoe UI" w:hAnsi="Segoe UI" w:cs="Segoe UI"/>
          <w:color w:val="1A1816"/>
          <w:shd w:val="clear" w:color="auto" w:fill="FFFFFF"/>
        </w:rPr>
        <w:t xml:space="preserve"> considered any data point that fell outside of either 1.5 times the IQR below the first – or 1.5 times the IQR above the third – quartile to be outside or far out. In a classic box-and-whisker plot, the whiskers extend up to the last data point that is not outside.</w:t>
      </w:r>
    </w:p>
    <w:p w:rsidR="00FD3313" w:rsidRDefault="00FD3313">
      <w:pPr>
        <w:rPr>
          <w:rFonts w:ascii="Segoe UI" w:hAnsi="Segoe UI" w:cs="Segoe UI"/>
          <w:color w:val="1A1816"/>
          <w:shd w:val="clear" w:color="auto" w:fill="FFFFFF"/>
        </w:rPr>
      </w:pPr>
      <w:r>
        <w:rPr>
          <w:rFonts w:ascii="Segoe UI" w:hAnsi="Segoe UI" w:cs="Segoe UI"/>
          <w:color w:val="1A1816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1A1816"/>
          <w:shd w:val="clear" w:color="auto" w:fill="FFFFFF"/>
        </w:rPr>
        <w:t>interquartile</w:t>
      </w:r>
      <w:proofErr w:type="spellEnd"/>
      <w:r>
        <w:rPr>
          <w:rFonts w:ascii="Segoe UI" w:hAnsi="Segoe UI" w:cs="Segoe UI"/>
          <w:color w:val="1A1816"/>
          <w:shd w:val="clear" w:color="auto" w:fill="FFFFFF"/>
        </w:rPr>
        <w:t xml:space="preserve"> range (IQR) is a measure of variability, based on dividing a data set into quartiles. Quartiles divide a rank-ordered data set into four equal parts. </w:t>
      </w:r>
      <w:proofErr w:type="gramStart"/>
      <w:r>
        <w:rPr>
          <w:rFonts w:ascii="Segoe UI" w:hAnsi="Segoe UI" w:cs="Segoe UI"/>
          <w:color w:val="1A1816"/>
          <w:shd w:val="clear" w:color="auto" w:fill="FFFFFF"/>
        </w:rPr>
        <w:t>Q1, Q2 &amp; Q3.</w:t>
      </w:r>
      <w:proofErr w:type="gramEnd"/>
      <w:r>
        <w:rPr>
          <w:rFonts w:ascii="Segoe UI" w:hAnsi="Segoe UI" w:cs="Segoe UI"/>
          <w:color w:val="1A1816"/>
          <w:shd w:val="clear" w:color="auto" w:fill="FFFFFF"/>
        </w:rPr>
        <w:t xml:space="preserve"> IQR is defined as Q3–Q1, and any data lying outside Q3+1.5*IQR or Q1-1.5*IQR is considered as an outlier.</w:t>
      </w:r>
    </w:p>
    <w:p w:rsidR="00FD3313" w:rsidRPr="00FD3313" w:rsidRDefault="00FD3313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</w:rPr>
        <w:drawing>
          <wp:inline distT="0" distB="0" distL="0" distR="0">
            <wp:extent cx="6038850" cy="1895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AD" w:rsidRDefault="00755AAD"/>
    <w:sectPr w:rsidR="00755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3E7C"/>
    <w:rsid w:val="00755AAD"/>
    <w:rsid w:val="00CC3E7C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</dc:creator>
  <cp:keywords/>
  <dc:description/>
  <cp:lastModifiedBy>sreet</cp:lastModifiedBy>
  <cp:revision>3</cp:revision>
  <dcterms:created xsi:type="dcterms:W3CDTF">2024-06-13T05:48:00Z</dcterms:created>
  <dcterms:modified xsi:type="dcterms:W3CDTF">2024-06-13T05:57:00Z</dcterms:modified>
</cp:coreProperties>
</file>