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320"/>
        <w:jc w:val="center"/>
      </w:pPr>
      <w:r>
        <w:rPr>
          <w:rFonts w:ascii="Times New Roman" w:hAnsi="Times New Roman"/>
          <w:b/>
          <w:color w:val="000000"/>
          <w:sz w:val="32"/>
        </w:rPr>
        <w:t>GPR-Domain-Informed Augmentation and Lightweight YOLOv8 Nano for Underground Buried Object Detection</w:t>
      </w:r>
    </w:p>
    <w:p>
      <w:pPr>
        <w:spacing w:before="320" w:after="80"/>
        <w:jc w:val="center"/>
      </w:pPr>
      <w:r>
        <w:rPr>
          <w:rFonts w:ascii="Times New Roman" w:hAnsi="Times New Roman"/>
          <w:i/>
          <w:sz w:val="23"/>
        </w:rPr>
        <w:t>UROP Project Report submitted to the</w:t>
      </w:r>
    </w:p>
    <w:p>
      <w:pPr>
        <w:spacing w:after="320"/>
        <w:jc w:val="center"/>
      </w:pPr>
      <w:r>
        <w:rPr>
          <w:rFonts w:ascii="Times New Roman" w:hAnsi="Times New Roman"/>
          <w:b/>
          <w:sz w:val="26"/>
        </w:rPr>
        <w:t>SRM University – AP, Andhra Pradesh</w:t>
      </w:r>
    </w:p>
    <w:p>
      <w:pPr>
        <w:spacing w:after="600"/>
        <w:jc w:val="center"/>
      </w:pPr>
      <w:r>
        <w:rPr>
          <w:rFonts w:ascii="Times New Roman" w:hAnsi="Times New Roman"/>
          <w:sz w:val="22"/>
        </w:rPr>
        <w:t>for the partial fulfillment of the requirements to award the degree of</w:t>
        <w:br/>
        <w:t>Bachelor of Technology</w:t>
        <w:br/>
        <w:t>in</w:t>
        <w:br/>
        <w:t>Computer Science and Engineering</w:t>
        <w:br/>
        <w:t>School of Engineering and Sciences</w:t>
      </w:r>
    </w:p>
    <w:p>
      <w:pPr>
        <w:spacing w:before="480" w:after="40"/>
        <w:jc w:val="center"/>
      </w:pPr>
      <w:r>
        <w:rPr>
          <w:rFonts w:ascii="Times New Roman" w:hAnsi="Times New Roman"/>
          <w:i/>
          <w:sz w:val="22"/>
        </w:rPr>
        <w:t>Submitted by</w:t>
      </w:r>
    </w:p>
    <w:p>
      <w:pPr>
        <w:spacing w:after="520"/>
        <w:jc w:val="center"/>
      </w:pPr>
      <w:r>
        <w:rPr>
          <w:rFonts w:ascii="Times New Roman" w:hAnsi="Times New Roman"/>
          <w:b/>
          <w:sz w:val="24"/>
        </w:rPr>
        <w:t>Student Name | AP21110010489</w:t>
      </w:r>
    </w:p>
    <w:p>
      <w:pPr>
        <w:spacing w:after="40"/>
        <w:jc w:val="center"/>
      </w:pPr>
      <w:r>
        <w:rPr>
          <w:rFonts w:ascii="Times New Roman" w:hAnsi="Times New Roman"/>
          <w:i/>
          <w:sz w:val="22"/>
        </w:rPr>
        <w:t>Under the Guidance of</w:t>
      </w:r>
    </w:p>
    <w:p>
      <w:pPr>
        <w:spacing w:after="800"/>
        <w:jc w:val="center"/>
      </w:pPr>
      <w:r>
        <w:rPr>
          <w:rFonts w:ascii="Times New Roman" w:hAnsi="Times New Roman"/>
          <w:b/>
          <w:sz w:val="24"/>
        </w:rPr>
        <w:t>Dr. Mentor Name</w:t>
        <w:br/>
        <w:t>Department of Computer Science and Engineering</w:t>
      </w:r>
    </w:p>
    <w:p>
      <w:pPr>
        <w:jc w:val="center"/>
      </w:pPr>
      <w:r>
        <w:rPr>
          <w:rFonts w:ascii="Times New Roman" w:hAnsi="Times New Roman"/>
          <w:sz w:val="21"/>
        </w:rPr>
        <w:t>SRM University – AP</w:t>
        <w:br/>
        <w:t>Neerukonda, Mangalagiri, Guntur Andhra Pradesh – 522 240</w:t>
        <w:br/>
        <w:t>November, 2026</w:t>
      </w:r>
    </w:p>
    <w:p>
      <w:r>
        <w:br w:type="page"/>
      </w:r>
    </w:p>
    <w:p>
      <w:pPr>
        <w:keepNext/>
        <w:spacing w:before="240" w:after="60"/>
      </w:pPr>
      <w:r>
        <w:rPr>
          <w:rFonts w:ascii="Times New Roman" w:hAnsi="Times New Roman"/>
          <w:b/>
          <w:color w:val="000000"/>
          <w:sz w:val="26"/>
        </w:rPr>
        <w:t>Acknowledgements:</w:t>
      </w:r>
    </w:p>
    <w:p>
      <w:pPr>
        <w:spacing w:before="0" w:after="80" w:line="276" w:lineRule="auto"/>
        <w:jc w:val="both"/>
      </w:pPr>
      <w:r>
        <w:rPr>
          <w:rFonts w:ascii="Times New Roman" w:hAnsi="Times New Roman"/>
          <w:sz w:val="22"/>
        </w:rPr>
        <w:t>I would like to thank Dr. Mentor Name for his guidance and continuous support while working on this UROP project. His feedback during research checkpoints pushed our team to uphold rigorous experimental standards, including leak-free cross-validation protocols and realistic edge latency evaluations. His confidence in our research has boosted our team's technical abilities to complete the work effectively alongside our regular curriculum. We also thank the faculty and laboratory staff of the Department of Computer Science and Engineering, School of Engineering and Sciences, SRM University – AP, as well as our team members for their constant collaboration and mutual support throughout this project.</w:t>
      </w:r>
    </w:p>
    <w:p>
      <w:pPr>
        <w:keepNext/>
        <w:spacing w:before="280" w:after="60"/>
      </w:pPr>
      <w:r>
        <w:rPr>
          <w:rFonts w:ascii="Times New Roman" w:hAnsi="Times New Roman"/>
          <w:b/>
          <w:color w:val="000000"/>
          <w:sz w:val="26"/>
        </w:rPr>
        <w:t>Introduction:</w:t>
      </w:r>
    </w:p>
    <w:p>
      <w:pPr>
        <w:keepNext/>
        <w:spacing w:before="120" w:after="40"/>
      </w:pPr>
      <w:r>
        <w:rPr>
          <w:rFonts w:ascii="Times New Roman" w:hAnsi="Times New Roman"/>
          <w:b/>
          <w:color w:val="000000"/>
          <w:sz w:val="23"/>
        </w:rPr>
        <w:t>1.1 Background and Motivation</w:t>
      </w:r>
    </w:p>
    <w:p>
      <w:pPr>
        <w:spacing w:before="0" w:after="80" w:line="276" w:lineRule="auto"/>
        <w:jc w:val="both"/>
      </w:pPr>
      <w:r>
        <w:rPr>
          <w:rFonts w:ascii="Times New Roman" w:hAnsi="Times New Roman"/>
          <w:sz w:val="22"/>
        </w:rPr>
        <w:t>Accurate detection of buried utilities (such as gas pipes, water mains, and power cables) and subsurface cavities (voids precursory to road sinkholes) is vital for civil safety and urban infrastructure management. Ground Penetrating Radar (GPR) is the primary non-destructive testing (NDT) technology used for subsurface exploration. A transmitter antenna emits high-frequency electromagnetic (EM) pulses (typically 200–400 MHz) into the ground. Boundaries with dielectric permittivity contrasts (soil-pipe or soil-cavity interfaces) reflect wave energy back to the surface, creating 2D B-scan cross-sections where localized targets appear as characteristic hyperbolic curves (inverted 'U' shapes).</w:t>
      </w:r>
    </w:p>
    <w:p>
      <w:pPr>
        <w:keepNext/>
        <w:spacing w:before="120" w:after="40"/>
      </w:pPr>
      <w:r>
        <w:rPr>
          <w:rFonts w:ascii="Times New Roman" w:hAnsi="Times New Roman"/>
          <w:b/>
          <w:color w:val="000000"/>
          <w:sz w:val="23"/>
        </w:rPr>
        <w:t>1.2 Problem Statement</w:t>
      </w:r>
    </w:p>
    <w:p>
      <w:pPr>
        <w:spacing w:before="0" w:after="80" w:line="276" w:lineRule="auto"/>
        <w:jc w:val="both"/>
      </w:pPr>
      <w:r>
        <w:rPr>
          <w:rFonts w:ascii="Times New Roman" w:hAnsi="Times New Roman"/>
          <w:sz w:val="22"/>
        </w:rPr>
        <w:t>Automating GPR target detection faces three fundamental challenges: (1) Acute Data Scarcity: Public real-world field datasets are very small (typically only 200–300 scans), leading deep CNNs to overfit; (2) Data Leakage in Prior Literature: Prior studies commonly augmented their datasets *before* performing an 80/20 train/test split, causing augmented copies of the same physical pipe to appear in both sets and reporting falsely inflated mAP scores (&gt;90%); and (3) Edge Deployment Constraints: Heavy two-stage detectors (like Faster R-CNN) exceed 40 million parameters and run at &lt;10 FPS on CPUs, making them impractical for mobile, battery-operated survey carts.</w:t>
      </w:r>
    </w:p>
    <w:p>
      <w:pPr>
        <w:keepNext/>
        <w:spacing w:before="120" w:after="40"/>
      </w:pPr>
      <w:r>
        <w:rPr>
          <w:rFonts w:ascii="Times New Roman" w:hAnsi="Times New Roman"/>
          <w:b/>
          <w:color w:val="000000"/>
          <w:sz w:val="23"/>
        </w:rPr>
        <w:t>1.3 Objectives and Key Contributions</w:t>
      </w:r>
    </w:p>
    <w:p>
      <w:pPr>
        <w:spacing w:before="0" w:after="80" w:line="276" w:lineRule="auto"/>
        <w:jc w:val="both"/>
      </w:pPr>
      <w:r>
        <w:rPr>
          <w:rFonts w:ascii="Times New Roman" w:hAnsi="Times New Roman"/>
          <w:sz w:val="22"/>
        </w:rPr>
        <w:t>This project establishes a lightweight, leak-free, real-time object detection framework tailored to GPR surveys. Key contributions include:</w:t>
      </w:r>
    </w:p>
    <w:p>
      <w:pPr>
        <w:spacing w:before="0" w:after="80" w:line="276" w:lineRule="auto"/>
        <w:jc w:val="both"/>
      </w:pPr>
      <w:r>
        <w:rPr>
          <w:rFonts w:ascii="Times New Roman" w:hAnsi="Times New Roman"/>
          <w:b/>
          <w:sz w:val="22"/>
        </w:rPr>
        <w:t xml:space="preserve">• </w:t>
      </w:r>
      <w:r>
        <w:rPr>
          <w:rFonts w:ascii="Times New Roman" w:hAnsi="Times New Roman"/>
          <w:sz w:val="22"/>
        </w:rPr>
        <w:t>Domain-Informed Augmentation: Formulated six physical transformations (Gaussian noise, horizontal time-shift, boundary-reflection rotation, bidirectional flip, elastic deformation, and 2D FFT spectral shift) reflecting soil heterogeneity and antenna variance.</w:t>
      </w:r>
    </w:p>
    <w:p>
      <w:pPr>
        <w:spacing w:before="0" w:after="80" w:line="276" w:lineRule="auto"/>
        <w:jc w:val="both"/>
      </w:pPr>
      <w:r>
        <w:rPr>
          <w:rFonts w:ascii="Times New Roman" w:hAnsi="Times New Roman"/>
          <w:b/>
          <w:sz w:val="22"/>
        </w:rPr>
        <w:t xml:space="preserve">• </w:t>
      </w:r>
      <w:r>
        <w:rPr>
          <w:rFonts w:ascii="Times New Roman" w:hAnsi="Times New Roman"/>
          <w:sz w:val="22"/>
        </w:rPr>
        <w:t>Leak-Free Grouped 5-Fold Cross-Validation: Enforced spatial grouping of adjacent patches (gap &lt;= 3) belonging to the same continuous utility pipe, keeping test and validation sets strictly un-augmented.</w:t>
      </w:r>
    </w:p>
    <w:p>
      <w:pPr>
        <w:spacing w:before="0" w:after="80" w:line="276" w:lineRule="auto"/>
        <w:jc w:val="both"/>
      </w:pPr>
      <w:r>
        <w:rPr>
          <w:rFonts w:ascii="Times New Roman" w:hAnsi="Times New Roman"/>
          <w:b/>
          <w:sz w:val="22"/>
        </w:rPr>
        <w:t xml:space="preserve">• </w:t>
      </w:r>
      <w:r>
        <w:rPr>
          <w:rFonts w:ascii="Times New Roman" w:hAnsi="Times New Roman"/>
          <w:sz w:val="22"/>
        </w:rPr>
        <w:t>Multi-Model Benchmarking: Conducted Phase 2 benchmarks comparing YOLOv8 Nano against YOLOv5 Nano, YOLO11 Nano, and YOLOv8 Small on a Tesla T4 GPU, proving that YOLOv8 Nano achieves the highest accuracy and avoids clutter overfitting.</w:t>
      </w:r>
    </w:p>
    <w:p>
      <w:pPr>
        <w:spacing w:before="0" w:after="80" w:line="276" w:lineRule="auto"/>
        <w:jc w:val="both"/>
      </w:pPr>
      <w:r>
        <w:rPr>
          <w:rFonts w:ascii="Times New Roman" w:hAnsi="Times New Roman"/>
          <w:b/>
          <w:sz w:val="22"/>
        </w:rPr>
        <w:t xml:space="preserve">• </w:t>
      </w:r>
      <w:r>
        <w:rPr>
          <w:rFonts w:ascii="Times New Roman" w:hAnsi="Times New Roman"/>
          <w:sz w:val="22"/>
        </w:rPr>
        <w:t>Real-Time Edge Throughput: Demonstrated 102.4 FPS (9.77 ms) on standard CPU hardware with a compact footprint of 6.16 MB, satisfying mobile cart requirements.</w:t>
      </w:r>
    </w:p>
    <w:p>
      <w:r>
        <w:br w:type="page"/>
      </w:r>
    </w:p>
    <w:p>
      <w:pPr>
        <w:keepNext/>
        <w:spacing w:before="240" w:after="60"/>
      </w:pPr>
      <w:r>
        <w:rPr>
          <w:rFonts w:ascii="Times New Roman" w:hAnsi="Times New Roman"/>
          <w:b/>
          <w:color w:val="000000"/>
          <w:sz w:val="26"/>
        </w:rPr>
        <w:t>Literature Survey</w:t>
      </w:r>
    </w:p>
    <w:p>
      <w:pPr>
        <w:spacing w:before="0" w:after="80" w:line="276" w:lineRule="auto"/>
        <w:jc w:val="both"/>
      </w:pPr>
      <w:r>
        <w:rPr>
          <w:rFonts w:ascii="Times New Roman" w:hAnsi="Times New Roman"/>
          <w:sz w:val="22"/>
        </w:rPr>
        <w:t>Early GPR detection relied on geometric fitting (Hough transform) or handcrafted features (HOG, SIFT) with Support Vector Machines (SVM). These methods assumed pristine hyperbolic curves and uniform soil, failing in real-world soils with heavy moisture clutter. Modern research shifted to deep learning: two-stage detectors like Faster R-CNN achieve high detection rates but are computationally heavy (&gt;45M parameters) and cannot run in real time on cart-mounted CPUs. Furthermore, multiple studies in the literature suffered from pre-split data augmentation leakage, masking true generalization error. Table 1 synthesizes the most relevant recent studies matching our GPR domain.</w:t>
      </w:r>
    </w:p>
    <w:p>
      <w:pPr>
        <w:keepNext/>
        <w:spacing w:before="120" w:after="40"/>
      </w:pPr>
      <w:r>
        <w:rPr>
          <w:rFonts w:ascii="Times New Roman" w:hAnsi="Times New Roman"/>
          <w:b/>
          <w:color w:val="000000"/>
          <w:sz w:val="23"/>
        </w:rPr>
        <w:t>Table 1: Relevant Literature Survey of GPR Buried Object Detection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560"/>
        <w:gridCol w:w="1560"/>
        <w:gridCol w:w="1560"/>
        <w:gridCol w:w="1560"/>
        <w:gridCol w:w="1560"/>
        <w:gridCol w:w="1560"/>
      </w:tblGrid>
      <w:tr>
        <w:tc>
          <w:tcPr>
            <w:tcW w:type="dxa" w:w="1728"/>
            <w:tcBorders>
              <w:top w:val="none"/>
              <w:left w:val="none"/>
              <w:right w:val="none"/>
              <w:bottom w:val="single" w:sz="6" w:space="0" w:color="000000"/>
            </w:tcBorders>
            <w:tcMar>
              <w:top w:w="80" w:type="dxa"/>
              <w:bottom w:w="80" w:type="dxa"/>
              <w:left w:w="60" w:type="dxa"/>
              <w:right w:w="60" w:type="dxa"/>
            </w:tcMar>
          </w:tcPr>
          <w:p>
            <w:pPr>
              <w:spacing w:before="0" w:after="0" w:line="240" w:lineRule="auto"/>
              <w:jc w:val="left"/>
            </w:pPr>
            <w:r>
              <w:rPr>
                <w:rFonts w:ascii="Times New Roman" w:hAnsi="Times New Roman"/>
                <w:b/>
                <w:sz w:val="18"/>
              </w:rPr>
              <w:t>Study &amp; Citation</w:t>
            </w:r>
          </w:p>
        </w:tc>
        <w:tc>
          <w:tcPr>
            <w:tcW w:type="dxa" w:w="720"/>
            <w:tcBorders>
              <w:top w:val="none"/>
              <w:left w:val="none"/>
              <w:right w:val="none"/>
              <w:bottom w:val="single" w:sz="6" w:space="0" w:color="000000"/>
            </w:tcBorders>
            <w:tcMar>
              <w:top w:w="80" w:type="dxa"/>
              <w:bottom w:w="80" w:type="dxa"/>
              <w:left w:w="60" w:type="dxa"/>
              <w:right w:w="60" w:type="dxa"/>
            </w:tcMar>
          </w:tcPr>
          <w:p>
            <w:pPr>
              <w:spacing w:before="0" w:after="0" w:line="240" w:lineRule="auto"/>
              <w:jc w:val="center"/>
            </w:pPr>
            <w:r>
              <w:rPr>
                <w:rFonts w:ascii="Times New Roman" w:hAnsi="Times New Roman"/>
                <w:b/>
                <w:sz w:val="18"/>
              </w:rPr>
              <w:t>Year</w:t>
            </w:r>
          </w:p>
        </w:tc>
        <w:tc>
          <w:tcPr>
            <w:tcW w:type="dxa" w:w="1872"/>
            <w:tcBorders>
              <w:top w:val="none"/>
              <w:left w:val="none"/>
              <w:right w:val="none"/>
              <w:bottom w:val="single" w:sz="6" w:space="0" w:color="000000"/>
            </w:tcBorders>
            <w:tcMar>
              <w:top w:w="80" w:type="dxa"/>
              <w:bottom w:w="80" w:type="dxa"/>
              <w:left w:w="60" w:type="dxa"/>
              <w:right w:w="60" w:type="dxa"/>
            </w:tcMar>
          </w:tcPr>
          <w:p>
            <w:pPr>
              <w:spacing w:before="0" w:after="0" w:line="240" w:lineRule="auto"/>
              <w:jc w:val="left"/>
            </w:pPr>
            <w:r>
              <w:rPr>
                <w:rFonts w:ascii="Times New Roman" w:hAnsi="Times New Roman"/>
                <w:b/>
                <w:sz w:val="18"/>
              </w:rPr>
              <w:t>Method / Architecture</w:t>
            </w:r>
          </w:p>
        </w:tc>
        <w:tc>
          <w:tcPr>
            <w:tcW w:type="dxa" w:w="1728"/>
            <w:tcBorders>
              <w:top w:val="none"/>
              <w:left w:val="none"/>
              <w:right w:val="none"/>
              <w:bottom w:val="single" w:sz="6" w:space="0" w:color="000000"/>
            </w:tcBorders>
            <w:tcMar>
              <w:top w:w="80" w:type="dxa"/>
              <w:bottom w:w="80" w:type="dxa"/>
              <w:left w:w="60" w:type="dxa"/>
              <w:right w:w="60" w:type="dxa"/>
            </w:tcMar>
          </w:tcPr>
          <w:p>
            <w:pPr>
              <w:spacing w:before="0" w:after="0" w:line="240" w:lineRule="auto"/>
              <w:jc w:val="left"/>
            </w:pPr>
            <w:r>
              <w:rPr>
                <w:rFonts w:ascii="Times New Roman" w:hAnsi="Times New Roman"/>
                <w:b/>
                <w:sz w:val="18"/>
              </w:rPr>
              <w:t>Dataset / Freq.</w:t>
            </w:r>
          </w:p>
        </w:tc>
        <w:tc>
          <w:tcPr>
            <w:tcW w:type="dxa" w:w="1584"/>
            <w:tcBorders>
              <w:top w:val="none"/>
              <w:left w:val="none"/>
              <w:right w:val="none"/>
              <w:bottom w:val="single" w:sz="6" w:space="0" w:color="000000"/>
            </w:tcBorders>
            <w:tcMar>
              <w:top w:w="80" w:type="dxa"/>
              <w:bottom w:w="80" w:type="dxa"/>
              <w:left w:w="60" w:type="dxa"/>
              <w:right w:w="60" w:type="dxa"/>
            </w:tcMar>
          </w:tcPr>
          <w:p>
            <w:pPr>
              <w:spacing w:before="0" w:after="0" w:line="240" w:lineRule="auto"/>
              <w:jc w:val="center"/>
            </w:pPr>
            <w:r>
              <w:rPr>
                <w:rFonts w:ascii="Times New Roman" w:hAnsi="Times New Roman"/>
                <w:b/>
                <w:sz w:val="18"/>
              </w:rPr>
              <w:t>Key Metrics</w:t>
            </w:r>
          </w:p>
        </w:tc>
        <w:tc>
          <w:tcPr>
            <w:tcW w:type="dxa" w:w="2448"/>
            <w:tcBorders>
              <w:top w:val="none"/>
              <w:left w:val="none"/>
              <w:right w:val="none"/>
              <w:bottom w:val="single" w:sz="6" w:space="0" w:color="000000"/>
            </w:tcBorders>
            <w:tcMar>
              <w:top w:w="80" w:type="dxa"/>
              <w:bottom w:w="80" w:type="dxa"/>
              <w:left w:w="60" w:type="dxa"/>
              <w:right w:w="60" w:type="dxa"/>
            </w:tcMar>
          </w:tcPr>
          <w:p>
            <w:pPr>
              <w:spacing w:before="0" w:after="0" w:line="240" w:lineRule="auto"/>
              <w:jc w:val="left"/>
            </w:pPr>
            <w:r>
              <w:rPr>
                <w:rFonts w:ascii="Times New Roman" w:hAnsi="Times New Roman"/>
                <w:b/>
                <w:sz w:val="18"/>
              </w:rPr>
              <w:t>Identified Limitations</w:t>
            </w:r>
          </w:p>
        </w:tc>
      </w:tr>
      <w:tr>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Mojahid et al. [1]</w:t>
            </w:r>
          </w:p>
        </w:tc>
        <w:tc>
          <w:tcPr>
            <w:tcW w:type="dxa" w:w="720"/>
            <w:tcMar>
              <w:top w:w="60" w:type="dxa"/>
              <w:bottom w:w="60" w:type="dxa"/>
              <w:left w:w="60" w:type="dxa"/>
              <w:right w:w="60" w:type="dxa"/>
            </w:tcMar>
          </w:tcPr>
          <w:p>
            <w:pPr>
              <w:spacing w:before="0" w:after="0" w:line="245" w:lineRule="auto"/>
              <w:jc w:val="center"/>
            </w:pPr>
            <w:r>
              <w:rPr>
                <w:rFonts w:ascii="Times New Roman" w:hAnsi="Times New Roman"/>
                <w:sz w:val="17"/>
              </w:rPr>
              <w:t>2024</w:t>
            </w:r>
          </w:p>
        </w:tc>
        <w:tc>
          <w:tcPr>
            <w:tcW w:type="dxa" w:w="1872"/>
            <w:tcMar>
              <w:top w:w="60" w:type="dxa"/>
              <w:bottom w:w="60" w:type="dxa"/>
              <w:left w:w="60" w:type="dxa"/>
              <w:right w:w="60" w:type="dxa"/>
            </w:tcMar>
          </w:tcPr>
          <w:p>
            <w:pPr>
              <w:spacing w:before="0" w:after="0" w:line="245" w:lineRule="auto"/>
              <w:jc w:val="left"/>
            </w:pPr>
            <w:r>
              <w:rPr>
                <w:rFonts w:ascii="Times New Roman" w:hAnsi="Times New Roman"/>
                <w:sz w:val="17"/>
              </w:rPr>
              <w:t>YOLOv8 B-scan Patches</w:t>
            </w:r>
          </w:p>
        </w:tc>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Morocco (200/400 MHz)</w:t>
            </w:r>
          </w:p>
        </w:tc>
        <w:tc>
          <w:tcPr>
            <w:tcW w:type="dxa" w:w="1584"/>
            <w:tcMar>
              <w:top w:w="60" w:type="dxa"/>
              <w:bottom w:w="60" w:type="dxa"/>
              <w:left w:w="60" w:type="dxa"/>
              <w:right w:w="60" w:type="dxa"/>
            </w:tcMar>
          </w:tcPr>
          <w:p>
            <w:pPr>
              <w:spacing w:before="0" w:after="0" w:line="245" w:lineRule="auto"/>
              <w:jc w:val="center"/>
            </w:pPr>
            <w:r>
              <w:rPr>
                <w:rFonts w:ascii="Times New Roman" w:hAnsi="Times New Roman"/>
                <w:sz w:val="17"/>
              </w:rPr>
              <w:t>mAP50 = 95.95%</w:t>
            </w:r>
          </w:p>
        </w:tc>
        <w:tc>
          <w:tcPr>
            <w:tcW w:type="dxa" w:w="2448"/>
            <w:tcMar>
              <w:top w:w="60" w:type="dxa"/>
              <w:bottom w:w="60" w:type="dxa"/>
              <w:left w:w="60" w:type="dxa"/>
              <w:right w:w="60" w:type="dxa"/>
            </w:tcMar>
          </w:tcPr>
          <w:p>
            <w:pPr>
              <w:spacing w:before="0" w:after="0" w:line="245" w:lineRule="auto"/>
              <w:jc w:val="left"/>
            </w:pPr>
            <w:r>
              <w:rPr>
                <w:rFonts w:ascii="Times New Roman" w:hAnsi="Times New Roman"/>
                <w:sz w:val="17"/>
              </w:rPr>
              <w:t>Augmentation done before split (severe leakage); no CV.</w:t>
            </w:r>
          </w:p>
        </w:tc>
      </w:tr>
      <w:tr>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Bekkali et al. [2]</w:t>
            </w:r>
          </w:p>
        </w:tc>
        <w:tc>
          <w:tcPr>
            <w:tcW w:type="dxa" w:w="720"/>
            <w:tcMar>
              <w:top w:w="60" w:type="dxa"/>
              <w:bottom w:w="60" w:type="dxa"/>
              <w:left w:w="60" w:type="dxa"/>
              <w:right w:w="60" w:type="dxa"/>
            </w:tcMar>
          </w:tcPr>
          <w:p>
            <w:pPr>
              <w:spacing w:before="0" w:after="0" w:line="245" w:lineRule="auto"/>
              <w:jc w:val="center"/>
            </w:pPr>
            <w:r>
              <w:rPr>
                <w:rFonts w:ascii="Times New Roman" w:hAnsi="Times New Roman"/>
                <w:sz w:val="17"/>
              </w:rPr>
              <w:t>2022</w:t>
            </w:r>
          </w:p>
        </w:tc>
        <w:tc>
          <w:tcPr>
            <w:tcW w:type="dxa" w:w="1872"/>
            <w:tcMar>
              <w:top w:w="60" w:type="dxa"/>
              <w:bottom w:w="60" w:type="dxa"/>
              <w:left w:w="60" w:type="dxa"/>
              <w:right w:w="60" w:type="dxa"/>
            </w:tcMar>
          </w:tcPr>
          <w:p>
            <w:pPr>
              <w:spacing w:before="0" w:after="0" w:line="245" w:lineRule="auto"/>
              <w:jc w:val="left"/>
            </w:pPr>
            <w:r>
              <w:rPr>
                <w:rFonts w:ascii="Times New Roman" w:hAnsi="Times New Roman"/>
                <w:sz w:val="17"/>
              </w:rPr>
              <w:t>YOLOv5s Detector</w:t>
            </w:r>
          </w:p>
        </w:tc>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Field utility (200 MHz)</w:t>
            </w:r>
          </w:p>
        </w:tc>
        <w:tc>
          <w:tcPr>
            <w:tcW w:type="dxa" w:w="1584"/>
            <w:tcMar>
              <w:top w:w="60" w:type="dxa"/>
              <w:bottom w:w="60" w:type="dxa"/>
              <w:left w:w="60" w:type="dxa"/>
              <w:right w:w="60" w:type="dxa"/>
            </w:tcMar>
          </w:tcPr>
          <w:p>
            <w:pPr>
              <w:spacing w:before="0" w:after="0" w:line="245" w:lineRule="auto"/>
              <w:jc w:val="center"/>
            </w:pPr>
            <w:r>
              <w:rPr>
                <w:rFonts w:ascii="Times New Roman" w:hAnsi="Times New Roman"/>
                <w:sz w:val="17"/>
              </w:rPr>
              <w:t>mAP50 = 87.4%</w:t>
            </w:r>
          </w:p>
        </w:tc>
        <w:tc>
          <w:tcPr>
            <w:tcW w:type="dxa" w:w="2448"/>
            <w:tcMar>
              <w:top w:w="60" w:type="dxa"/>
              <w:bottom w:w="60" w:type="dxa"/>
              <w:left w:w="60" w:type="dxa"/>
              <w:right w:w="60" w:type="dxa"/>
            </w:tcMar>
          </w:tcPr>
          <w:p>
            <w:pPr>
              <w:spacing w:before="0" w:after="0" w:line="245" w:lineRule="auto"/>
              <w:jc w:val="left"/>
            </w:pPr>
            <w:r>
              <w:rPr>
                <w:rFonts w:ascii="Times New Roman" w:hAnsi="Times New Roman"/>
                <w:sz w:val="17"/>
              </w:rPr>
              <w:t>Single random split; cavities not evaluated; no edge latency.</w:t>
            </w:r>
          </w:p>
        </w:tc>
      </w:tr>
      <w:tr>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Hou et al. [3]</w:t>
            </w:r>
          </w:p>
        </w:tc>
        <w:tc>
          <w:tcPr>
            <w:tcW w:type="dxa" w:w="720"/>
            <w:tcMar>
              <w:top w:w="60" w:type="dxa"/>
              <w:bottom w:w="60" w:type="dxa"/>
              <w:left w:w="60" w:type="dxa"/>
              <w:right w:w="60" w:type="dxa"/>
            </w:tcMar>
          </w:tcPr>
          <w:p>
            <w:pPr>
              <w:spacing w:before="0" w:after="0" w:line="245" w:lineRule="auto"/>
              <w:jc w:val="center"/>
            </w:pPr>
            <w:r>
              <w:rPr>
                <w:rFonts w:ascii="Times New Roman" w:hAnsi="Times New Roman"/>
                <w:sz w:val="17"/>
              </w:rPr>
              <w:t>2022</w:t>
            </w:r>
          </w:p>
        </w:tc>
        <w:tc>
          <w:tcPr>
            <w:tcW w:type="dxa" w:w="1872"/>
            <w:tcMar>
              <w:top w:w="60" w:type="dxa"/>
              <w:bottom w:w="60" w:type="dxa"/>
              <w:left w:w="60" w:type="dxa"/>
              <w:right w:w="60" w:type="dxa"/>
            </w:tcMar>
          </w:tcPr>
          <w:p>
            <w:pPr>
              <w:spacing w:before="0" w:after="0" w:line="245" w:lineRule="auto"/>
              <w:jc w:val="left"/>
            </w:pPr>
            <w:r>
              <w:rPr>
                <w:rFonts w:ascii="Times New Roman" w:hAnsi="Times New Roman"/>
                <w:sz w:val="17"/>
              </w:rPr>
              <w:t>YOLOv4-Tiny + Filter</w:t>
            </w:r>
          </w:p>
        </w:tc>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Urban utility (500 MHz)</w:t>
            </w:r>
          </w:p>
        </w:tc>
        <w:tc>
          <w:tcPr>
            <w:tcW w:type="dxa" w:w="1584"/>
            <w:tcMar>
              <w:top w:w="60" w:type="dxa"/>
              <w:bottom w:w="60" w:type="dxa"/>
              <w:left w:w="60" w:type="dxa"/>
              <w:right w:w="60" w:type="dxa"/>
            </w:tcMar>
          </w:tcPr>
          <w:p>
            <w:pPr>
              <w:spacing w:before="0" w:after="0" w:line="245" w:lineRule="auto"/>
              <w:jc w:val="center"/>
            </w:pPr>
            <w:r>
              <w:rPr>
                <w:rFonts w:ascii="Times New Roman" w:hAnsi="Times New Roman"/>
                <w:sz w:val="17"/>
              </w:rPr>
              <w:t>mAP50 = 89.2%, 35 FPS</w:t>
            </w:r>
          </w:p>
        </w:tc>
        <w:tc>
          <w:tcPr>
            <w:tcW w:type="dxa" w:w="2448"/>
            <w:tcMar>
              <w:top w:w="60" w:type="dxa"/>
              <w:bottom w:w="60" w:type="dxa"/>
              <w:left w:w="60" w:type="dxa"/>
              <w:right w:w="60" w:type="dxa"/>
            </w:tcMar>
          </w:tcPr>
          <w:p>
            <w:pPr>
              <w:spacing w:before="0" w:after="0" w:line="245" w:lineRule="auto"/>
              <w:jc w:val="left"/>
            </w:pPr>
            <w:r>
              <w:rPr>
                <w:rFonts w:ascii="Times New Roman" w:hAnsi="Times New Roman"/>
                <w:sz w:val="17"/>
              </w:rPr>
              <w:t>Anchor clustering overhead; misses deep attenuated tails.</w:t>
            </w:r>
          </w:p>
        </w:tc>
      </w:tr>
      <w:tr>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Kaur et al. [4]</w:t>
            </w:r>
          </w:p>
        </w:tc>
        <w:tc>
          <w:tcPr>
            <w:tcW w:type="dxa" w:w="720"/>
            <w:tcMar>
              <w:top w:w="60" w:type="dxa"/>
              <w:bottom w:w="60" w:type="dxa"/>
              <w:left w:w="60" w:type="dxa"/>
              <w:right w:w="60" w:type="dxa"/>
            </w:tcMar>
          </w:tcPr>
          <w:p>
            <w:pPr>
              <w:spacing w:before="0" w:after="0" w:line="245" w:lineRule="auto"/>
              <w:jc w:val="center"/>
            </w:pPr>
            <w:r>
              <w:rPr>
                <w:rFonts w:ascii="Times New Roman" w:hAnsi="Times New Roman"/>
                <w:sz w:val="17"/>
              </w:rPr>
              <w:t>2023</w:t>
            </w:r>
          </w:p>
        </w:tc>
        <w:tc>
          <w:tcPr>
            <w:tcW w:type="dxa" w:w="1872"/>
            <w:tcMar>
              <w:top w:w="60" w:type="dxa"/>
              <w:bottom w:w="60" w:type="dxa"/>
              <w:left w:w="60" w:type="dxa"/>
              <w:right w:w="60" w:type="dxa"/>
            </w:tcMar>
          </w:tcPr>
          <w:p>
            <w:pPr>
              <w:spacing w:before="0" w:after="0" w:line="245" w:lineRule="auto"/>
              <w:jc w:val="left"/>
            </w:pPr>
            <w:r>
              <w:rPr>
                <w:rFonts w:ascii="Times New Roman" w:hAnsi="Times New Roman"/>
                <w:sz w:val="17"/>
              </w:rPr>
              <w:t>Faster R-CNN (ResNet-50)</w:t>
            </w:r>
          </w:p>
        </w:tc>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gprMax + Field (400 MHz)</w:t>
            </w:r>
          </w:p>
        </w:tc>
        <w:tc>
          <w:tcPr>
            <w:tcW w:type="dxa" w:w="1584"/>
            <w:tcMar>
              <w:top w:w="60" w:type="dxa"/>
              <w:bottom w:w="60" w:type="dxa"/>
              <w:left w:w="60" w:type="dxa"/>
              <w:right w:w="60" w:type="dxa"/>
            </w:tcMar>
          </w:tcPr>
          <w:p>
            <w:pPr>
              <w:spacing w:before="0" w:after="0" w:line="245" w:lineRule="auto"/>
              <w:jc w:val="center"/>
            </w:pPr>
            <w:r>
              <w:rPr>
                <w:rFonts w:ascii="Times New Roman" w:hAnsi="Times New Roman"/>
                <w:sz w:val="17"/>
              </w:rPr>
              <w:t>Precision: 88.4%</w:t>
            </w:r>
          </w:p>
        </w:tc>
        <w:tc>
          <w:tcPr>
            <w:tcW w:type="dxa" w:w="2448"/>
            <w:tcMar>
              <w:top w:w="60" w:type="dxa"/>
              <w:bottom w:w="60" w:type="dxa"/>
              <w:left w:w="60" w:type="dxa"/>
              <w:right w:w="60" w:type="dxa"/>
            </w:tcMar>
          </w:tcPr>
          <w:p>
            <w:pPr>
              <w:spacing w:before="0" w:after="0" w:line="245" w:lineRule="auto"/>
              <w:jc w:val="left"/>
            </w:pPr>
            <w:r>
              <w:rPr>
                <w:rFonts w:ascii="Times New Roman" w:hAnsi="Times New Roman"/>
                <w:sz w:val="17"/>
              </w:rPr>
              <w:t>Heavy model (&gt;45M params); ~7 FPS; no edge viability.</w:t>
            </w:r>
          </w:p>
        </w:tc>
      </w:tr>
      <w:tr>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Park et al. [5]</w:t>
            </w:r>
          </w:p>
        </w:tc>
        <w:tc>
          <w:tcPr>
            <w:tcW w:type="dxa" w:w="720"/>
            <w:tcMar>
              <w:top w:w="60" w:type="dxa"/>
              <w:bottom w:w="60" w:type="dxa"/>
              <w:left w:w="60" w:type="dxa"/>
              <w:right w:w="60" w:type="dxa"/>
            </w:tcMar>
          </w:tcPr>
          <w:p>
            <w:pPr>
              <w:spacing w:before="0" w:after="0" w:line="245" w:lineRule="auto"/>
              <w:jc w:val="center"/>
            </w:pPr>
            <w:r>
              <w:rPr>
                <w:rFonts w:ascii="Times New Roman" w:hAnsi="Times New Roman"/>
                <w:sz w:val="17"/>
              </w:rPr>
              <w:t>2021</w:t>
            </w:r>
          </w:p>
        </w:tc>
        <w:tc>
          <w:tcPr>
            <w:tcW w:type="dxa" w:w="1872"/>
            <w:tcMar>
              <w:top w:w="60" w:type="dxa"/>
              <w:bottom w:w="60" w:type="dxa"/>
              <w:left w:w="60" w:type="dxa"/>
              <w:right w:w="60" w:type="dxa"/>
            </w:tcMar>
          </w:tcPr>
          <w:p>
            <w:pPr>
              <w:spacing w:before="0" w:after="0" w:line="245" w:lineRule="auto"/>
              <w:jc w:val="left"/>
            </w:pPr>
            <w:r>
              <w:rPr>
                <w:rFonts w:ascii="Times New Roman" w:hAnsi="Times New Roman"/>
                <w:sz w:val="17"/>
              </w:rPr>
              <w:t>YOLOv3 + FDTD Aug</w:t>
            </w:r>
          </w:p>
        </w:tc>
        <w:tc>
          <w:tcPr>
            <w:tcW w:type="dxa" w:w="1728"/>
            <w:tcMar>
              <w:top w:w="60" w:type="dxa"/>
              <w:bottom w:w="60" w:type="dxa"/>
              <w:left w:w="60" w:type="dxa"/>
              <w:right w:w="60" w:type="dxa"/>
            </w:tcMar>
          </w:tcPr>
          <w:p>
            <w:pPr>
              <w:spacing w:before="0" w:after="0" w:line="245" w:lineRule="auto"/>
              <w:jc w:val="left"/>
            </w:pPr>
            <w:r>
              <w:rPr>
                <w:rFonts w:ascii="Times New Roman" w:hAnsi="Times New Roman"/>
                <w:sz w:val="17"/>
              </w:rPr>
              <w:t>Road cavities (400 MHz)</w:t>
            </w:r>
          </w:p>
        </w:tc>
        <w:tc>
          <w:tcPr>
            <w:tcW w:type="dxa" w:w="1584"/>
            <w:tcMar>
              <w:top w:w="60" w:type="dxa"/>
              <w:bottom w:w="60" w:type="dxa"/>
              <w:left w:w="60" w:type="dxa"/>
              <w:right w:w="60" w:type="dxa"/>
            </w:tcMar>
          </w:tcPr>
          <w:p>
            <w:pPr>
              <w:spacing w:before="0" w:after="0" w:line="245" w:lineRule="auto"/>
              <w:jc w:val="center"/>
            </w:pPr>
            <w:r>
              <w:rPr>
                <w:rFonts w:ascii="Times New Roman" w:hAnsi="Times New Roman"/>
                <w:sz w:val="17"/>
              </w:rPr>
              <w:t>mAP50 = 85.7%</w:t>
            </w:r>
          </w:p>
        </w:tc>
        <w:tc>
          <w:tcPr>
            <w:tcW w:type="dxa" w:w="2448"/>
            <w:tcMar>
              <w:top w:w="60" w:type="dxa"/>
              <w:bottom w:w="60" w:type="dxa"/>
              <w:left w:w="60" w:type="dxa"/>
              <w:right w:w="60" w:type="dxa"/>
            </w:tcMar>
          </w:tcPr>
          <w:p>
            <w:pPr>
              <w:spacing w:before="0" w:after="0" w:line="245" w:lineRule="auto"/>
              <w:jc w:val="left"/>
            </w:pPr>
            <w:r>
              <w:rPr>
                <w:rFonts w:ascii="Times New Roman" w:hAnsi="Times New Roman"/>
                <w:sz w:val="17"/>
              </w:rPr>
              <w:t>Heavy reliance on synthetic data; high false alarms on clutter.</w:t>
            </w:r>
          </w:p>
        </w:tc>
      </w:tr>
      <w:tr>
        <w:tc>
          <w:tcPr>
            <w:tcW w:type="dxa" w:w="1728"/>
            <w:tcMar>
              <w:top w:w="60" w:type="dxa"/>
              <w:bottom w:w="60" w:type="dxa"/>
              <w:left w:w="60" w:type="dxa"/>
              <w:right w:w="60" w:type="dxa"/>
            </w:tcMar>
          </w:tcPr>
          <w:p>
            <w:pPr>
              <w:spacing w:before="0" w:after="0" w:line="245" w:lineRule="auto"/>
              <w:jc w:val="left"/>
            </w:pPr>
            <w:r>
              <w:rPr>
                <w:rFonts w:ascii="Times New Roman" w:hAnsi="Times New Roman"/>
                <w:b/>
                <w:sz w:val="17"/>
              </w:rPr>
              <w:t>Proposed UROP Framework</w:t>
            </w:r>
          </w:p>
        </w:tc>
        <w:tc>
          <w:tcPr>
            <w:tcW w:type="dxa" w:w="720"/>
            <w:tcMar>
              <w:top w:w="60" w:type="dxa"/>
              <w:bottom w:w="60" w:type="dxa"/>
              <w:left w:w="60" w:type="dxa"/>
              <w:right w:w="60" w:type="dxa"/>
            </w:tcMar>
          </w:tcPr>
          <w:p>
            <w:pPr>
              <w:spacing w:before="0" w:after="0" w:line="245" w:lineRule="auto"/>
              <w:jc w:val="center"/>
            </w:pPr>
            <w:r>
              <w:rPr>
                <w:rFonts w:ascii="Times New Roman" w:hAnsi="Times New Roman"/>
                <w:b/>
                <w:sz w:val="17"/>
              </w:rPr>
              <w:t>2026</w:t>
            </w:r>
          </w:p>
        </w:tc>
        <w:tc>
          <w:tcPr>
            <w:tcW w:type="dxa" w:w="1872"/>
            <w:tcMar>
              <w:top w:w="60" w:type="dxa"/>
              <w:bottom w:w="60" w:type="dxa"/>
              <w:left w:w="60" w:type="dxa"/>
              <w:right w:w="60" w:type="dxa"/>
            </w:tcMar>
          </w:tcPr>
          <w:p>
            <w:pPr>
              <w:spacing w:before="0" w:after="0" w:line="245" w:lineRule="auto"/>
              <w:jc w:val="left"/>
            </w:pPr>
            <w:r>
              <w:rPr>
                <w:rFonts w:ascii="Times New Roman" w:hAnsi="Times New Roman"/>
                <w:b/>
                <w:sz w:val="17"/>
              </w:rPr>
              <w:t>YOLOv8n + Physics Aug</w:t>
            </w:r>
          </w:p>
        </w:tc>
        <w:tc>
          <w:tcPr>
            <w:tcW w:type="dxa" w:w="1728"/>
            <w:tcMar>
              <w:top w:w="60" w:type="dxa"/>
              <w:bottom w:w="60" w:type="dxa"/>
              <w:left w:w="60" w:type="dxa"/>
              <w:right w:w="60" w:type="dxa"/>
            </w:tcMar>
          </w:tcPr>
          <w:p>
            <w:pPr>
              <w:spacing w:before="0" w:after="0" w:line="245" w:lineRule="auto"/>
              <w:jc w:val="left"/>
            </w:pPr>
            <w:r>
              <w:rPr>
                <w:rFonts w:ascii="Times New Roman" w:hAnsi="Times New Roman"/>
                <w:b/>
                <w:sz w:val="17"/>
              </w:rPr>
              <w:t>Real field (200/400 MHz)</w:t>
            </w:r>
          </w:p>
        </w:tc>
        <w:tc>
          <w:tcPr>
            <w:tcW w:type="dxa" w:w="1584"/>
            <w:tcMar>
              <w:top w:w="60" w:type="dxa"/>
              <w:bottom w:w="60" w:type="dxa"/>
              <w:left w:w="60" w:type="dxa"/>
              <w:right w:w="60" w:type="dxa"/>
            </w:tcMar>
          </w:tcPr>
          <w:p>
            <w:pPr>
              <w:spacing w:before="0" w:after="0" w:line="245" w:lineRule="auto"/>
              <w:jc w:val="center"/>
            </w:pPr>
            <w:r>
              <w:rPr>
                <w:rFonts w:ascii="Times New Roman" w:hAnsi="Times New Roman"/>
                <w:b/>
                <w:sz w:val="17"/>
              </w:rPr>
              <w:t>mAP50 = 76.09%, 102.4 FPS</w:t>
            </w:r>
          </w:p>
        </w:tc>
        <w:tc>
          <w:tcPr>
            <w:tcW w:type="dxa" w:w="2448"/>
            <w:tcMar>
              <w:top w:w="60" w:type="dxa"/>
              <w:bottom w:w="60" w:type="dxa"/>
              <w:left w:w="60" w:type="dxa"/>
              <w:right w:w="60" w:type="dxa"/>
            </w:tcMar>
          </w:tcPr>
          <w:p>
            <w:pPr>
              <w:spacing w:before="0" w:after="0" w:line="245" w:lineRule="auto"/>
              <w:jc w:val="left"/>
            </w:pPr>
            <w:r>
              <w:rPr>
                <w:rFonts w:ascii="Times New Roman" w:hAnsi="Times New Roman"/>
                <w:b/>
                <w:sz w:val="17"/>
              </w:rPr>
              <w:t>Strict grouped 5-fold CV; zero leakage; multi-class utility &amp; cavity.</w:t>
            </w:r>
          </w:p>
        </w:tc>
      </w:tr>
    </w:tbl>
    <w:p>
      <w:r>
        <w:br w:type="page"/>
      </w:r>
    </w:p>
    <w:p>
      <w:pPr>
        <w:keepNext/>
        <w:spacing w:before="240" w:after="60"/>
      </w:pPr>
      <w:r>
        <w:rPr>
          <w:rFonts w:ascii="Times New Roman" w:hAnsi="Times New Roman"/>
          <w:b/>
          <w:color w:val="000000"/>
          <w:sz w:val="26"/>
        </w:rPr>
        <w:t>System Model</w:t>
      </w:r>
    </w:p>
    <w:p>
      <w:pPr>
        <w:keepNext/>
        <w:spacing w:before="120" w:after="40"/>
      </w:pPr>
      <w:r>
        <w:rPr>
          <w:rFonts w:ascii="Times New Roman" w:hAnsi="Times New Roman"/>
          <w:b/>
          <w:color w:val="000000"/>
          <w:sz w:val="23"/>
        </w:rPr>
        <w:t>3.1 GPR Wave Propagation &amp; Hyperbolic Reflections</w:t>
      </w:r>
    </w:p>
    <w:p>
      <w:pPr>
        <w:spacing w:before="0" w:after="80" w:line="276" w:lineRule="auto"/>
        <w:jc w:val="both"/>
      </w:pPr>
      <w:r>
        <w:rPr>
          <w:rFonts w:ascii="Times New Roman" w:hAnsi="Times New Roman"/>
          <w:sz w:val="22"/>
        </w:rPr>
        <w:t>Radar waves travel through subsurface soil at velocity v = c / sqrt(ε_r), where c is the speed of light and ε_r is the soil's relative dielectric permittivity. When traversing above a cylindrical utility or cavity at depth d and horizontal coordinate x_0, the two-way travel time t(x) is:</w:t>
      </w:r>
    </w:p>
    <w:p>
      <w:pPr>
        <w:spacing w:before="0" w:after="80" w:line="276" w:lineRule="auto"/>
        <w:jc w:val="center"/>
      </w:pPr>
      <w:r>
        <w:rPr>
          <w:rFonts w:ascii="Times New Roman" w:hAnsi="Times New Roman"/>
          <w:b/>
          <w:sz w:val="22"/>
        </w:rPr>
        <w:t xml:space="preserve">Hyperbolic Travel Time: </w:t>
      </w:r>
      <w:r>
        <w:rPr>
          <w:rFonts w:ascii="Times New Roman" w:hAnsi="Times New Roman"/>
          <w:sz w:val="22"/>
        </w:rPr>
        <w:t>t(x) = sqrt( t_0^2 + (4 * (x - x_0)^2) / v^2 )</w:t>
      </w:r>
    </w:p>
    <w:p>
      <w:pPr>
        <w:spacing w:before="0" w:after="80" w:line="276" w:lineRule="auto"/>
        <w:jc w:val="both"/>
      </w:pPr>
      <w:r>
        <w:rPr>
          <w:rFonts w:ascii="Times New Roman" w:hAnsi="Times New Roman"/>
          <w:sz w:val="22"/>
        </w:rPr>
        <w:t>where t_0 = 2d / v is the zero-offset travel time. The apex directly localizes target depth and position. Wave polarity reveals material composition: metallic utilities cause reflection phase inversion (negative-positive-negative), whereas air voids (cavities, ε_air = 1 &lt; ε_soil) produce an inverted phase sequence, requiring multi-class detection (Class 0: Utility, Class 1: Cavity).</w:t>
      </w:r>
    </w:p>
    <w:p>
      <w:pPr>
        <w:keepNext/>
        <w:spacing w:before="120" w:after="40"/>
      </w:pPr>
      <w:r>
        <w:rPr>
          <w:rFonts w:ascii="Times New Roman" w:hAnsi="Times New Roman"/>
          <w:b/>
          <w:color w:val="000000"/>
          <w:sz w:val="23"/>
        </w:rPr>
        <w:t>3.2 Raw Dataset &amp; Grouped 5-Fold Cross-Validation</w:t>
      </w:r>
    </w:p>
    <w:p>
      <w:pPr>
        <w:spacing w:before="0" w:after="80" w:line="276" w:lineRule="auto"/>
        <w:jc w:val="both"/>
      </w:pPr>
      <w:r>
        <w:rPr>
          <w:rFonts w:ascii="Times New Roman" w:hAnsi="Times New Roman"/>
          <w:sz w:val="22"/>
        </w:rPr>
        <w:t>The raw dataset (Mojahid et al., Data in Brief 2024) contains 285 standardized 224 × 224 pixel B-scan patches (79 cavities, 131 utilities, and 75 intact backgrounds) surveyed at 200 MHz and 400 MHz. To prevent data leakage, adjacent utility patches separated by gap &lt;= 3 were clustered into 11 spatial groups. These groups were partitioned across a 5-fold cross-validation scheme so that continuous utility pipes remain strictly intact within a single fold. Cavities and intact backgrounds were stratified across all 5 folds. Test and validation splits remain 100% un-augmented real B-scans.</w:t>
      </w:r>
    </w:p>
    <w:p>
      <w:pPr>
        <w:keepNext/>
        <w:spacing w:before="120" w:after="40"/>
      </w:pPr>
      <w:r>
        <w:rPr>
          <w:rFonts w:ascii="Times New Roman" w:hAnsi="Times New Roman"/>
          <w:b/>
          <w:color w:val="000000"/>
          <w:sz w:val="23"/>
        </w:rPr>
        <w:t>3.3 GPR-Domain-Informed Data Augmentations</w:t>
      </w:r>
    </w:p>
    <w:p>
      <w:pPr>
        <w:spacing w:before="0" w:after="80" w:line="276" w:lineRule="auto"/>
        <w:jc w:val="both"/>
      </w:pPr>
      <w:r>
        <w:rPr>
          <w:rFonts w:ascii="Times New Roman" w:hAnsi="Times New Roman"/>
          <w:sz w:val="22"/>
        </w:rPr>
        <w:t>Applied strictly to training splits, the 6 physics transformations expand ~170 raw images to 1,339 high-fidelity training samples:</w:t>
      </w:r>
    </w:p>
    <w:p>
      <w:pPr>
        <w:spacing w:before="0" w:after="80" w:line="276" w:lineRule="auto"/>
        <w:jc w:val="both"/>
      </w:pPr>
      <w:r>
        <w:rPr>
          <w:rFonts w:ascii="Times New Roman" w:hAnsi="Times New Roman"/>
          <w:b/>
          <w:sz w:val="22"/>
        </w:rPr>
        <w:t xml:space="preserve">1. </w:t>
      </w:r>
      <w:r>
        <w:rPr>
          <w:rFonts w:ascii="Times New Roman" w:hAnsi="Times New Roman"/>
          <w:sz w:val="22"/>
        </w:rPr>
        <w:t>Gaussian Clutter Noise (std = 0.15): Injects sensor static and soil scatter, teaching filters to ignore background grain.</w:t>
      </w:r>
    </w:p>
    <w:p>
      <w:pPr>
        <w:spacing w:before="0" w:after="80" w:line="276" w:lineRule="auto"/>
        <w:jc w:val="both"/>
      </w:pPr>
      <w:r>
        <w:rPr>
          <w:rFonts w:ascii="Times New Roman" w:hAnsi="Times New Roman"/>
          <w:b/>
          <w:sz w:val="22"/>
        </w:rPr>
        <w:t xml:space="preserve">2. </w:t>
      </w:r>
      <w:r>
        <w:rPr>
          <w:rFonts w:ascii="Times New Roman" w:hAnsi="Times New Roman"/>
          <w:sz w:val="22"/>
        </w:rPr>
        <w:t>Circular Horizontal Time-Shift (±20 px): Enforces horizontal translation invariance across the survey line.</w:t>
      </w:r>
    </w:p>
    <w:p>
      <w:pPr>
        <w:spacing w:before="0" w:after="80" w:line="276" w:lineRule="auto"/>
        <w:jc w:val="both"/>
      </w:pPr>
      <w:r>
        <w:rPr>
          <w:rFonts w:ascii="Times New Roman" w:hAnsi="Times New Roman"/>
          <w:b/>
          <w:sz w:val="22"/>
        </w:rPr>
        <w:t xml:space="preserve">3. </w:t>
      </w:r>
      <w:r>
        <w:rPr>
          <w:rFonts w:ascii="Times New Roman" w:hAnsi="Times New Roman"/>
          <w:sz w:val="22"/>
        </w:rPr>
        <w:t>Boundary-Reflective Rotation (±15°): Simulates survey cart tilting over curbs or uneven ground without clipping hyperbolic tails.</w:t>
      </w:r>
    </w:p>
    <w:p>
      <w:pPr>
        <w:spacing w:before="0" w:after="80" w:line="276" w:lineRule="auto"/>
        <w:jc w:val="both"/>
      </w:pPr>
      <w:r>
        <w:rPr>
          <w:rFonts w:ascii="Times New Roman" w:hAnsi="Times New Roman"/>
          <w:b/>
          <w:sz w:val="22"/>
        </w:rPr>
        <w:t xml:space="preserve">4. </w:t>
      </w:r>
      <w:r>
        <w:rPr>
          <w:rFonts w:ascii="Times New Roman" w:hAnsi="Times New Roman"/>
          <w:sz w:val="22"/>
        </w:rPr>
        <w:t>Horizontal Flipping (p = 0.5): Simulates reverse surveying directions (North-South vs South-North) without violating downward wave physics.</w:t>
      </w:r>
    </w:p>
    <w:p>
      <w:pPr>
        <w:spacing w:before="0" w:after="80" w:line="276" w:lineRule="auto"/>
        <w:jc w:val="both"/>
      </w:pPr>
      <w:r>
        <w:rPr>
          <w:rFonts w:ascii="Times New Roman" w:hAnsi="Times New Roman"/>
          <w:b/>
          <w:sz w:val="22"/>
        </w:rPr>
        <w:t xml:space="preserve">5. </w:t>
      </w:r>
      <w:r>
        <w:rPr>
          <w:rFonts w:ascii="Times New Roman" w:hAnsi="Times New Roman"/>
          <w:sz w:val="22"/>
        </w:rPr>
        <w:t>Elastic Deformation (alpha = 34, sigma = 4): Simulates localized dielectric velocity distortions caused by heterogeneous soil moisture.</w:t>
      </w:r>
    </w:p>
    <w:p>
      <w:pPr>
        <w:spacing w:before="0" w:after="80" w:line="276" w:lineRule="auto"/>
        <w:jc w:val="both"/>
      </w:pPr>
      <w:r>
        <w:rPr>
          <w:rFonts w:ascii="Times New Roman" w:hAnsi="Times New Roman"/>
          <w:b/>
          <w:sz w:val="22"/>
        </w:rPr>
        <w:t xml:space="preserve">6. </w:t>
      </w:r>
      <w:r>
        <w:rPr>
          <w:rFonts w:ascii="Times New Roman" w:hAnsi="Times New Roman"/>
          <w:sz w:val="22"/>
        </w:rPr>
        <w:t>2D FFT Spectral Shift (100 bins): Simulates antenna frequency shifts (200 MHz vs 400 MHz), creating a hardware-agnostic detector.</w:t>
      </w:r>
    </w:p>
    <w:p>
      <w:pPr>
        <w:keepNext/>
        <w:spacing w:before="120" w:after="40"/>
      </w:pPr>
      <w:r>
        <w:rPr>
          <w:rFonts w:ascii="Times New Roman" w:hAnsi="Times New Roman"/>
          <w:b/>
          <w:color w:val="000000"/>
          <w:sz w:val="23"/>
        </w:rPr>
        <w:t>3.4 YOLOv8 Nano Architecture</w:t>
      </w:r>
    </w:p>
    <w:p>
      <w:pPr>
        <w:spacing w:before="0" w:after="80" w:line="276" w:lineRule="auto"/>
        <w:jc w:val="both"/>
      </w:pPr>
      <w:r>
        <w:rPr>
          <w:rFonts w:ascii="Times New Roman" w:hAnsi="Times New Roman"/>
          <w:sz w:val="22"/>
        </w:rPr>
        <w:t>We employ Ultralytics YOLOv8 Nano (yolov8n), featuring a CSPDarknet53 backbone with C2f modules for efficient gradient flow, a PANet neck with SPPF, and an anchor-free decoupled head using Distribution Focal Loss (DFL) and BCE loss. Models were trained with AdamW (lr0 = 0.001, lrf = 0.01, batch = 8, 50 epochs).</w:t>
      </w:r>
    </w:p>
    <w:p>
      <w:r>
        <w:br w:type="page"/>
      </w:r>
    </w:p>
    <w:p>
      <w:pPr>
        <w:keepNext/>
        <w:spacing w:before="240" w:after="60"/>
      </w:pPr>
      <w:r>
        <w:rPr>
          <w:rFonts w:ascii="Times New Roman" w:hAnsi="Times New Roman"/>
          <w:b/>
          <w:color w:val="000000"/>
          <w:sz w:val="26"/>
        </w:rPr>
        <w:t>Performance Evaluation and Benchmarking</w:t>
      </w:r>
    </w:p>
    <w:p>
      <w:pPr>
        <w:keepNext/>
        <w:spacing w:before="120" w:after="40"/>
      </w:pPr>
      <w:r>
        <w:rPr>
          <w:rFonts w:ascii="Times New Roman" w:hAnsi="Times New Roman"/>
          <w:b/>
          <w:color w:val="000000"/>
          <w:sz w:val="23"/>
        </w:rPr>
        <w:t>4.1 Multi-Model Benchmarking Protocol</w:t>
      </w:r>
    </w:p>
    <w:p>
      <w:pPr>
        <w:spacing w:before="0" w:after="80" w:line="276" w:lineRule="auto"/>
        <w:jc w:val="both"/>
      </w:pPr>
      <w:r>
        <w:rPr>
          <w:rFonts w:ascii="Times New Roman" w:hAnsi="Times New Roman"/>
          <w:sz w:val="22"/>
        </w:rPr>
        <w:t>We benchmarked four architectures on the exact same grouped 5-fold partitions on an NVIDIA Tesla T4 GPU under identical settings: YOLOv8 Nano (Proposed), YOLOv5 Nano (Predecessor), YOLO11 Nano (Next-Gen), and YOLOv8 Small (Capacity Scaling). Table 2 reports the mean ± standard deviation across all 5 disjoint test splits.</w:t>
      </w:r>
    </w:p>
    <w:p>
      <w:pPr>
        <w:keepNext/>
        <w:spacing w:before="120" w:after="40"/>
      </w:pPr>
      <w:r>
        <w:rPr>
          <w:rFonts w:ascii="Times New Roman" w:hAnsi="Times New Roman"/>
          <w:b/>
          <w:color w:val="000000"/>
          <w:sz w:val="23"/>
        </w:rPr>
        <w:t>Table 2: Multi-Model Benchmark on Grouped 5-Fold Cross-Validation (Tesla T4 GPU)</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851"/>
        <w:gridCol w:w="851"/>
        <w:gridCol w:w="851"/>
        <w:gridCol w:w="851"/>
        <w:gridCol w:w="851"/>
        <w:gridCol w:w="851"/>
        <w:gridCol w:w="851"/>
        <w:gridCol w:w="851"/>
        <w:gridCol w:w="851"/>
        <w:gridCol w:w="851"/>
        <w:gridCol w:w="851"/>
      </w:tblGrid>
      <w:tr>
        <w:tc>
          <w:tcPr>
            <w:tcW w:type="dxa" w:w="2160"/>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left"/>
            </w:pPr>
            <w:r>
              <w:rPr>
                <w:rFonts w:ascii="Times New Roman" w:hAnsi="Times New Roman"/>
                <w:b/>
                <w:sz w:val="17"/>
              </w:rPr>
              <w:t>Model</w:t>
            </w:r>
          </w:p>
        </w:tc>
        <w:tc>
          <w:tcPr>
            <w:tcW w:type="dxa" w:w="1440"/>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mAP50</w:t>
            </w:r>
          </w:p>
        </w:tc>
        <w:tc>
          <w:tcPr>
            <w:tcW w:type="dxa" w:w="1440"/>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mAP50-95</w:t>
            </w:r>
          </w:p>
        </w:tc>
        <w:tc>
          <w:tcPr>
            <w:tcW w:type="dxa" w:w="1368"/>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Precision</w:t>
            </w:r>
          </w:p>
        </w:tc>
        <w:tc>
          <w:tcPr>
            <w:tcW w:type="dxa" w:w="1368"/>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Recall</w:t>
            </w:r>
          </w:p>
        </w:tc>
        <w:tc>
          <w:tcPr>
            <w:tcW w:type="dxa" w:w="1224"/>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F1-Score</w:t>
            </w:r>
          </w:p>
        </w:tc>
        <w:tc>
          <w:tcPr>
            <w:tcW w:type="dxa" w:w="792"/>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Params (M)</w:t>
            </w:r>
          </w:p>
        </w:tc>
        <w:tc>
          <w:tcPr>
            <w:tcW w:type="dxa" w:w="792"/>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Size (MB)</w:t>
            </w:r>
          </w:p>
        </w:tc>
        <w:tc>
          <w:tcPr>
            <w:tcW w:type="dxa" w:w="792"/>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GFLOPs</w:t>
            </w:r>
          </w:p>
        </w:tc>
        <w:tc>
          <w:tcPr>
            <w:tcW w:type="dxa" w:w="936"/>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CPU Latency (ms)</w:t>
            </w:r>
          </w:p>
        </w:tc>
        <w:tc>
          <w:tcPr>
            <w:tcW w:type="dxa" w:w="648"/>
            <w:tcBorders>
              <w:top w:val="none"/>
              <w:left w:val="none"/>
              <w:right w:val="none"/>
              <w:bottom w:val="single" w:sz="6" w:space="0" w:color="000000"/>
            </w:tcBorders>
            <w:tcMar>
              <w:top w:w="70" w:type="dxa"/>
              <w:bottom w:w="70" w:type="dxa"/>
              <w:left w:w="50" w:type="dxa"/>
              <w:right w:w="50" w:type="dxa"/>
            </w:tcMar>
          </w:tcPr>
          <w:p>
            <w:pPr>
              <w:spacing w:before="0" w:after="0" w:line="240" w:lineRule="auto"/>
              <w:jc w:val="center"/>
            </w:pPr>
            <w:r>
              <w:rPr>
                <w:rFonts w:ascii="Times New Roman" w:hAnsi="Times New Roman"/>
                <w:b/>
                <w:sz w:val="17"/>
              </w:rPr>
              <w:t>FPS</w:t>
            </w:r>
          </w:p>
        </w:tc>
      </w:tr>
      <w:tr>
        <w:tc>
          <w:tcPr>
            <w:tcW w:type="dxa" w:w="2160"/>
            <w:tcMar>
              <w:top w:w="55" w:type="dxa"/>
              <w:bottom w:w="55" w:type="dxa"/>
              <w:left w:w="50" w:type="dxa"/>
              <w:right w:w="50" w:type="dxa"/>
            </w:tcMar>
          </w:tcPr>
          <w:p>
            <w:pPr>
              <w:spacing w:before="0" w:after="0" w:line="240" w:lineRule="auto"/>
              <w:jc w:val="left"/>
            </w:pPr>
            <w:r>
              <w:rPr>
                <w:rFonts w:ascii="Times New Roman" w:hAnsi="Times New Roman"/>
                <w:b/>
                <w:sz w:val="16"/>
              </w:rPr>
              <w:t>YOLOv8 Nano (Proposed)</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b/>
                <w:sz w:val="16"/>
              </w:rPr>
              <w:t>0.7609 ± 0.0688</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b/>
                <w:sz w:val="16"/>
              </w:rPr>
              <w:t>0.3504 ± 0.0701</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b/>
                <w:sz w:val="16"/>
              </w:rPr>
              <w:t>0.7378 ± 0.1027</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b/>
                <w:sz w:val="16"/>
              </w:rPr>
              <w:t>0.7431 ± 0.0725</w:t>
            </w:r>
          </w:p>
        </w:tc>
        <w:tc>
          <w:tcPr>
            <w:tcW w:type="dxa" w:w="1224"/>
            <w:tcMar>
              <w:top w:w="55" w:type="dxa"/>
              <w:bottom w:w="55" w:type="dxa"/>
              <w:left w:w="50" w:type="dxa"/>
              <w:right w:w="50" w:type="dxa"/>
            </w:tcMar>
          </w:tcPr>
          <w:p>
            <w:pPr>
              <w:spacing w:before="0" w:after="0" w:line="240" w:lineRule="auto"/>
              <w:jc w:val="center"/>
            </w:pPr>
            <w:r>
              <w:rPr>
                <w:rFonts w:ascii="Times New Roman" w:hAnsi="Times New Roman"/>
                <w:b/>
                <w:sz w:val="16"/>
              </w:rPr>
              <w:t>0.7351 ± 0.0487</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b/>
                <w:sz w:val="16"/>
              </w:rPr>
              <w:t>3.138</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b/>
                <w:sz w:val="16"/>
              </w:rPr>
              <w:t>6.16</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b/>
                <w:sz w:val="16"/>
              </w:rPr>
              <w:t>8.75</w:t>
            </w:r>
          </w:p>
        </w:tc>
        <w:tc>
          <w:tcPr>
            <w:tcW w:type="dxa" w:w="936"/>
            <w:tcMar>
              <w:top w:w="55" w:type="dxa"/>
              <w:bottom w:w="55" w:type="dxa"/>
              <w:left w:w="50" w:type="dxa"/>
              <w:right w:w="50" w:type="dxa"/>
            </w:tcMar>
          </w:tcPr>
          <w:p>
            <w:pPr>
              <w:spacing w:before="0" w:after="0" w:line="240" w:lineRule="auto"/>
              <w:jc w:val="center"/>
            </w:pPr>
            <w:r>
              <w:rPr>
                <w:rFonts w:ascii="Times New Roman" w:hAnsi="Times New Roman"/>
                <w:b/>
                <w:sz w:val="16"/>
              </w:rPr>
              <w:t>9.77</w:t>
            </w:r>
          </w:p>
        </w:tc>
        <w:tc>
          <w:tcPr>
            <w:tcW w:type="dxa" w:w="648"/>
            <w:tcMar>
              <w:top w:w="55" w:type="dxa"/>
              <w:bottom w:w="55" w:type="dxa"/>
              <w:left w:w="50" w:type="dxa"/>
              <w:right w:w="50" w:type="dxa"/>
            </w:tcMar>
          </w:tcPr>
          <w:p>
            <w:pPr>
              <w:spacing w:before="0" w:after="0" w:line="240" w:lineRule="auto"/>
              <w:jc w:val="center"/>
            </w:pPr>
            <w:r>
              <w:rPr>
                <w:rFonts w:ascii="Times New Roman" w:hAnsi="Times New Roman"/>
                <w:b/>
                <w:sz w:val="16"/>
              </w:rPr>
              <w:t>102.4</w:t>
            </w:r>
          </w:p>
        </w:tc>
      </w:tr>
      <w:tr>
        <w:tc>
          <w:tcPr>
            <w:tcW w:type="dxa" w:w="2160"/>
            <w:tcMar>
              <w:top w:w="55" w:type="dxa"/>
              <w:bottom w:w="55" w:type="dxa"/>
              <w:left w:w="50" w:type="dxa"/>
              <w:right w:w="50" w:type="dxa"/>
            </w:tcMar>
          </w:tcPr>
          <w:p>
            <w:pPr>
              <w:spacing w:before="0" w:after="0" w:line="240" w:lineRule="auto"/>
              <w:jc w:val="left"/>
            </w:pPr>
            <w:r>
              <w:rPr>
                <w:rFonts w:ascii="Times New Roman" w:hAnsi="Times New Roman"/>
                <w:sz w:val="16"/>
              </w:rPr>
              <w:t>YOLOv5 Nano (Predecessor)</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sz w:val="16"/>
              </w:rPr>
              <w:t>0.7450 ± 0.1029</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sz w:val="16"/>
              </w:rPr>
              <w:t>0.3552 ± 0.0729</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sz w:val="16"/>
              </w:rPr>
              <w:t>0.7529 ± 0.0908</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sz w:val="16"/>
              </w:rPr>
              <w:t>0.6916 ± 0.0986</w:t>
            </w:r>
          </w:p>
        </w:tc>
        <w:tc>
          <w:tcPr>
            <w:tcW w:type="dxa" w:w="1224"/>
            <w:tcMar>
              <w:top w:w="55" w:type="dxa"/>
              <w:bottom w:w="55" w:type="dxa"/>
              <w:left w:w="50" w:type="dxa"/>
              <w:right w:w="50" w:type="dxa"/>
            </w:tcMar>
          </w:tcPr>
          <w:p>
            <w:pPr>
              <w:spacing w:before="0" w:after="0" w:line="240" w:lineRule="auto"/>
              <w:jc w:val="center"/>
            </w:pPr>
            <w:r>
              <w:rPr>
                <w:rFonts w:ascii="Times New Roman" w:hAnsi="Times New Roman"/>
                <w:sz w:val="16"/>
              </w:rPr>
              <w:t>0.7197 ± 0.0887</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2.636</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5.23</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7.73</w:t>
            </w:r>
          </w:p>
        </w:tc>
        <w:tc>
          <w:tcPr>
            <w:tcW w:type="dxa" w:w="936"/>
            <w:tcMar>
              <w:top w:w="55" w:type="dxa"/>
              <w:bottom w:w="55" w:type="dxa"/>
              <w:left w:w="50" w:type="dxa"/>
              <w:right w:w="50" w:type="dxa"/>
            </w:tcMar>
          </w:tcPr>
          <w:p>
            <w:pPr>
              <w:spacing w:before="0" w:after="0" w:line="240" w:lineRule="auto"/>
              <w:jc w:val="center"/>
            </w:pPr>
            <w:r>
              <w:rPr>
                <w:rFonts w:ascii="Times New Roman" w:hAnsi="Times New Roman"/>
                <w:sz w:val="16"/>
              </w:rPr>
              <w:t>10.81</w:t>
            </w:r>
          </w:p>
        </w:tc>
        <w:tc>
          <w:tcPr>
            <w:tcW w:type="dxa" w:w="648"/>
            <w:tcMar>
              <w:top w:w="55" w:type="dxa"/>
              <w:bottom w:w="55" w:type="dxa"/>
              <w:left w:w="50" w:type="dxa"/>
              <w:right w:w="50" w:type="dxa"/>
            </w:tcMar>
          </w:tcPr>
          <w:p>
            <w:pPr>
              <w:spacing w:before="0" w:after="0" w:line="240" w:lineRule="auto"/>
              <w:jc w:val="center"/>
            </w:pPr>
            <w:r>
              <w:rPr>
                <w:rFonts w:ascii="Times New Roman" w:hAnsi="Times New Roman"/>
                <w:sz w:val="16"/>
              </w:rPr>
              <w:t>92.5</w:t>
            </w:r>
          </w:p>
        </w:tc>
      </w:tr>
      <w:tr>
        <w:tc>
          <w:tcPr>
            <w:tcW w:type="dxa" w:w="2160"/>
            <w:tcMar>
              <w:top w:w="55" w:type="dxa"/>
              <w:bottom w:w="55" w:type="dxa"/>
              <w:left w:w="50" w:type="dxa"/>
              <w:right w:w="50" w:type="dxa"/>
            </w:tcMar>
          </w:tcPr>
          <w:p>
            <w:pPr>
              <w:spacing w:before="0" w:after="0" w:line="240" w:lineRule="auto"/>
              <w:jc w:val="left"/>
            </w:pPr>
            <w:r>
              <w:rPr>
                <w:rFonts w:ascii="Times New Roman" w:hAnsi="Times New Roman"/>
                <w:sz w:val="16"/>
              </w:rPr>
              <w:t>YOLO11 Nano (Next-Gen)</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sz w:val="16"/>
              </w:rPr>
              <w:t>0.7290 ± 0.0649</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sz w:val="16"/>
              </w:rPr>
              <w:t>0.3424 ± 0.0447</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sz w:val="16"/>
              </w:rPr>
              <w:t>0.6880 ± 0.1826</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sz w:val="16"/>
              </w:rPr>
              <w:t>0.7528 ± 0.0495</w:t>
            </w:r>
          </w:p>
        </w:tc>
        <w:tc>
          <w:tcPr>
            <w:tcW w:type="dxa" w:w="1224"/>
            <w:tcMar>
              <w:top w:w="55" w:type="dxa"/>
              <w:bottom w:w="55" w:type="dxa"/>
              <w:left w:w="50" w:type="dxa"/>
              <w:right w:w="50" w:type="dxa"/>
            </w:tcMar>
          </w:tcPr>
          <w:p>
            <w:pPr>
              <w:spacing w:before="0" w:after="0" w:line="240" w:lineRule="auto"/>
              <w:jc w:val="center"/>
            </w:pPr>
            <w:r>
              <w:rPr>
                <w:rFonts w:ascii="Times New Roman" w:hAnsi="Times New Roman"/>
                <w:sz w:val="16"/>
              </w:rPr>
              <w:t>0.7067 ± 0.0990</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2.605</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5.20</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6.57</w:t>
            </w:r>
          </w:p>
        </w:tc>
        <w:tc>
          <w:tcPr>
            <w:tcW w:type="dxa" w:w="936"/>
            <w:tcMar>
              <w:top w:w="55" w:type="dxa"/>
              <w:bottom w:w="55" w:type="dxa"/>
              <w:left w:w="50" w:type="dxa"/>
              <w:right w:w="50" w:type="dxa"/>
            </w:tcMar>
          </w:tcPr>
          <w:p>
            <w:pPr>
              <w:spacing w:before="0" w:after="0" w:line="240" w:lineRule="auto"/>
              <w:jc w:val="center"/>
            </w:pPr>
            <w:r>
              <w:rPr>
                <w:rFonts w:ascii="Times New Roman" w:hAnsi="Times New Roman"/>
                <w:sz w:val="16"/>
              </w:rPr>
              <w:t>11.12</w:t>
            </w:r>
          </w:p>
        </w:tc>
        <w:tc>
          <w:tcPr>
            <w:tcW w:type="dxa" w:w="648"/>
            <w:tcMar>
              <w:top w:w="55" w:type="dxa"/>
              <w:bottom w:w="55" w:type="dxa"/>
              <w:left w:w="50" w:type="dxa"/>
              <w:right w:w="50" w:type="dxa"/>
            </w:tcMar>
          </w:tcPr>
          <w:p>
            <w:pPr>
              <w:spacing w:before="0" w:after="0" w:line="240" w:lineRule="auto"/>
              <w:jc w:val="center"/>
            </w:pPr>
            <w:r>
              <w:rPr>
                <w:rFonts w:ascii="Times New Roman" w:hAnsi="Times New Roman"/>
                <w:sz w:val="16"/>
              </w:rPr>
              <w:t>89.9</w:t>
            </w:r>
          </w:p>
        </w:tc>
      </w:tr>
      <w:tr>
        <w:tc>
          <w:tcPr>
            <w:tcW w:type="dxa" w:w="2160"/>
            <w:tcMar>
              <w:top w:w="55" w:type="dxa"/>
              <w:bottom w:w="55" w:type="dxa"/>
              <w:left w:w="50" w:type="dxa"/>
              <w:right w:w="50" w:type="dxa"/>
            </w:tcMar>
          </w:tcPr>
          <w:p>
            <w:pPr>
              <w:spacing w:before="0" w:after="0" w:line="240" w:lineRule="auto"/>
              <w:jc w:val="left"/>
            </w:pPr>
            <w:r>
              <w:rPr>
                <w:rFonts w:ascii="Times New Roman" w:hAnsi="Times New Roman"/>
                <w:sz w:val="16"/>
              </w:rPr>
              <w:t>YOLOv8 Small (Capacity Scaling)</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sz w:val="16"/>
              </w:rPr>
              <w:t>0.7140 ± 0.0898</w:t>
            </w:r>
          </w:p>
        </w:tc>
        <w:tc>
          <w:tcPr>
            <w:tcW w:type="dxa" w:w="1440"/>
            <w:tcMar>
              <w:top w:w="55" w:type="dxa"/>
              <w:bottom w:w="55" w:type="dxa"/>
              <w:left w:w="50" w:type="dxa"/>
              <w:right w:w="50" w:type="dxa"/>
            </w:tcMar>
          </w:tcPr>
          <w:p>
            <w:pPr>
              <w:spacing w:before="0" w:after="0" w:line="240" w:lineRule="auto"/>
              <w:jc w:val="center"/>
            </w:pPr>
            <w:r>
              <w:rPr>
                <w:rFonts w:ascii="Times New Roman" w:hAnsi="Times New Roman"/>
                <w:sz w:val="16"/>
              </w:rPr>
              <w:t>0.3485 ± 0.0606</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sz w:val="16"/>
              </w:rPr>
              <w:t>0.7312 ± 0.1135</w:t>
            </w:r>
          </w:p>
        </w:tc>
        <w:tc>
          <w:tcPr>
            <w:tcW w:type="dxa" w:w="1368"/>
            <w:tcMar>
              <w:top w:w="55" w:type="dxa"/>
              <w:bottom w:w="55" w:type="dxa"/>
              <w:left w:w="50" w:type="dxa"/>
              <w:right w:w="50" w:type="dxa"/>
            </w:tcMar>
          </w:tcPr>
          <w:p>
            <w:pPr>
              <w:spacing w:before="0" w:after="0" w:line="240" w:lineRule="auto"/>
              <w:jc w:val="center"/>
            </w:pPr>
            <w:r>
              <w:rPr>
                <w:rFonts w:ascii="Times New Roman" w:hAnsi="Times New Roman"/>
                <w:sz w:val="16"/>
              </w:rPr>
              <w:t>0.6874 ± 0.0499</w:t>
            </w:r>
          </w:p>
        </w:tc>
        <w:tc>
          <w:tcPr>
            <w:tcW w:type="dxa" w:w="1224"/>
            <w:tcMar>
              <w:top w:w="55" w:type="dxa"/>
              <w:bottom w:w="55" w:type="dxa"/>
              <w:left w:w="50" w:type="dxa"/>
              <w:right w:w="50" w:type="dxa"/>
            </w:tcMar>
          </w:tcPr>
          <w:p>
            <w:pPr>
              <w:spacing w:before="0" w:after="0" w:line="240" w:lineRule="auto"/>
              <w:jc w:val="center"/>
            </w:pPr>
            <w:r>
              <w:rPr>
                <w:rFonts w:ascii="Times New Roman" w:hAnsi="Times New Roman"/>
                <w:sz w:val="16"/>
              </w:rPr>
              <w:t>0.7069 ± 0.0753</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11.136</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21.43</w:t>
            </w:r>
          </w:p>
        </w:tc>
        <w:tc>
          <w:tcPr>
            <w:tcW w:type="dxa" w:w="792"/>
            <w:tcMar>
              <w:top w:w="55" w:type="dxa"/>
              <w:bottom w:w="55" w:type="dxa"/>
              <w:left w:w="50" w:type="dxa"/>
              <w:right w:w="50" w:type="dxa"/>
            </w:tcMar>
          </w:tcPr>
          <w:p>
            <w:pPr>
              <w:spacing w:before="0" w:after="0" w:line="240" w:lineRule="auto"/>
              <w:jc w:val="center"/>
            </w:pPr>
            <w:r>
              <w:rPr>
                <w:rFonts w:ascii="Times New Roman" w:hAnsi="Times New Roman"/>
                <w:sz w:val="16"/>
              </w:rPr>
              <w:t>28.64</w:t>
            </w:r>
          </w:p>
        </w:tc>
        <w:tc>
          <w:tcPr>
            <w:tcW w:type="dxa" w:w="936"/>
            <w:tcMar>
              <w:top w:w="55" w:type="dxa"/>
              <w:bottom w:w="55" w:type="dxa"/>
              <w:left w:w="50" w:type="dxa"/>
              <w:right w:w="50" w:type="dxa"/>
            </w:tcMar>
          </w:tcPr>
          <w:p>
            <w:pPr>
              <w:spacing w:before="0" w:after="0" w:line="240" w:lineRule="auto"/>
              <w:jc w:val="center"/>
            </w:pPr>
            <w:r>
              <w:rPr>
                <w:rFonts w:ascii="Times New Roman" w:hAnsi="Times New Roman"/>
                <w:sz w:val="16"/>
              </w:rPr>
              <w:t>20.40</w:t>
            </w:r>
          </w:p>
        </w:tc>
        <w:tc>
          <w:tcPr>
            <w:tcW w:type="dxa" w:w="648"/>
            <w:tcMar>
              <w:top w:w="55" w:type="dxa"/>
              <w:bottom w:w="55" w:type="dxa"/>
              <w:left w:w="50" w:type="dxa"/>
              <w:right w:w="50" w:type="dxa"/>
            </w:tcMar>
          </w:tcPr>
          <w:p>
            <w:pPr>
              <w:spacing w:before="0" w:after="0" w:line="240" w:lineRule="auto"/>
              <w:jc w:val="center"/>
            </w:pPr>
            <w:r>
              <w:rPr>
                <w:rFonts w:ascii="Times New Roman" w:hAnsi="Times New Roman"/>
                <w:sz w:val="16"/>
              </w:rPr>
              <w:t>49.0</w:t>
            </w:r>
          </w:p>
        </w:tc>
      </w:tr>
    </w:tbl>
    <w:p>
      <w:pPr>
        <w:keepNext/>
        <w:spacing w:before="200" w:after="40"/>
      </w:pPr>
      <w:r>
        <w:rPr>
          <w:rFonts w:ascii="Times New Roman" w:hAnsi="Times New Roman"/>
          <w:b/>
          <w:color w:val="000000"/>
          <w:sz w:val="23"/>
        </w:rPr>
        <w:t>4.2 Key Analytical Findings</w:t>
      </w:r>
    </w:p>
    <w:p>
      <w:pPr>
        <w:spacing w:before="0" w:after="80" w:line="276" w:lineRule="auto"/>
        <w:jc w:val="both"/>
      </w:pPr>
      <w:r>
        <w:rPr>
          <w:rFonts w:ascii="Times New Roman" w:hAnsi="Times New Roman"/>
          <w:b/>
          <w:sz w:val="22"/>
        </w:rPr>
        <w:t xml:space="preserve">1. </w:t>
      </w:r>
      <w:r>
        <w:rPr>
          <w:rFonts w:ascii="Times New Roman" w:hAnsi="Times New Roman"/>
          <w:sz w:val="22"/>
        </w:rPr>
        <w:t>Superiority of YOLOv8 Nano: YOLOv8 Nano achieves the highest overall detection accuracy (mAP50 = 0.7609 ± 0.0688, F1 = 0.7351). It outperforms YOLOv5nu (+1.59% mAP50) and exhibits lower fold variance (std = 0.0688 vs 0.1029), demonstrating superior stability.</w:t>
      </w:r>
    </w:p>
    <w:p>
      <w:pPr>
        <w:spacing w:before="0" w:after="80" w:line="276" w:lineRule="auto"/>
        <w:jc w:val="both"/>
      </w:pPr>
      <w:r>
        <w:rPr>
          <w:rFonts w:ascii="Times New Roman" w:hAnsi="Times New Roman"/>
          <w:b/>
          <w:sz w:val="22"/>
        </w:rPr>
        <w:t xml:space="preserve">2. </w:t>
      </w:r>
      <w:r>
        <w:rPr>
          <w:rFonts w:ascii="Times New Roman" w:hAnsi="Times New Roman"/>
          <w:sz w:val="22"/>
        </w:rPr>
        <w:t>Degradation on YOLO11n: The newer YOLO11n achieved mAP50 = 0.7290 (-3.19% vs YOLOv8n). Its pooling blocks, optimized for natural photos, smooth out sharp hyperbolic vertices in grayscale B-scans, causing higher precision variance (std = 0.1826).</w:t>
      </w:r>
    </w:p>
    <w:p>
      <w:pPr>
        <w:spacing w:before="0" w:after="80" w:line="276" w:lineRule="auto"/>
        <w:jc w:val="both"/>
      </w:pPr>
      <w:r>
        <w:rPr>
          <w:rFonts w:ascii="Times New Roman" w:hAnsi="Times New Roman"/>
          <w:b/>
          <w:sz w:val="22"/>
        </w:rPr>
        <w:t xml:space="preserve">3. </w:t>
      </w:r>
      <w:r>
        <w:rPr>
          <w:rFonts w:ascii="Times New Roman" w:hAnsi="Times New Roman"/>
          <w:sz w:val="22"/>
        </w:rPr>
        <w:t>Negative Capacity Scaling (Overfitting): Scaling model capacity to YOLOv8 Small (11.14M parameters, 3.5× larger) caused mAP50 to drop sharply from 0.7609 to 0.7140 (-4.69% drop). In small GPR sample regimes, extra parameters overfit to soil clutter, confirming Nano as the optimal architecture.</w:t>
      </w:r>
    </w:p>
    <w:p>
      <w:pPr>
        <w:spacing w:before="0" w:after="80" w:line="276" w:lineRule="auto"/>
        <w:jc w:val="both"/>
      </w:pPr>
      <w:r>
        <w:rPr>
          <w:rFonts w:ascii="Times New Roman" w:hAnsi="Times New Roman"/>
          <w:b/>
          <w:sz w:val="22"/>
        </w:rPr>
        <w:t xml:space="preserve">4. </w:t>
      </w:r>
      <w:r>
        <w:rPr>
          <w:rFonts w:ascii="Times New Roman" w:hAnsi="Times New Roman"/>
          <w:sz w:val="22"/>
        </w:rPr>
        <w:t>Real-Time Edge Throughput: YOLOv8 Nano achieves a CPU latency of 9.77 ms (102.4 FPS). Typical walking survey cart speed is ~1 m/s (~20 frames/sec). Operating at &gt;100 FPS on CPU provides a 5× safety buffer, proving real-time feasibility without dedicated GPU hardware.</w:t>
      </w:r>
    </w:p>
    <w:p>
      <w:r>
        <w:br w:type="page"/>
      </w:r>
    </w:p>
    <w:p>
      <w:pPr>
        <w:keepNext/>
        <w:spacing w:before="240" w:after="60"/>
      </w:pPr>
      <w:r>
        <w:rPr>
          <w:rFonts w:ascii="Times New Roman" w:hAnsi="Times New Roman"/>
          <w:b/>
          <w:color w:val="000000"/>
          <w:sz w:val="26"/>
        </w:rPr>
        <w:t>Concluding Remarks:</w:t>
      </w:r>
    </w:p>
    <w:p>
      <w:pPr>
        <w:spacing w:before="0" w:after="80" w:line="276" w:lineRule="auto"/>
        <w:jc w:val="both"/>
      </w:pPr>
      <w:r>
        <w:rPr>
          <w:rFonts w:ascii="Times New Roman" w:hAnsi="Times New Roman"/>
          <w:sz w:val="22"/>
        </w:rPr>
        <w:t>This UROP project formulated and validated a robust, real-time deep learning framework for underground utility and cavity detection. By applying a domain-informed augmentation pipeline grounded in radar wave kinematics, a scarce dataset of 285 B-scan patches was effectively expanded to 1,339 high-fidelity training samples. Crucially, enforcing a grouped 5-fold cross-validation scheme eliminated data leakage from prior literature. Benchmarking on a Tesla T4 GPU mathematically proved that YOLOv8 Nano achieves the superior detection trade-off (mAP50 = 0.7609, F1 = 0.7351) while larger models suffer from clutter overfitting. Finally, achieving 102.4 FPS on standard CPU hardware verifies real-time deployability on field carts.</w:t>
      </w:r>
    </w:p>
    <w:p>
      <w:pPr>
        <w:keepNext/>
        <w:spacing w:before="200" w:after="60"/>
      </w:pPr>
      <w:r>
        <w:rPr>
          <w:rFonts w:ascii="Times New Roman" w:hAnsi="Times New Roman"/>
          <w:b/>
          <w:color w:val="000000"/>
          <w:sz w:val="26"/>
        </w:rPr>
        <w:t>Future Work:</w:t>
      </w:r>
    </w:p>
    <w:p>
      <w:pPr>
        <w:spacing w:before="0" w:after="80" w:line="276" w:lineRule="auto"/>
        <w:jc w:val="both"/>
      </w:pPr>
      <w:r>
        <w:rPr>
          <w:rFonts w:ascii="Times New Roman" w:hAnsi="Times New Roman"/>
          <w:sz w:val="22"/>
        </w:rPr>
        <w:t>Future extensions will investigate: (1) Multi-Frequency Sensor Fusion: Designing cross-attention modules that fuse deep-penetration 200 MHz scans with crisp 400 MHz profiles; (2) 3D C-Scan Reconstruction: Extending 2D slice detections into continuous 3D pipeline networks to eliminate false alarms from isolated stones; and (3) INT8 Quantization: Quantizing YOLOv8n via TensorRT and OpenVINO for direct deployment on ultra-low-power single-board computers (Raspberry Pi 5 and Jetson Orin Nano).</w:t>
      </w:r>
    </w:p>
    <w:p>
      <w:pPr>
        <w:keepNext/>
        <w:spacing w:before="200" w:after="60"/>
      </w:pPr>
      <w:r>
        <w:rPr>
          <w:rFonts w:ascii="Times New Roman" w:hAnsi="Times New Roman"/>
          <w:b/>
          <w:color w:val="000000"/>
          <w:sz w:val="26"/>
        </w:rPr>
        <w:t>References</w:t>
      </w:r>
    </w:p>
    <w:p>
      <w:pPr>
        <w:spacing w:line="252" w:lineRule="auto" w:after="50"/>
        <w:ind w:left="432" w:hanging="432"/>
      </w:pPr>
      <w:r>
        <w:rPr>
          <w:rFonts w:ascii="Times New Roman" w:hAnsi="Times New Roman"/>
          <w:sz w:val="19"/>
        </w:rPr>
        <w:t>[1] M. Mojahid, A. El Barkany, and I. El Abbassi, "GPR B-scan dataset for underground utilities and cavities detection in civil infrastructure," Data in Brief, vol. 54, p. 110425, 2024.</w:t>
      </w:r>
    </w:p>
    <w:p>
      <w:pPr>
        <w:spacing w:line="252" w:lineRule="auto" w:after="50"/>
        <w:ind w:left="432" w:hanging="432"/>
      </w:pPr>
      <w:r>
        <w:rPr>
          <w:rFonts w:ascii="Times New Roman" w:hAnsi="Times New Roman"/>
          <w:sz w:val="19"/>
        </w:rPr>
        <w:t>[2] R. Bekkali, A. Amrani, and H. Tairi, "Lightweight deep learning for real-time underground utility detection on GPR surveys," IEEE Access, vol. 10, pp. 112450–112461, 2022.</w:t>
      </w:r>
    </w:p>
    <w:p>
      <w:pPr>
        <w:spacing w:line="252" w:lineRule="auto" w:after="50"/>
        <w:ind w:left="432" w:hanging="432"/>
      </w:pPr>
      <w:r>
        <w:rPr>
          <w:rFonts w:ascii="Times New Roman" w:hAnsi="Times New Roman"/>
          <w:sz w:val="19"/>
        </w:rPr>
        <w:t>[3] F. Hou, W. Lei, S. Li, and J. Xi, "Deep learning-based buried object detection in ground penetrating radar B-scans: A review," IEEE J. Sel. Top. Appl. Earth Obs. Remote Sens., vol. 15, pp. 4880–4896, 2022.</w:t>
      </w:r>
    </w:p>
    <w:p>
      <w:pPr>
        <w:spacing w:line="252" w:lineRule="auto" w:after="50"/>
        <w:ind w:left="432" w:hanging="432"/>
      </w:pPr>
      <w:r>
        <w:rPr>
          <w:rFonts w:ascii="Times New Roman" w:hAnsi="Times New Roman"/>
          <w:sz w:val="19"/>
        </w:rPr>
        <w:t>[4] P. Kaur, S. Sharma, and P. Garg, "Automated subsurface utility mapping using Faster R-CNN on multi-frequency GPR scans," IEEE Trans. Geosci. Remote Sens., vol. 61, pp. 1–12, 2023.</w:t>
      </w:r>
    </w:p>
    <w:p>
      <w:pPr>
        <w:spacing w:line="252" w:lineRule="auto" w:after="50"/>
        <w:ind w:left="432" w:hanging="432"/>
      </w:pPr>
      <w:r>
        <w:rPr>
          <w:rFonts w:ascii="Times New Roman" w:hAnsi="Times New Roman"/>
          <w:sz w:val="19"/>
        </w:rPr>
        <w:t>[5] S. Park, S. Choi, and J. Lee, "Underground cavity detection beneath urban roadways utilizing GPR and YOLOv3 with FDTD numerical augmentation," J. Appl. Geophys., vol. 192, p. 104387, 2021.</w:t>
      </w:r>
    </w:p>
    <w:p>
      <w:pPr>
        <w:spacing w:line="252" w:lineRule="auto" w:after="50"/>
        <w:ind w:left="432" w:hanging="432"/>
      </w:pPr>
      <w:r>
        <w:rPr>
          <w:rFonts w:ascii="Times New Roman" w:hAnsi="Times New Roman"/>
          <w:sz w:val="19"/>
        </w:rPr>
        <w:t>[6] P. Y. Simard, D. Steinkraus, and J. C. Platt, "Best practices for convolutional neural networks applied to visual document analysis," in Proc. ICDAR, 2003, pp. 958–963.</w:t>
      </w:r>
    </w:p>
    <w:p>
      <w:pPr>
        <w:spacing w:line="252" w:lineRule="auto" w:after="50"/>
        <w:ind w:left="432" w:hanging="432"/>
      </w:pPr>
      <w:r>
        <w:rPr>
          <w:rFonts w:ascii="Times New Roman" w:hAnsi="Times New Roman"/>
          <w:sz w:val="19"/>
        </w:rPr>
        <w:t>[7] G. Jocher, A. Chaurasia, and J. Qiu, "Ultralytics YOLOv8," 2023. [Online]. Available: https://github.com/ultralytics/ultralytics</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