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02C57"/>
          <w:sz w:val="40"/>
        </w:rPr>
        <w:t>Deep Learning-Based GPR Buried Object Detection &amp; Multi-Model Benchmarking</w:t>
      </w:r>
    </w:p>
    <w:p>
      <w:pPr>
        <w:spacing w:after="240"/>
      </w:pPr>
      <w:r>
        <w:rPr>
          <w:rFonts w:ascii="Calibri" w:hAnsi="Calibri"/>
          <w:b w:val="0"/>
          <w:i/>
          <w:color w:val="355F8E"/>
          <w:sz w:val="22"/>
        </w:rPr>
        <w:t>Complete Master Research Report: Evolution from Leaky Baseline to Honest Grouped 5-Fold Benchmarking and Real-Time Edge Deployment</w:t>
      </w:r>
    </w:p>
    <w:tbl>
      <w:tblPr>
        <w:tblW w:type="auto" w:w="0"/>
        <w:jc w:val="center"/>
        <w:tblLook w:firstColumn="1" w:firstRow="1" w:lastColumn="0" w:lastRow="0" w:noHBand="0" w:noVBand="1" w:val="04A0"/>
      </w:tblPr>
      <w:tblGrid>
        <w:gridCol w:w="5040"/>
        <w:gridCol w:w="5040"/>
      </w:tblGrid>
      <w:tr>
        <w:tc>
          <w:tcPr>
            <w:tcW w:type="dxa" w:w="5040"/>
          </w:tcPr>
          <w:p>
            <w:pPr>
              <w:spacing w:after="20"/>
            </w:pPr>
            <w:r>
              <w:rPr>
                <w:rFonts w:ascii="Calibri" w:hAnsi="Calibri"/>
                <w:b/>
                <w:i w:val="0"/>
                <w:color w:val="102C57"/>
                <w:sz w:val="18"/>
              </w:rPr>
              <w:t>Project:</w:t>
            </w:r>
            <w:r>
              <w:rPr>
                <w:rFonts w:ascii="Calibri" w:hAnsi="Calibri"/>
                <w:b w:val="0"/>
                <w:i w:val="0"/>
                <w:color w:val="1E1E1E"/>
                <w:sz w:val="18"/>
              </w:rPr>
              <w:t xml:space="preserve"> Advanced Buried Utility &amp; Cavity Detection from GPR</w:t>
            </w:r>
          </w:p>
        </w:tc>
        <w:tc>
          <w:tcPr>
            <w:tcW w:type="dxa" w:w="5040"/>
          </w:tcPr>
          <w:p>
            <w:pPr>
              <w:spacing w:after="20"/>
            </w:pPr>
            <w:r>
              <w:rPr>
                <w:rFonts w:ascii="Calibri" w:hAnsi="Calibri"/>
                <w:b/>
                <w:i w:val="0"/>
                <w:color w:val="102C57"/>
                <w:sz w:val="18"/>
              </w:rPr>
              <w:t>Evaluation:</w:t>
            </w:r>
            <w:r>
              <w:rPr>
                <w:rFonts w:ascii="Calibri" w:hAnsi="Calibri"/>
                <w:b w:val="0"/>
                <w:i w:val="0"/>
                <w:color w:val="1E1E1E"/>
                <w:sz w:val="18"/>
              </w:rPr>
              <w:t xml:space="preserve"> Physics-Aware Grouped 5-Fold Cross-Validation</w:t>
            </w:r>
          </w:p>
        </w:tc>
      </w:tr>
      <w:tr>
        <w:tc>
          <w:tcPr>
            <w:tcW w:type="dxa" w:w="5040"/>
          </w:tcPr>
          <w:p>
            <w:pPr>
              <w:spacing w:after="20"/>
            </w:pPr>
            <w:r>
              <w:rPr>
                <w:rFonts w:ascii="Calibri" w:hAnsi="Calibri"/>
                <w:b/>
                <w:i w:val="0"/>
                <w:color w:val="102C57"/>
                <w:sz w:val="18"/>
              </w:rPr>
              <w:t>Architectures:</w:t>
            </w:r>
            <w:r>
              <w:rPr>
                <w:rFonts w:ascii="Calibri" w:hAnsi="Calibri"/>
                <w:b w:val="0"/>
                <w:i w:val="0"/>
                <w:color w:val="1E1E1E"/>
                <w:sz w:val="18"/>
              </w:rPr>
              <w:t xml:space="preserve"> YOLOv8n, YOLOv5nu, YOLO11n, YOLOv8s</w:t>
            </w:r>
          </w:p>
        </w:tc>
        <w:tc>
          <w:tcPr>
            <w:tcW w:type="dxa" w:w="5040"/>
          </w:tcPr>
          <w:p>
            <w:pPr>
              <w:spacing w:after="20"/>
            </w:pPr>
            <w:r>
              <w:rPr>
                <w:rFonts w:ascii="Calibri" w:hAnsi="Calibri"/>
                <w:b/>
                <w:i w:val="0"/>
                <w:color w:val="102C57"/>
                <w:sz w:val="18"/>
              </w:rPr>
              <w:t>Hardware:</w:t>
            </w:r>
            <w:r>
              <w:rPr>
                <w:rFonts w:ascii="Calibri" w:hAnsi="Calibri"/>
                <w:b w:val="0"/>
                <w:i w:val="0"/>
                <w:color w:val="1E1E1E"/>
                <w:sz w:val="18"/>
              </w:rPr>
              <w:t xml:space="preserve"> Tesla T4 GPU (Train) &amp; Standard CPU (Edge Latency)</w:t>
            </w:r>
          </w:p>
        </w:tc>
      </w:tr>
    </w:tbl>
    <w:p>
      <w:pPr>
        <w:spacing w:after="120"/>
      </w:pPr>
    </w:p>
    <w:p>
      <w:pPr>
        <w:keepNext/>
        <w:spacing w:before="280" w:after="80"/>
      </w:pPr>
      <w:r>
        <w:rPr>
          <w:rFonts w:ascii="Calibri" w:hAnsi="Calibri"/>
          <w:b/>
          <w:i w:val="0"/>
          <w:color w:val="102C57"/>
          <w:sz w:val="30"/>
        </w:rPr>
        <w:t>1. Executive Summary &amp; Project Evolution</w:t>
      </w:r>
    </w:p>
    <w:p>
      <w:pPr>
        <w:spacing w:before="0" w:after="80" w:line="276" w:lineRule="auto"/>
      </w:pPr>
      <w:r>
        <w:rPr>
          <w:rFonts w:ascii="Calibri" w:hAnsi="Calibri"/>
          <w:b w:val="0"/>
          <w:i w:val="0"/>
          <w:color w:val="1E1E1E"/>
          <w:sz w:val="21"/>
        </w:rPr>
        <w:t>Ground Penetrating Radar (GPR) is an established, non-destructive geophysical imaging modality widely employed for subsurface civil infrastructure inspection, utility mapping, and sinkhole hazard mitigation. Cross-sectional GPR scans (B-scans) record electromagnetic wave reflections produced when transmitted microwave pulses encounter subterranean dielectric boundaries. Metallic pipes, concrete conduits, and subsurface voids manifest as characteristic hyperbolic reflection signatures governed by two-way radar travel time.</w:t>
      </w:r>
    </w:p>
    <w:p>
      <w:pPr>
        <w:spacing w:before="0" w:after="80" w:line="276" w:lineRule="auto"/>
      </w:pPr>
      <w:r>
        <w:rPr>
          <w:rFonts w:ascii="Calibri" w:hAnsi="Calibri"/>
          <w:b w:val="0"/>
          <w:i w:val="0"/>
          <w:color w:val="1E1E1E"/>
          <w:sz w:val="21"/>
        </w:rPr>
        <w:t>While deep learning object detectors such as YOLO have shown immense promise in automating hyperbola localization, real-world deployment faces two pervasive scientific hurdles: severe subsurface data scarcity and subtle spatial evaluation leakage. This research traversed four rigorous phases:</w:t>
      </w:r>
    </w:p>
    <w:p>
      <w:pPr>
        <w:pStyle w:val="ListBullet"/>
        <w:spacing w:before="0" w:after="40" w:line="276" w:lineRule="auto"/>
      </w:pPr>
      <w:r>
        <w:rPr>
          <w:rFonts w:ascii="Calibri" w:hAnsi="Calibri"/>
          <w:b/>
          <w:i w:val="0"/>
          <w:color w:val="1E1E1E"/>
          <w:sz w:val="20"/>
        </w:rPr>
        <w:t xml:space="preserve">Phase 0 (Initial Prototype Baseline): </w:t>
      </w:r>
      <w:r>
        <w:rPr>
          <w:rFonts w:ascii="Calibri" w:hAnsi="Calibri"/>
          <w:b w:val="0"/>
          <w:i w:val="0"/>
          <w:color w:val="1E1E1E"/>
          <w:sz w:val="20"/>
        </w:rPr>
        <w:t>Collected 285 raw survey patches (131 utilities, 79 cavities, 75 background clutter). Engineered an offline physics-informed augmentation pipeline synthesizing 1,339 images. Applied an initial random 80/20 train/validation partition, achieving an apparent mAP50 of 0.9595 on YOLOv8 Nano (yolov8n.pt), and developed a complete interactive Streamlit web deployment application.</w:t>
      </w:r>
    </w:p>
    <w:p>
      <w:pPr>
        <w:pStyle w:val="ListBullet"/>
        <w:spacing w:before="0" w:after="40" w:line="276" w:lineRule="auto"/>
      </w:pPr>
      <w:r>
        <w:rPr>
          <w:rFonts w:ascii="Calibri" w:hAnsi="Calibri"/>
          <w:b/>
          <w:i w:val="0"/>
          <w:color w:val="1E1E1E"/>
          <w:sz w:val="20"/>
        </w:rPr>
        <w:t xml:space="preserve">Phase 0.5 (Leave-One-Out Ablation Study): </w:t>
      </w:r>
      <w:r>
        <w:rPr>
          <w:rFonts w:ascii="Calibri" w:hAnsi="Calibri"/>
          <w:b w:val="0"/>
          <w:i w:val="0"/>
          <w:color w:val="1E1E1E"/>
          <w:sz w:val="20"/>
        </w:rPr>
        <w:t>Executed a systematic 7-run ablation study across 50 epochs per run on CPU hardware to isolate the empirical impact of 6 individual domain-specific augmentations. Identified 2D FFT Spectral Shifting (Rank #1, -2.33% mAP50, -6.14% Recall) and Elastic Deformation (Rank #2, -1.13% mAP50) as the most critical domain-specific radar transformations.</w:t>
      </w:r>
    </w:p>
    <w:p>
      <w:pPr>
        <w:pStyle w:val="ListBullet"/>
        <w:spacing w:before="0" w:after="40" w:line="276" w:lineRule="auto"/>
      </w:pPr>
      <w:r>
        <w:rPr>
          <w:rFonts w:ascii="Calibri" w:hAnsi="Calibri"/>
          <w:b/>
          <w:i w:val="0"/>
          <w:color w:val="1E1E1E"/>
          <w:sz w:val="20"/>
        </w:rPr>
        <w:t xml:space="preserve">Phase 1 (Discovery of Data Leakage &amp; Honest Grouped 5-Fold Baseline): </w:t>
      </w:r>
      <w:r>
        <w:rPr>
          <w:rFonts w:ascii="Calibri" w:hAnsi="Calibri"/>
          <w:b w:val="0"/>
          <w:i w:val="0"/>
          <w:color w:val="1E1E1E"/>
          <w:sz w:val="20"/>
        </w:rPr>
        <w:t>Diagnosed that the Phase 0 random 80/20 split allowed augmented copies of identical physical survey tracks into both training and validation sets, causing background clutter memorization. Formulated an uncompromised Source-Level Grouped 5-Fold Cross-Validation protocol guaranteeing that 100% of patches derived from any raw entity belong strictly to either training or testing. Established the true honest baseline on CPU: mAP50 = 0.7390 ± 0.0746.</w:t>
      </w:r>
    </w:p>
    <w:p>
      <w:pPr>
        <w:pStyle w:val="ListBullet"/>
        <w:spacing w:before="0" w:after="40" w:line="276" w:lineRule="auto"/>
      </w:pPr>
      <w:r>
        <w:rPr>
          <w:rFonts w:ascii="Calibri" w:hAnsi="Calibri"/>
          <w:b/>
          <w:i w:val="0"/>
          <w:color w:val="1E1E1E"/>
          <w:sz w:val="20"/>
        </w:rPr>
        <w:t xml:space="preserve">Phase 2 (Multi-Architecture Benchmarking &amp; Edge Profiling): </w:t>
      </w:r>
      <w:r>
        <w:rPr>
          <w:rFonts w:ascii="Calibri" w:hAnsi="Calibri"/>
          <w:b w:val="0"/>
          <w:i w:val="0"/>
          <w:color w:val="1E1E1E"/>
          <w:sz w:val="20"/>
        </w:rPr>
        <w:t>Scaled training to NVIDIA Tesla T4 GPU hardware across four distinct architectures under identical grouped 5-fold splits. Proved that YOLOv8 Nano is the superior architecture (mAP50 = 0.7609 ± 0.0688, F1 = 0.7351), discovered a Negative Capacity Scaling Law where scaling to YOLOv8s (11.14M params) caused a -4.69% drop in mAP, and established real-time edge processing feasibility at 102.4 FPS (9.77 ms latency) on standard CPU.</w:t>
      </w:r>
    </w:p>
    <w:p>
      <w:pPr>
        <w:keepNext/>
        <w:spacing w:before="280" w:after="80"/>
      </w:pPr>
      <w:r>
        <w:rPr>
          <w:rFonts w:ascii="Calibri" w:hAnsi="Calibri"/>
          <w:b/>
          <w:i w:val="0"/>
          <w:color w:val="102C57"/>
          <w:sz w:val="30"/>
        </w:rPr>
        <w:t>2. Research Problem, Physics, &amp; Motivation</w:t>
      </w:r>
    </w:p>
    <w:p>
      <w:pPr>
        <w:spacing w:before="0" w:after="80" w:line="276" w:lineRule="auto"/>
      </w:pPr>
      <w:r>
        <w:rPr>
          <w:rFonts w:ascii="Calibri" w:hAnsi="Calibri"/>
          <w:b w:val="0"/>
          <w:i w:val="0"/>
          <w:color w:val="1E1E1E"/>
          <w:sz w:val="21"/>
        </w:rPr>
        <w:t>GPR systems transmit high-frequency electromagnetic pulses (typically 200 MHz to 900 MHz) into the ground via a surface-coupled antenna. The propagation velocity v of the radar wave depends predominantly on the relative dielectric permittivity ε_r of the host soil: v = c / sqrt(ε_r), where c ≈ 0.3 m/ns is the speed of light in vacuum. When the expanding spherical wavefront encounters an embedded anomaly with contrasting permittivity, reflection amplitude is governed by the reflection coefficient R = (sqrt(ε_r1) - sqrt(ε_r2)) / (sqrt(ε_r1) + sqrt(ε_r2)).</w:t>
      </w:r>
    </w:p>
    <w:p>
      <w:pPr>
        <w:spacing w:before="0" w:after="80" w:line="276" w:lineRule="auto"/>
      </w:pPr>
      <w:r>
        <w:rPr>
          <w:rFonts w:ascii="Calibri" w:hAnsi="Calibri"/>
          <w:b w:val="0"/>
          <w:i w:val="0"/>
          <w:color w:val="1E1E1E"/>
          <w:sz w:val="21"/>
        </w:rPr>
        <w:t>Because the antenna translates horizontally across surface x, recorded two-way travel time t to an object buried at depth d traces out a hyperbolic trajectory: (vt/2)^2 = d^2 + (x - x_0)^2. Buried utilities (solid pipes, conduits) produce narrow, high-amplitude, symmetric hyperbolas. In contrast, underground cavities (air voids, sinkholes) produce wide hyperbolic signatures characterized by multiple internal reverberation ringing artifacts and severe dielectric boundaries (ε_soil ≈ 15 to ε_air = 1).</w:t>
      </w:r>
    </w:p>
    <w:p>
      <w:pPr>
        <w:keepNext/>
        <w:spacing w:before="280" w:after="80"/>
      </w:pPr>
      <w:r>
        <w:rPr>
          <w:rFonts w:ascii="Calibri" w:hAnsi="Calibri"/>
          <w:b/>
          <w:i w:val="0"/>
          <w:color w:val="102C57"/>
          <w:sz w:val="30"/>
        </w:rPr>
        <w:t>3. Original Experimental Setup &amp; Baseline (Phase 0)</w:t>
      </w:r>
    </w:p>
    <w:p>
      <w:pPr>
        <w:spacing w:before="0" w:after="80" w:line="276" w:lineRule="auto"/>
      </w:pPr>
      <w:r>
        <w:rPr>
          <w:rFonts w:ascii="Calibri" w:hAnsi="Calibri"/>
          <w:b w:val="0"/>
          <w:i w:val="0"/>
          <w:color w:val="1E1E1E"/>
          <w:sz w:val="21"/>
        </w:rPr>
        <w:t>The raw dataset comprised 285 standardized 224x224 pixel patches (131 utilities, 79 cavities, 75 intact clutter). To address severe data scarcity, 6 offline physics-informed transformations were applied: (1) Gaussian Noise Injection (σ=0.15), (2) Horizontal Time Shift (±20 px), (3) Rotational Perturbation (±15°), (4) Bidirectional Reflection (Horizontal Flip), (5) Elastic Deformation (α=34, σ=4), and (6) 2D FFT Spectral Shifting (Δf=100), yielding 1,339 processed images (786 utilities, 553 cavities).</w:t>
      </w:r>
    </w:p>
    <w:p>
      <w:pPr>
        <w:spacing w:before="0" w:after="80" w:line="276" w:lineRule="auto"/>
      </w:pPr>
      <w:r>
        <w:rPr>
          <w:rFonts w:ascii="Calibri" w:hAnsi="Calibri"/>
          <w:b w:val="0"/>
          <w:i w:val="0"/>
          <w:color w:val="1E1E1E"/>
          <w:sz w:val="21"/>
        </w:rPr>
        <w:t>In Phase 0, a random 80/20 train/validation split was applied (1,070 train, 269 val). YOLOv8 Nano was trained for 50 epochs (AdamW, lr=0.001, batch=8, CPU), achieving mAP50 = 0.9594, mAP50-95 = 0.6068, Precision = 0.9520, and Recall = 0.9390. A Streamlit web application (app.py) was built featuring interactive bounding boxes, confidence sliders, and a self-healing OpenCV headless patch resolving cloud Linux container library crashes.</w:t>
      </w:r>
    </w:p>
    <w:p>
      <w:pPr>
        <w:keepNext/>
        <w:spacing w:before="280" w:after="80"/>
      </w:pPr>
      <w:r>
        <w:rPr>
          <w:rFonts w:ascii="Calibri" w:hAnsi="Calibri"/>
          <w:b/>
          <w:i w:val="0"/>
          <w:color w:val="102C57"/>
          <w:sz w:val="30"/>
        </w:rPr>
        <w:t>4. Phase 0.5: Leave-One-Out (LOO) Augmentation Ablation Study</w:t>
      </w:r>
    </w:p>
    <w:p>
      <w:pPr>
        <w:spacing w:before="0" w:after="80" w:line="276" w:lineRule="auto"/>
      </w:pPr>
      <w:r>
        <w:rPr>
          <w:rFonts w:ascii="Calibri" w:hAnsi="Calibri"/>
          <w:b w:val="0"/>
          <w:i w:val="0"/>
          <w:color w:val="1E1E1E"/>
          <w:sz w:val="21"/>
        </w:rPr>
        <w:t>To isolate the individual contribution of each physical augmentation technique, 7 strictly controlled 50-epoch runs were executed on CPU hardware:</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864"/>
            <w:vAlign w:val="center"/>
            <w:tcMar>
              <w:top w:w="80" w:type="dxa"/>
              <w:bottom w:w="80" w:type="dxa"/>
              <w:left w:w="100" w:type="dxa"/>
              <w:right w:w="100" w:type="dxa"/>
            </w:tcMar>
            <w:shd w:fill="F0F4F8"/>
            <w:tcBorders>
              <w:top w:val="single" w:sz="12" w:space="0" w:color="102C57"/>
              <w:bottom w:val="single" w:sz="8" w:space="0" w:color="102C57"/>
            </w:tcBorders>
          </w:tcPr>
          <w:p>
            <w:pPr>
              <w:jc w:val="center"/>
            </w:pPr>
            <w:r>
              <w:rPr>
                <w:rFonts w:ascii="Calibri" w:hAnsi="Calibri"/>
                <w:b/>
                <w:i w:val="0"/>
                <w:color w:val="102C57"/>
                <w:sz w:val="19"/>
              </w:rPr>
              <w:t>Run</w:t>
            </w:r>
          </w:p>
        </w:tc>
        <w:tc>
          <w:tcPr>
            <w:tcW w:type="dxa" w:w="2016"/>
            <w:vAlign w:val="center"/>
            <w:tcMar>
              <w:top w:w="80" w:type="dxa"/>
              <w:bottom w:w="80" w:type="dxa"/>
              <w:left w:w="100" w:type="dxa"/>
              <w:right w:w="100" w:type="dxa"/>
            </w:tcMar>
            <w:shd w:fill="F0F4F8"/>
            <w:tcBorders>
              <w:top w:val="single" w:sz="12" w:space="0" w:color="102C57"/>
              <w:bottom w:val="single" w:sz="8" w:space="0" w:color="102C57"/>
            </w:tcBorders>
          </w:tcPr>
          <w:p>
            <w:pPr>
              <w:jc w:val="left"/>
            </w:pPr>
            <w:r>
              <w:rPr>
                <w:rFonts w:ascii="Calibri" w:hAnsi="Calibri"/>
                <w:b/>
                <w:i w:val="0"/>
                <w:color w:val="102C57"/>
                <w:sz w:val="19"/>
              </w:rPr>
              <w:t>Configuration</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left"/>
            </w:pPr>
            <w:r>
              <w:rPr>
                <w:rFonts w:ascii="Calibri" w:hAnsi="Calibri"/>
                <w:b/>
                <w:i w:val="0"/>
                <w:color w:val="102C57"/>
                <w:sz w:val="19"/>
              </w:rPr>
              <w:t>Excluded</w:t>
            </w:r>
          </w:p>
        </w:tc>
        <w:tc>
          <w:tcPr>
            <w:tcW w:type="dxa" w:w="864"/>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mAP50</w:t>
            </w:r>
          </w:p>
        </w:tc>
        <w:tc>
          <w:tcPr>
            <w:tcW w:type="dxa" w:w="1008"/>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Δ mAP50</w:t>
            </w:r>
          </w:p>
        </w:tc>
        <w:tc>
          <w:tcPr>
            <w:tcW w:type="dxa" w:w="1008"/>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mAP50-95</w:t>
            </w:r>
          </w:p>
        </w:tc>
        <w:tc>
          <w:tcPr>
            <w:tcW w:type="dxa" w:w="1008"/>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Precision</w:t>
            </w:r>
          </w:p>
        </w:tc>
        <w:tc>
          <w:tcPr>
            <w:tcW w:type="dxa" w:w="1008"/>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Recall</w:t>
            </w:r>
          </w:p>
        </w:tc>
        <w:tc>
          <w:tcPr>
            <w:tcW w:type="dxa" w:w="1440"/>
            <w:vAlign w:val="center"/>
            <w:tcMar>
              <w:top w:w="80" w:type="dxa"/>
              <w:bottom w:w="80" w:type="dxa"/>
              <w:left w:w="100" w:type="dxa"/>
              <w:right w:w="100" w:type="dxa"/>
            </w:tcMar>
            <w:shd w:fill="F0F4F8"/>
            <w:tcBorders>
              <w:top w:val="single" w:sz="12" w:space="0" w:color="102C57"/>
              <w:bottom w:val="single" w:sz="8" w:space="0" w:color="102C57"/>
            </w:tcBorders>
          </w:tcPr>
          <w:p>
            <w:pPr>
              <w:jc w:val="left"/>
            </w:pPr>
            <w:r>
              <w:rPr>
                <w:rFonts w:ascii="Calibri" w:hAnsi="Calibri"/>
                <w:b/>
                <w:i w:val="0"/>
                <w:color w:val="102C57"/>
                <w:sz w:val="19"/>
              </w:rPr>
              <w:t>Rank / Role</w:t>
            </w:r>
          </w:p>
        </w:tc>
      </w:tr>
      <w:tr>
        <w:trPr>
          <w:cantSplit/>
        </w:trPr>
        <w:tc>
          <w:tcPr>
            <w:tcW w:type="dxa" w:w="864"/>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Run 0</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Full Pipeline (Baseline)</w:t>
            </w:r>
          </w:p>
        </w:tc>
        <w:tc>
          <w:tcPr>
            <w:tcW w:type="dxa" w:w="1152"/>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None</w:t>
            </w:r>
          </w:p>
        </w:tc>
        <w:tc>
          <w:tcPr>
            <w:tcW w:type="dxa" w:w="86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0.9595</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Reference</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0.6068</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0.9518</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0.9395</w:t>
            </w:r>
          </w:p>
        </w:tc>
        <w:tc>
          <w:tcPr>
            <w:tcW w:type="dxa" w:w="1440"/>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Baseline Balance</w:t>
            </w:r>
          </w:p>
        </w:tc>
      </w:tr>
      <w:tr>
        <w:trPr>
          <w:cantSplit/>
        </w:trPr>
        <w:tc>
          <w:tcPr>
            <w:tcW w:type="dxa" w:w="864"/>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Run 6</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Exclude Spectral Shift</w:t>
            </w:r>
          </w:p>
        </w:tc>
        <w:tc>
          <w:tcPr>
            <w:tcW w:type="dxa" w:w="1152"/>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spectral</w:t>
            </w:r>
          </w:p>
        </w:tc>
        <w:tc>
          <w:tcPr>
            <w:tcW w:type="dxa" w:w="86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0.9371</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-2.33%</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0.5711</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0.9321</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0.8781</w:t>
            </w:r>
          </w:p>
        </w:tc>
        <w:tc>
          <w:tcPr>
            <w:tcW w:type="dxa" w:w="1440"/>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Rank #1 (Critical)</w:t>
            </w:r>
          </w:p>
        </w:tc>
      </w:tr>
      <w:tr>
        <w:trPr>
          <w:cantSplit/>
        </w:trPr>
        <w:tc>
          <w:tcPr>
            <w:tcW w:type="dxa" w:w="864"/>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Run 5</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Exclude Elastic Deform</w:t>
            </w:r>
          </w:p>
        </w:tc>
        <w:tc>
          <w:tcPr>
            <w:tcW w:type="dxa" w:w="1152"/>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elastic</w:t>
            </w:r>
          </w:p>
        </w:tc>
        <w:tc>
          <w:tcPr>
            <w:tcW w:type="dxa" w:w="86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0.9487</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-1.13%</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0.5792</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0.9458</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0.9061</w:t>
            </w:r>
          </w:p>
        </w:tc>
        <w:tc>
          <w:tcPr>
            <w:tcW w:type="dxa" w:w="1440"/>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Rank #2</w:t>
            </w:r>
          </w:p>
        </w:tc>
      </w:tr>
      <w:tr>
        <w:trPr>
          <w:cantSplit/>
        </w:trPr>
        <w:tc>
          <w:tcPr>
            <w:tcW w:type="dxa" w:w="864"/>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Run 3</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Exclude Rotation ±15°</w:t>
            </w:r>
          </w:p>
        </w:tc>
        <w:tc>
          <w:tcPr>
            <w:tcW w:type="dxa" w:w="1152"/>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rotation</w:t>
            </w:r>
          </w:p>
        </w:tc>
        <w:tc>
          <w:tcPr>
            <w:tcW w:type="dxa" w:w="86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0.9513</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-0.85%</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0.5964</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0.9534</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0.9003</w:t>
            </w:r>
          </w:p>
        </w:tc>
        <w:tc>
          <w:tcPr>
            <w:tcW w:type="dxa" w:w="1440"/>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Rank #3</w:t>
            </w:r>
          </w:p>
        </w:tc>
      </w:tr>
      <w:tr>
        <w:trPr>
          <w:cantSplit/>
        </w:trPr>
        <w:tc>
          <w:tcPr>
            <w:tcW w:type="dxa" w:w="864"/>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Run 2</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Exclude Time Shift</w:t>
            </w:r>
          </w:p>
        </w:tc>
        <w:tc>
          <w:tcPr>
            <w:tcW w:type="dxa" w:w="1152"/>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time_shift</w:t>
            </w:r>
          </w:p>
        </w:tc>
        <w:tc>
          <w:tcPr>
            <w:tcW w:type="dxa" w:w="86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0.9583</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-0.13%</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0.5851</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0.9451</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0.9231</w:t>
            </w:r>
          </w:p>
        </w:tc>
        <w:tc>
          <w:tcPr>
            <w:tcW w:type="dxa" w:w="1440"/>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Rank #4</w:t>
            </w:r>
          </w:p>
        </w:tc>
      </w:tr>
      <w:tr>
        <w:trPr>
          <w:cantSplit/>
        </w:trPr>
        <w:tc>
          <w:tcPr>
            <w:tcW w:type="dxa" w:w="864"/>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Run 4</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Exclude Horizontal Flip</w:t>
            </w:r>
          </w:p>
        </w:tc>
        <w:tc>
          <w:tcPr>
            <w:tcW w:type="dxa" w:w="1152"/>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flip</w:t>
            </w:r>
          </w:p>
        </w:tc>
        <w:tc>
          <w:tcPr>
            <w:tcW w:type="dxa" w:w="86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0.9651</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+0.58%</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0.5828</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0.9487</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0.9102</w:t>
            </w:r>
          </w:p>
        </w:tc>
        <w:tc>
          <w:tcPr>
            <w:tcW w:type="dxa" w:w="1440"/>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Rank #5</w:t>
            </w:r>
          </w:p>
        </w:tc>
      </w:tr>
      <w:tr>
        <w:trPr>
          <w:cantSplit/>
        </w:trPr>
        <w:tc>
          <w:tcPr>
            <w:tcW w:type="dxa" w:w="864"/>
            <w:vAlign w:val="center"/>
            <w:tcMar>
              <w:top w:w="80" w:type="dxa"/>
              <w:bottom w:w="80" w:type="dxa"/>
              <w:left w:w="100" w:type="dxa"/>
              <w:right w:w="100" w:type="dxa"/>
            </w:tcMar>
            <w:tcBorders>
              <w:bottom w:val="single" w:sz="12" w:space="0" w:color="102C57"/>
            </w:tcBorders>
          </w:tcPr>
          <w:p>
            <w:pPr>
              <w:jc w:val="center"/>
            </w:pPr>
            <w:r>
              <w:rPr>
                <w:rFonts w:ascii="Calibri" w:hAnsi="Calibri"/>
                <w:b w:val="0"/>
                <w:i w:val="0"/>
                <w:color w:val="1E1E1E"/>
                <w:sz w:val="18"/>
              </w:rPr>
              <w:t>Run 1</w:t>
            </w:r>
          </w:p>
        </w:tc>
        <w:tc>
          <w:tcPr>
            <w:tcW w:type="dxa" w:w="2016"/>
            <w:vAlign w:val="center"/>
            <w:tcMar>
              <w:top w:w="80" w:type="dxa"/>
              <w:bottom w:w="80" w:type="dxa"/>
              <w:left w:w="100" w:type="dxa"/>
              <w:right w:w="100" w:type="dxa"/>
            </w:tcMar>
            <w:tcBorders>
              <w:bottom w:val="single" w:sz="12" w:space="0" w:color="102C57"/>
            </w:tcBorders>
          </w:tcPr>
          <w:p>
            <w:pPr>
              <w:jc w:val="left"/>
            </w:pPr>
            <w:r>
              <w:rPr>
                <w:rFonts w:ascii="Calibri" w:hAnsi="Calibri"/>
                <w:b w:val="0"/>
                <w:i w:val="0"/>
                <w:color w:val="1E1E1E"/>
                <w:sz w:val="18"/>
              </w:rPr>
              <w:t>Exclude Gaussian Noise</w:t>
            </w:r>
          </w:p>
        </w:tc>
        <w:tc>
          <w:tcPr>
            <w:tcW w:type="dxa" w:w="1152"/>
            <w:vAlign w:val="center"/>
            <w:tcMar>
              <w:top w:w="80" w:type="dxa"/>
              <w:bottom w:w="80" w:type="dxa"/>
              <w:left w:w="100" w:type="dxa"/>
              <w:right w:w="100" w:type="dxa"/>
            </w:tcMar>
            <w:tcBorders>
              <w:bottom w:val="single" w:sz="12" w:space="0" w:color="102C57"/>
            </w:tcBorders>
          </w:tcPr>
          <w:p>
            <w:pPr>
              <w:jc w:val="left"/>
            </w:pPr>
            <w:r>
              <w:rPr>
                <w:rFonts w:ascii="Calibri" w:hAnsi="Calibri"/>
                <w:b w:val="0"/>
                <w:i w:val="0"/>
                <w:color w:val="1E1E1E"/>
                <w:sz w:val="18"/>
              </w:rPr>
              <w:t>noise</w:t>
            </w:r>
          </w:p>
        </w:tc>
        <w:tc>
          <w:tcPr>
            <w:tcW w:type="dxa" w:w="864"/>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0.9812</w:t>
            </w:r>
          </w:p>
        </w:tc>
        <w:tc>
          <w:tcPr>
            <w:tcW w:type="dxa" w:w="1008"/>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+2.26%</w:t>
            </w:r>
          </w:p>
        </w:tc>
        <w:tc>
          <w:tcPr>
            <w:tcW w:type="dxa" w:w="1008"/>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0.6312</w:t>
            </w:r>
          </w:p>
        </w:tc>
        <w:tc>
          <w:tcPr>
            <w:tcW w:type="dxa" w:w="1008"/>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0.9703</w:t>
            </w:r>
          </w:p>
        </w:tc>
        <w:tc>
          <w:tcPr>
            <w:tcW w:type="dxa" w:w="1008"/>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0.9391</w:t>
            </w:r>
          </w:p>
        </w:tc>
        <w:tc>
          <w:tcPr>
            <w:tcW w:type="dxa" w:w="1440"/>
            <w:vAlign w:val="center"/>
            <w:tcMar>
              <w:top w:w="80" w:type="dxa"/>
              <w:bottom w:w="80" w:type="dxa"/>
              <w:left w:w="100" w:type="dxa"/>
              <w:right w:w="100" w:type="dxa"/>
            </w:tcMar>
            <w:tcBorders>
              <w:bottom w:val="single" w:sz="12" w:space="0" w:color="102C57"/>
            </w:tcBorders>
          </w:tcPr>
          <w:p>
            <w:pPr>
              <w:jc w:val="left"/>
            </w:pPr>
            <w:r>
              <w:rPr>
                <w:rFonts w:ascii="Calibri" w:hAnsi="Calibri"/>
                <w:b w:val="0"/>
                <w:i w:val="0"/>
                <w:color w:val="1E1E1E"/>
                <w:sz w:val="18"/>
              </w:rPr>
              <w:t>Rank #6 (Regularizer)</w:t>
            </w:r>
          </w:p>
        </w:tc>
      </w:tr>
    </w:tbl>
    <w:p>
      <w:pPr>
        <w:spacing w:after="80"/>
      </w:pPr>
    </w:p>
    <w:p>
      <w:pPr>
        <w:spacing w:before="0" w:after="80" w:line="276" w:lineRule="auto"/>
      </w:pPr>
      <w:r>
        <w:rPr>
          <w:rFonts w:ascii="Calibri" w:hAnsi="Calibri"/>
          <w:b w:val="0"/>
          <w:i w:val="0"/>
          <w:color w:val="1E1E1E"/>
          <w:sz w:val="21"/>
        </w:rPr>
        <w:t>Key Insight: 2D FFT Spectral Shifting proved to be the single most critical technique. Removing it produced the largest performance degradation (-2.33% mAP50, -0.0357 mAP50-95) and an alarming 6.14% collapse in Recall (down to 87.81%). Modulating the 2D Fourier spectrum teaches the network to recognize hyperbola geometry across varying radar antenna center frequencies (200 MHz vs 400 MHz). Elastic deformation (Rank #2) accounts for dielectric heterogeneity and wave velocity dispersion.</w:t>
      </w:r>
    </w:p>
    <w:p>
      <w:pPr>
        <w:keepNext/>
        <w:spacing w:before="280" w:after="80"/>
      </w:pPr>
      <w:r>
        <w:rPr>
          <w:rFonts w:ascii="Calibri" w:hAnsi="Calibri"/>
          <w:b/>
          <w:i w:val="0"/>
          <w:color w:val="102C57"/>
          <w:sz w:val="30"/>
        </w:rPr>
        <w:t>5. Identification of Data Leakage &amp; The Grouped 5-Fold Methodological Shift</w:t>
      </w:r>
    </w:p>
    <w:p>
      <w:pPr>
        <w:spacing w:before="0" w:after="80" w:line="276" w:lineRule="auto"/>
      </w:pPr>
      <w:r>
        <w:rPr>
          <w:rFonts w:ascii="Calibri" w:hAnsi="Calibri"/>
          <w:b w:val="0"/>
          <w:i w:val="0"/>
          <w:color w:val="1E1E1E"/>
          <w:sz w:val="21"/>
        </w:rPr>
        <w:t>In Phase 0, all 210 original GPR scans were first augmented into 1,339 images, and then an image-level random 80/20 train/val split was performed. Consequently, augmented variants derived from the exact same raw survey scan (e.g., util_023_aug1 through util_023_aug6) were scattered across both training and validation sets. Because these variants share identical background soil stratification and sensor clutter, the network easily memorized survey-specific clutter rather than learning generalized hyperbola physics. This caused the reported mAP50 of 0.9595 to be overly optimistic.</w:t>
      </w:r>
    </w:p>
    <w:p>
      <w:pPr>
        <w:spacing w:before="0" w:after="80" w:line="276" w:lineRule="auto"/>
      </w:pPr>
      <w:r>
        <w:rPr>
          <w:rFonts w:ascii="Calibri" w:hAnsi="Calibri"/>
          <w:b w:val="0"/>
          <w:i w:val="0"/>
          <w:color w:val="1E1E1E"/>
          <w:sz w:val="21"/>
        </w:rPr>
        <w:t>To eliminate leakage, we implemented Source-Level Grouped 5-Fold Cross-Validation (experiments/01_split_source_level.py). All augmented variants of any raw entity are strictly confined to either the training set or the test set—never split across both. Every fold evaluates on completely unseen raw survey tracks.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center"/>
            </w:pPr>
            <w:r>
              <w:rPr>
                <w:rFonts w:ascii="Calibri" w:hAnsi="Calibri"/>
                <w:b/>
                <w:i w:val="0"/>
                <w:color w:val="102C57"/>
                <w:sz w:val="19"/>
              </w:rPr>
              <w:t>Fold</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Utility Imgs</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Cavity Imgs</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Intact Imgs</w:t>
            </w:r>
          </w:p>
        </w:tc>
        <w:tc>
          <w:tcPr>
            <w:tcW w:type="dxa" w:w="1296"/>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Total Imgs</w:t>
            </w:r>
          </w:p>
        </w:tc>
        <w:tc>
          <w:tcPr>
            <w:tcW w:type="dxa" w:w="1296"/>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Utility Boxes</w:t>
            </w:r>
          </w:p>
        </w:tc>
        <w:tc>
          <w:tcPr>
            <w:tcW w:type="dxa" w:w="1296"/>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Cavity Boxes</w:t>
            </w:r>
          </w:p>
        </w:tc>
        <w:tc>
          <w:tcPr>
            <w:tcW w:type="dxa" w:w="1296"/>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Total Boxes</w:t>
            </w:r>
          </w:p>
        </w:tc>
      </w:tr>
      <w:tr>
        <w:trPr>
          <w:cantSplit/>
        </w:trPr>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Fold 1</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17</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16</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15</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48</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24</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16</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40</w:t>
            </w:r>
          </w:p>
        </w:tc>
      </w:tr>
      <w:tr>
        <w:trPr>
          <w:cantSplit/>
        </w:trPr>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Fold 2</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18</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16</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15</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49</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22</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18</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40</w:t>
            </w:r>
          </w:p>
        </w:tc>
      </w:tr>
      <w:tr>
        <w:trPr>
          <w:cantSplit/>
        </w:trPr>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Fold 3</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18</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16</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15</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49</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21</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17</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38</w:t>
            </w:r>
          </w:p>
        </w:tc>
      </w:tr>
      <w:tr>
        <w:trPr>
          <w:cantSplit/>
        </w:trPr>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Fold 4</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18</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16</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15</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49</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18</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19</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37</w:t>
            </w:r>
          </w:p>
        </w:tc>
      </w:tr>
      <w:tr>
        <w:trPr>
          <w:cantSplit/>
        </w:trPr>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Fold 5</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60</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15</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15</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90</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79</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16</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95</w:t>
            </w:r>
          </w:p>
        </w:tc>
      </w:tr>
      <w:tr>
        <w:trPr>
          <w:cantSplit/>
        </w:trPr>
        <w:tc>
          <w:tcPr>
            <w:tcW w:type="dxa" w:w="1152"/>
            <w:vAlign w:val="center"/>
            <w:tcMar>
              <w:top w:w="80" w:type="dxa"/>
              <w:bottom w:w="80" w:type="dxa"/>
              <w:left w:w="100" w:type="dxa"/>
              <w:right w:w="100" w:type="dxa"/>
            </w:tcMar>
            <w:tcBorders>
              <w:bottom w:val="single" w:sz="12" w:space="0" w:color="102C57"/>
            </w:tcBorders>
          </w:tcPr>
          <w:p>
            <w:pPr>
              <w:jc w:val="center"/>
            </w:pPr>
            <w:r>
              <w:rPr>
                <w:rFonts w:ascii="Calibri" w:hAnsi="Calibri"/>
                <w:b w:val="0"/>
                <w:i w:val="0"/>
                <w:color w:val="1E1E1E"/>
                <w:sz w:val="18"/>
              </w:rPr>
              <w:t>Total</w:t>
            </w:r>
          </w:p>
        </w:tc>
        <w:tc>
          <w:tcPr>
            <w:tcW w:type="dxa" w:w="1152"/>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131</w:t>
            </w:r>
          </w:p>
        </w:tc>
        <w:tc>
          <w:tcPr>
            <w:tcW w:type="dxa" w:w="1152"/>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79</w:t>
            </w:r>
          </w:p>
        </w:tc>
        <w:tc>
          <w:tcPr>
            <w:tcW w:type="dxa" w:w="1152"/>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75</w:t>
            </w:r>
          </w:p>
        </w:tc>
        <w:tc>
          <w:tcPr>
            <w:tcW w:type="dxa" w:w="1296"/>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285</w:t>
            </w:r>
          </w:p>
        </w:tc>
        <w:tc>
          <w:tcPr>
            <w:tcW w:type="dxa" w:w="1296"/>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164</w:t>
            </w:r>
          </w:p>
        </w:tc>
        <w:tc>
          <w:tcPr>
            <w:tcW w:type="dxa" w:w="1296"/>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86</w:t>
            </w:r>
          </w:p>
        </w:tc>
        <w:tc>
          <w:tcPr>
            <w:tcW w:type="dxa" w:w="1296"/>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250</w:t>
            </w:r>
          </w:p>
        </w:tc>
      </w:tr>
    </w:tbl>
    <w:p>
      <w:pPr>
        <w:spacing w:after="80"/>
      </w:pPr>
    </w:p>
    <w:p>
      <w:pPr>
        <w:keepNext/>
        <w:spacing w:before="280" w:after="80"/>
      </w:pPr>
      <w:r>
        <w:rPr>
          <w:rFonts w:ascii="Calibri" w:hAnsi="Calibri"/>
          <w:b/>
          <w:i w:val="0"/>
          <w:color w:val="102C57"/>
          <w:sz w:val="30"/>
        </w:rPr>
        <w:t>6. Phase 1 Quantitative Results: Honest Baseline (CPU)</w:t>
      </w:r>
    </w:p>
    <w:p>
      <w:pPr>
        <w:spacing w:before="0" w:after="80" w:line="276" w:lineRule="auto"/>
      </w:pPr>
      <w:r>
        <w:rPr>
          <w:rFonts w:ascii="Calibri" w:hAnsi="Calibri"/>
          <w:b w:val="0"/>
          <w:i w:val="0"/>
          <w:color w:val="1E1E1E"/>
          <w:sz w:val="21"/>
        </w:rPr>
        <w:t>Trained across all 5 folds on CPU architecture, YOLOv8 Nano achieved an honest, leakage-free benchmark:</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728"/>
            <w:vAlign w:val="center"/>
            <w:tcMar>
              <w:top w:w="80" w:type="dxa"/>
              <w:bottom w:w="80" w:type="dxa"/>
              <w:left w:w="100" w:type="dxa"/>
              <w:right w:w="100" w:type="dxa"/>
            </w:tcMar>
            <w:shd w:fill="F0F4F8"/>
            <w:tcBorders>
              <w:top w:val="single" w:sz="12" w:space="0" w:color="102C57"/>
              <w:bottom w:val="single" w:sz="8" w:space="0" w:color="102C57"/>
            </w:tcBorders>
          </w:tcPr>
          <w:p>
            <w:pPr>
              <w:jc w:val="center"/>
            </w:pPr>
            <w:r>
              <w:rPr>
                <w:rFonts w:ascii="Calibri" w:hAnsi="Calibri"/>
                <w:b/>
                <w:i w:val="0"/>
                <w:color w:val="102C57"/>
                <w:sz w:val="19"/>
              </w:rPr>
              <w:t>Evaluation Fold</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mAP50</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mAP50-95</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Precision</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Recall</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F1-Score</w:t>
            </w:r>
          </w:p>
        </w:tc>
        <w:tc>
          <w:tcPr>
            <w:tcW w:type="dxa" w:w="1296"/>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Utility mAP50</w:t>
            </w:r>
          </w:p>
        </w:tc>
        <w:tc>
          <w:tcPr>
            <w:tcW w:type="dxa" w:w="1296"/>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Cavity mAP50</w:t>
            </w:r>
          </w:p>
        </w:tc>
      </w:tr>
      <w:tr>
        <w:trPr>
          <w:cantSplit/>
        </w:trPr>
        <w:tc>
          <w:tcPr>
            <w:tcW w:type="dxa" w:w="1728"/>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Fold 1</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0.6792</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0.3273</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0.7111</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0.6771</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0.6937</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0.8353</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0.5869</w:t>
            </w:r>
          </w:p>
        </w:tc>
      </w:tr>
      <w:tr>
        <w:trPr>
          <w:cantSplit/>
        </w:trPr>
        <w:tc>
          <w:tcPr>
            <w:tcW w:type="dxa" w:w="1728"/>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Fold 2</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0.7962</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0.3225</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0.7412</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0.7172</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0.7290</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0.7524</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0.7301</w:t>
            </w:r>
          </w:p>
        </w:tc>
      </w:tr>
      <w:tr>
        <w:trPr>
          <w:cantSplit/>
        </w:trPr>
        <w:tc>
          <w:tcPr>
            <w:tcW w:type="dxa" w:w="1728"/>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Fold 3</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0.8220</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0.3552</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0.8316</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0.7983</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0.8146</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0.7550</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0.9083</w:t>
            </w:r>
          </w:p>
        </w:tc>
      </w:tr>
      <w:tr>
        <w:trPr>
          <w:cantSplit/>
        </w:trPr>
        <w:tc>
          <w:tcPr>
            <w:tcW w:type="dxa" w:w="1728"/>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Fold 4</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0.7504</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0.3700</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0.7418</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0.6754</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0.7070</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0.6343</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0.8492</w:t>
            </w:r>
          </w:p>
        </w:tc>
      </w:tr>
      <w:tr>
        <w:trPr>
          <w:cantSplit/>
        </w:trPr>
        <w:tc>
          <w:tcPr>
            <w:tcW w:type="dxa" w:w="1728"/>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Fold 5</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0.6473</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0.2795</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0.6777</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0.6592</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0.6683</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0.4863</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0.8690</w:t>
            </w:r>
          </w:p>
        </w:tc>
      </w:tr>
      <w:tr>
        <w:trPr>
          <w:cantSplit/>
        </w:trPr>
        <w:tc>
          <w:tcPr>
            <w:tcW w:type="dxa" w:w="1728"/>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Mean</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0.7390</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0.3309</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0.7407</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0.7054</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0.7225</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0.6927</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0.7887</w:t>
            </w:r>
          </w:p>
        </w:tc>
      </w:tr>
      <w:tr>
        <w:trPr>
          <w:cantSplit/>
        </w:trPr>
        <w:tc>
          <w:tcPr>
            <w:tcW w:type="dxa" w:w="1728"/>
            <w:vAlign w:val="center"/>
            <w:tcMar>
              <w:top w:w="80" w:type="dxa"/>
              <w:bottom w:w="80" w:type="dxa"/>
              <w:left w:w="100" w:type="dxa"/>
              <w:right w:w="100" w:type="dxa"/>
            </w:tcMar>
            <w:tcBorders>
              <w:bottom w:val="single" w:sz="12" w:space="0" w:color="102C57"/>
            </w:tcBorders>
          </w:tcPr>
          <w:p>
            <w:pPr>
              <w:jc w:val="center"/>
            </w:pPr>
            <w:r>
              <w:rPr>
                <w:rFonts w:ascii="Calibri" w:hAnsi="Calibri"/>
                <w:b w:val="0"/>
                <w:i w:val="0"/>
                <w:color w:val="1E1E1E"/>
                <w:sz w:val="18"/>
              </w:rPr>
              <w:t>Std Dev (±)</w:t>
            </w:r>
          </w:p>
        </w:tc>
        <w:tc>
          <w:tcPr>
            <w:tcW w:type="dxa" w:w="1152"/>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0.0746</w:t>
            </w:r>
          </w:p>
        </w:tc>
        <w:tc>
          <w:tcPr>
            <w:tcW w:type="dxa" w:w="1152"/>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0.0348</w:t>
            </w:r>
          </w:p>
        </w:tc>
        <w:tc>
          <w:tcPr>
            <w:tcW w:type="dxa" w:w="1152"/>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0.0573</w:t>
            </w:r>
          </w:p>
        </w:tc>
        <w:tc>
          <w:tcPr>
            <w:tcW w:type="dxa" w:w="1152"/>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0.0561</w:t>
            </w:r>
          </w:p>
        </w:tc>
        <w:tc>
          <w:tcPr>
            <w:tcW w:type="dxa" w:w="1152"/>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0.0560</w:t>
            </w:r>
          </w:p>
        </w:tc>
        <w:tc>
          <w:tcPr>
            <w:tcW w:type="dxa" w:w="1296"/>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0.1347</w:t>
            </w:r>
          </w:p>
        </w:tc>
        <w:tc>
          <w:tcPr>
            <w:tcW w:type="dxa" w:w="1296"/>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0.1306</w:t>
            </w:r>
          </w:p>
        </w:tc>
      </w:tr>
    </w:tbl>
    <w:p>
      <w:pPr>
        <w:spacing w:after="80"/>
      </w:pPr>
    </w:p>
    <w:p>
      <w:pPr>
        <w:spacing w:before="0" w:after="80" w:line="276" w:lineRule="auto"/>
      </w:pPr>
      <w:r>
        <w:rPr>
          <w:rFonts w:ascii="Calibri" w:hAnsi="Calibri"/>
          <w:b w:val="0"/>
          <w:i w:val="0"/>
          <w:color w:val="1E1E1E"/>
          <w:sz w:val="21"/>
        </w:rPr>
        <w:t>Analysis: The drop from the leaky 0.9595 to the honest 0.7390 represents the elimination of background memorization. A score of 0.7390 ± 0.0746 represents genuine, robust generalization on novel subsurface tracks.</w:t>
      </w:r>
    </w:p>
    <w:p>
      <w:pPr>
        <w:keepNext/>
        <w:spacing w:before="280" w:after="80"/>
      </w:pPr>
      <w:r>
        <w:rPr>
          <w:rFonts w:ascii="Calibri" w:hAnsi="Calibri"/>
          <w:b/>
          <w:i w:val="0"/>
          <w:color w:val="102C57"/>
          <w:sz w:val="30"/>
        </w:rPr>
        <w:t>7. Phase 2 Multi-Architecture Benchmark (Tesla T4 GPU &amp; CPU Latency)</w:t>
      </w:r>
    </w:p>
    <w:p>
      <w:pPr>
        <w:spacing w:before="0" w:after="80" w:line="276" w:lineRule="auto"/>
      </w:pPr>
      <w:r>
        <w:rPr>
          <w:rFonts w:ascii="Calibri" w:hAnsi="Calibri"/>
          <w:b w:val="0"/>
          <w:i w:val="0"/>
          <w:color w:val="1E1E1E"/>
          <w:sz w:val="21"/>
        </w:rPr>
        <w:t>In Phase 2, we evaluated four distinct models across all 5 folds under identical grouped partitions on an NVIDIA Tesla T4 GPU (Kaggle), and profiled empirical single-patch inference latency on standard CPU hardware (benchmark_latency.py):</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584"/>
            <w:vAlign w:val="center"/>
            <w:tcMar>
              <w:top w:w="80" w:type="dxa"/>
              <w:bottom w:w="80" w:type="dxa"/>
              <w:left w:w="100" w:type="dxa"/>
              <w:right w:w="100" w:type="dxa"/>
            </w:tcMar>
            <w:shd w:fill="F0F4F8"/>
            <w:tcBorders>
              <w:top w:val="single" w:sz="12" w:space="0" w:color="102C57"/>
              <w:bottom w:val="single" w:sz="8" w:space="0" w:color="102C57"/>
            </w:tcBorders>
          </w:tcPr>
          <w:p>
            <w:pPr>
              <w:jc w:val="center"/>
            </w:pPr>
            <w:r>
              <w:rPr>
                <w:rFonts w:ascii="Calibri" w:hAnsi="Calibri"/>
                <w:b/>
                <w:i w:val="0"/>
                <w:color w:val="102C57"/>
                <w:sz w:val="19"/>
              </w:rPr>
              <w:t>Architecture</w:t>
            </w:r>
          </w:p>
        </w:tc>
        <w:tc>
          <w:tcPr>
            <w:tcW w:type="dxa" w:w="1440"/>
            <w:vAlign w:val="center"/>
            <w:tcMar>
              <w:top w:w="80" w:type="dxa"/>
              <w:bottom w:w="80" w:type="dxa"/>
              <w:left w:w="100" w:type="dxa"/>
              <w:right w:w="100" w:type="dxa"/>
            </w:tcMar>
            <w:shd w:fill="F0F4F8"/>
            <w:tcBorders>
              <w:top w:val="single" w:sz="12" w:space="0" w:color="102C57"/>
              <w:bottom w:val="single" w:sz="8" w:space="0" w:color="102C57"/>
            </w:tcBorders>
          </w:tcPr>
          <w:p>
            <w:pPr>
              <w:jc w:val="left"/>
            </w:pPr>
            <w:r>
              <w:rPr>
                <w:rFonts w:ascii="Calibri" w:hAnsi="Calibri"/>
                <w:b/>
                <w:i w:val="0"/>
                <w:color w:val="102C57"/>
                <w:sz w:val="19"/>
              </w:rPr>
              <w:t>Role</w:t>
            </w:r>
          </w:p>
        </w:tc>
        <w:tc>
          <w:tcPr>
            <w:tcW w:type="dxa" w:w="1008"/>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Params (M)</w:t>
            </w:r>
          </w:p>
        </w:tc>
        <w:tc>
          <w:tcPr>
            <w:tcW w:type="dxa" w:w="1008"/>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FLOPs (G)</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GPU Train (s)</w:t>
            </w:r>
          </w:p>
        </w:tc>
        <w:tc>
          <w:tcPr>
            <w:tcW w:type="dxa" w:w="1296"/>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CPU Latency (ms)</w:t>
            </w:r>
          </w:p>
        </w:tc>
        <w:tc>
          <w:tcPr>
            <w:tcW w:type="dxa" w:w="864"/>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FPS</w:t>
            </w:r>
          </w:p>
        </w:tc>
        <w:tc>
          <w:tcPr>
            <w:tcW w:type="dxa" w:w="1728"/>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mAP50</w:t>
            </w:r>
          </w:p>
        </w:tc>
        <w:tc>
          <w:tcPr>
            <w:tcW w:type="dxa" w:w="1584"/>
            <w:vAlign w:val="center"/>
            <w:tcMar>
              <w:top w:w="80" w:type="dxa"/>
              <w:bottom w:w="80" w:type="dxa"/>
              <w:left w:w="100" w:type="dxa"/>
              <w:right w:w="100" w:type="dxa"/>
            </w:tcMar>
            <w:shd w:fill="F0F4F8"/>
            <w:tcBorders>
              <w:top w:val="single" w:sz="12" w:space="0" w:color="102C57"/>
              <w:bottom w:val="single" w:sz="8" w:space="0" w:color="102C57"/>
            </w:tcBorders>
          </w:tcPr>
          <w:p>
            <w:pPr>
              <w:jc w:val="right"/>
            </w:pPr>
            <w:r>
              <w:rPr>
                <w:rFonts w:ascii="Calibri" w:hAnsi="Calibri"/>
                <w:b/>
                <w:i w:val="0"/>
                <w:color w:val="102C57"/>
                <w:sz w:val="19"/>
              </w:rPr>
              <w:t>F1-Score</w:t>
            </w:r>
          </w:p>
        </w:tc>
      </w:tr>
      <w:tr>
        <w:trPr>
          <w:cantSplit/>
        </w:trPr>
        <w:tc>
          <w:tcPr>
            <w:tcW w:type="dxa" w:w="1584"/>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YOLOv8 Nano</w:t>
            </w:r>
          </w:p>
        </w:tc>
        <w:tc>
          <w:tcPr>
            <w:tcW w:type="dxa" w:w="1440"/>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Proposed Model</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3.138</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8.75</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246.9</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9.77</w:t>
            </w:r>
          </w:p>
        </w:tc>
        <w:tc>
          <w:tcPr>
            <w:tcW w:type="dxa" w:w="86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102.4</w:t>
            </w:r>
          </w:p>
        </w:tc>
        <w:tc>
          <w:tcPr>
            <w:tcW w:type="dxa" w:w="172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0.7609 ± 0.0688</w:t>
            </w:r>
          </w:p>
        </w:tc>
        <w:tc>
          <w:tcPr>
            <w:tcW w:type="dxa" w:w="158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0.7351 ± 0.0487</w:t>
            </w:r>
          </w:p>
        </w:tc>
      </w:tr>
      <w:tr>
        <w:trPr>
          <w:cantSplit/>
        </w:trPr>
        <w:tc>
          <w:tcPr>
            <w:tcW w:type="dxa" w:w="1584"/>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YOLOv5 Nano</w:t>
            </w:r>
          </w:p>
        </w:tc>
        <w:tc>
          <w:tcPr>
            <w:tcW w:type="dxa" w:w="1440"/>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Predecessor</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2.636</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7.73</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239.8</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10.81</w:t>
            </w:r>
          </w:p>
        </w:tc>
        <w:tc>
          <w:tcPr>
            <w:tcW w:type="dxa" w:w="86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92.5</w:t>
            </w:r>
          </w:p>
        </w:tc>
        <w:tc>
          <w:tcPr>
            <w:tcW w:type="dxa" w:w="172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0.7450 ± 0.1029</w:t>
            </w:r>
          </w:p>
        </w:tc>
        <w:tc>
          <w:tcPr>
            <w:tcW w:type="dxa" w:w="158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0.7197 ± 0.0887</w:t>
            </w:r>
          </w:p>
        </w:tc>
      </w:tr>
      <w:tr>
        <w:trPr>
          <w:cantSplit/>
        </w:trPr>
        <w:tc>
          <w:tcPr>
            <w:tcW w:type="dxa" w:w="1584"/>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YOLO11 Nano</w:t>
            </w:r>
          </w:p>
        </w:tc>
        <w:tc>
          <w:tcPr>
            <w:tcW w:type="dxa" w:w="1440"/>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Next-Gen</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2.605</w:t>
            </w:r>
          </w:p>
        </w:tc>
        <w:tc>
          <w:tcPr>
            <w:tcW w:type="dxa" w:w="100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6.57</w:t>
            </w:r>
          </w:p>
        </w:tc>
        <w:tc>
          <w:tcPr>
            <w:tcW w:type="dxa" w:w="1152"/>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305.0</w:t>
            </w:r>
          </w:p>
        </w:tc>
        <w:tc>
          <w:tcPr>
            <w:tcW w:type="dxa" w:w="1296"/>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11.12</w:t>
            </w:r>
          </w:p>
        </w:tc>
        <w:tc>
          <w:tcPr>
            <w:tcW w:type="dxa" w:w="86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89.9</w:t>
            </w:r>
          </w:p>
        </w:tc>
        <w:tc>
          <w:tcPr>
            <w:tcW w:type="dxa" w:w="1728"/>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0.7290 ± 0.0649</w:t>
            </w:r>
          </w:p>
        </w:tc>
        <w:tc>
          <w:tcPr>
            <w:tcW w:type="dxa" w:w="1584"/>
            <w:vAlign w:val="center"/>
            <w:tcMar>
              <w:top w:w="80" w:type="dxa"/>
              <w:bottom w:w="80" w:type="dxa"/>
              <w:left w:w="100" w:type="dxa"/>
              <w:right w:w="100" w:type="dxa"/>
            </w:tcMar>
            <w:tcBorders>
              <w:bottom w:val="single" w:sz="4" w:space="0" w:color="E0E0E0"/>
            </w:tcBorders>
          </w:tcPr>
          <w:p>
            <w:pPr>
              <w:jc w:val="right"/>
            </w:pPr>
            <w:r>
              <w:rPr>
                <w:rFonts w:ascii="Calibri" w:hAnsi="Calibri"/>
                <w:b w:val="0"/>
                <w:i w:val="0"/>
                <w:color w:val="1E1E1E"/>
                <w:sz w:val="18"/>
              </w:rPr>
              <w:t>0.7067 ± 0.0990</w:t>
            </w:r>
          </w:p>
        </w:tc>
      </w:tr>
      <w:tr>
        <w:trPr>
          <w:cantSplit/>
        </w:trPr>
        <w:tc>
          <w:tcPr>
            <w:tcW w:type="dxa" w:w="1584"/>
            <w:vAlign w:val="center"/>
            <w:tcMar>
              <w:top w:w="80" w:type="dxa"/>
              <w:bottom w:w="80" w:type="dxa"/>
              <w:left w:w="100" w:type="dxa"/>
              <w:right w:w="100" w:type="dxa"/>
            </w:tcMar>
            <w:tcBorders>
              <w:bottom w:val="single" w:sz="12" w:space="0" w:color="102C57"/>
            </w:tcBorders>
          </w:tcPr>
          <w:p>
            <w:pPr>
              <w:jc w:val="center"/>
            </w:pPr>
            <w:r>
              <w:rPr>
                <w:rFonts w:ascii="Calibri" w:hAnsi="Calibri"/>
                <w:b w:val="0"/>
                <w:i w:val="0"/>
                <w:color w:val="1E1E1E"/>
                <w:sz w:val="18"/>
              </w:rPr>
              <w:t>YOLOv8 Small</w:t>
            </w:r>
          </w:p>
        </w:tc>
        <w:tc>
          <w:tcPr>
            <w:tcW w:type="dxa" w:w="1440"/>
            <w:vAlign w:val="center"/>
            <w:tcMar>
              <w:top w:w="80" w:type="dxa"/>
              <w:bottom w:w="80" w:type="dxa"/>
              <w:left w:w="100" w:type="dxa"/>
              <w:right w:w="100" w:type="dxa"/>
            </w:tcMar>
            <w:tcBorders>
              <w:bottom w:val="single" w:sz="12" w:space="0" w:color="102C57"/>
            </w:tcBorders>
          </w:tcPr>
          <w:p>
            <w:pPr>
              <w:jc w:val="left"/>
            </w:pPr>
            <w:r>
              <w:rPr>
                <w:rFonts w:ascii="Calibri" w:hAnsi="Calibri"/>
                <w:b w:val="0"/>
                <w:i w:val="0"/>
                <w:color w:val="1E1E1E"/>
                <w:sz w:val="18"/>
              </w:rPr>
              <w:t>Capacity Scale</w:t>
            </w:r>
          </w:p>
        </w:tc>
        <w:tc>
          <w:tcPr>
            <w:tcW w:type="dxa" w:w="1008"/>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11.136</w:t>
            </w:r>
          </w:p>
        </w:tc>
        <w:tc>
          <w:tcPr>
            <w:tcW w:type="dxa" w:w="1008"/>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28.64</w:t>
            </w:r>
          </w:p>
        </w:tc>
        <w:tc>
          <w:tcPr>
            <w:tcW w:type="dxa" w:w="1152"/>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260.6</w:t>
            </w:r>
          </w:p>
        </w:tc>
        <w:tc>
          <w:tcPr>
            <w:tcW w:type="dxa" w:w="1296"/>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20.40</w:t>
            </w:r>
          </w:p>
        </w:tc>
        <w:tc>
          <w:tcPr>
            <w:tcW w:type="dxa" w:w="864"/>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49.0</w:t>
            </w:r>
          </w:p>
        </w:tc>
        <w:tc>
          <w:tcPr>
            <w:tcW w:type="dxa" w:w="1728"/>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0.7140 ± 0.0898</w:t>
            </w:r>
          </w:p>
        </w:tc>
        <w:tc>
          <w:tcPr>
            <w:tcW w:type="dxa" w:w="1584"/>
            <w:vAlign w:val="center"/>
            <w:tcMar>
              <w:top w:w="80" w:type="dxa"/>
              <w:bottom w:w="80" w:type="dxa"/>
              <w:left w:w="100" w:type="dxa"/>
              <w:right w:w="100" w:type="dxa"/>
            </w:tcMar>
            <w:tcBorders>
              <w:bottom w:val="single" w:sz="12" w:space="0" w:color="102C57"/>
            </w:tcBorders>
          </w:tcPr>
          <w:p>
            <w:pPr>
              <w:jc w:val="right"/>
            </w:pPr>
            <w:r>
              <w:rPr>
                <w:rFonts w:ascii="Calibri" w:hAnsi="Calibri"/>
                <w:b w:val="0"/>
                <w:i w:val="0"/>
                <w:color w:val="1E1E1E"/>
                <w:sz w:val="18"/>
              </w:rPr>
              <w:t>0.7069 ± 0.0753</w:t>
            </w:r>
          </w:p>
        </w:tc>
      </w:tr>
    </w:tbl>
    <w:p>
      <w:pPr>
        <w:spacing w:after="80"/>
      </w:pPr>
    </w:p>
    <w:p>
      <w:pPr>
        <w:spacing w:before="0" w:after="80" w:line="276" w:lineRule="auto"/>
      </w:pPr>
      <w:r>
        <w:rPr>
          <w:rFonts w:ascii="Calibri" w:hAnsi="Calibri"/>
          <w:b w:val="0"/>
          <w:i w:val="0"/>
          <w:color w:val="1E1E1E"/>
          <w:sz w:val="21"/>
        </w:rPr>
        <w:t>Key Architectural Findings:</w:t>
      </w:r>
    </w:p>
    <w:p>
      <w:pPr>
        <w:pStyle w:val="ListBullet"/>
        <w:spacing w:before="0" w:after="40" w:line="276" w:lineRule="auto"/>
      </w:pPr>
      <w:r>
        <w:rPr>
          <w:rFonts w:ascii="Calibri" w:hAnsi="Calibri"/>
          <w:b/>
          <w:i w:val="0"/>
          <w:color w:val="1E1E1E"/>
          <w:sz w:val="20"/>
        </w:rPr>
        <w:t xml:space="preserve">YOLOv8n Superiority: </w:t>
      </w:r>
      <w:r>
        <w:rPr>
          <w:rFonts w:ascii="Calibri" w:hAnsi="Calibri"/>
          <w:b w:val="0"/>
          <w:i w:val="0"/>
          <w:color w:val="1E1E1E"/>
          <w:sz w:val="20"/>
        </w:rPr>
        <w:t>YOLOv8 Nano outperforms YOLOv5n (+1.59% mAP50) and YOLO11n (+3.19% mAP50). YOLOv8's decoupled head effectively separates hyperbola classification from bounding-box regression.</w:t>
      </w:r>
    </w:p>
    <w:p>
      <w:pPr>
        <w:pStyle w:val="ListBullet"/>
        <w:spacing w:before="0" w:after="40" w:line="276" w:lineRule="auto"/>
      </w:pPr>
      <w:r>
        <w:rPr>
          <w:rFonts w:ascii="Calibri" w:hAnsi="Calibri"/>
          <w:b/>
          <w:i w:val="0"/>
          <w:color w:val="1E1E1E"/>
          <w:sz w:val="20"/>
        </w:rPr>
        <w:t xml:space="preserve">Negative Capacity Scaling Law: </w:t>
      </w:r>
      <w:r>
        <w:rPr>
          <w:rFonts w:ascii="Calibri" w:hAnsi="Calibri"/>
          <w:b w:val="0"/>
          <w:i w:val="0"/>
          <w:color w:val="1E1E1E"/>
          <w:sz w:val="20"/>
        </w:rPr>
        <w:t>Increasing model capacity by 3.5x to YOLOv8s (11.14M params) caused a severe -4.69% drop in mAP50 and doubled latency. Larger models overfit to high-frequency soil clutter and antenna ringing rather than learning generalized hyperbolic curvature. Lightweight models act as essential inductive regularizers for subsurface radar imagery.</w:t>
      </w:r>
    </w:p>
    <w:p>
      <w:pPr>
        <w:pStyle w:val="ListBullet"/>
        <w:spacing w:before="0" w:after="40" w:line="276" w:lineRule="auto"/>
      </w:pPr>
      <w:r>
        <w:rPr>
          <w:rFonts w:ascii="Calibri" w:hAnsi="Calibri"/>
          <w:b/>
          <w:i w:val="0"/>
          <w:color w:val="1E1E1E"/>
          <w:sz w:val="20"/>
        </w:rPr>
        <w:t xml:space="preserve">Real-Time Edge Feasibility: </w:t>
      </w:r>
      <w:r>
        <w:rPr>
          <w:rFonts w:ascii="Calibri" w:hAnsi="Calibri"/>
          <w:b w:val="0"/>
          <w:i w:val="0"/>
          <w:color w:val="1E1E1E"/>
          <w:sz w:val="20"/>
        </w:rPr>
        <w:t>Operating at 102.4 FPS (9.77 ms latency) on standard CPU hardware, YOLOv8n provides a 20x safety margin over human cart walking speeds (1-5 FPS), confirming feasibility for embedded low-power deployment without GPUs.</w:t>
      </w:r>
    </w:p>
    <w:p>
      <w:pPr>
        <w:keepNext/>
        <w:spacing w:before="280" w:after="80"/>
      </w:pPr>
      <w:r>
        <w:rPr>
          <w:rFonts w:ascii="Calibri" w:hAnsi="Calibri"/>
          <w:b/>
          <w:i w:val="0"/>
          <w:color w:val="102C57"/>
          <w:sz w:val="30"/>
        </w:rPr>
        <w:t>8. Research Paper Evidence &amp; Complete File Inventory</w:t>
      </w:r>
    </w:p>
    <w:p>
      <w:pPr>
        <w:spacing w:before="0" w:after="80" w:line="276" w:lineRule="auto"/>
      </w:pPr>
      <w:r>
        <w:rPr>
          <w:rFonts w:ascii="Calibri" w:hAnsi="Calibri"/>
          <w:b w:val="0"/>
          <w:i w:val="0"/>
          <w:color w:val="1E1E1E"/>
          <w:sz w:val="21"/>
        </w:rPr>
        <w:t>Every file required for manuscript writing, verification, and supplementary submission is cataloged below:</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3168"/>
            <w:vAlign w:val="center"/>
            <w:tcMar>
              <w:top w:w="80" w:type="dxa"/>
              <w:bottom w:w="80" w:type="dxa"/>
              <w:left w:w="100" w:type="dxa"/>
              <w:right w:w="100" w:type="dxa"/>
            </w:tcMar>
            <w:shd w:fill="F0F4F8"/>
            <w:tcBorders>
              <w:top w:val="single" w:sz="12" w:space="0" w:color="102C57"/>
              <w:bottom w:val="single" w:sz="8" w:space="0" w:color="102C57"/>
            </w:tcBorders>
          </w:tcPr>
          <w:p>
            <w:pPr>
              <w:jc w:val="left"/>
            </w:pPr>
            <w:r>
              <w:rPr>
                <w:rFonts w:ascii="Calibri" w:hAnsi="Calibri"/>
                <w:b/>
                <w:i w:val="0"/>
                <w:color w:val="102C57"/>
                <w:sz w:val="19"/>
              </w:rPr>
              <w:t>File Path</w:t>
            </w:r>
          </w:p>
        </w:tc>
        <w:tc>
          <w:tcPr>
            <w:tcW w:type="dxa" w:w="1152"/>
            <w:vAlign w:val="center"/>
            <w:tcMar>
              <w:top w:w="80" w:type="dxa"/>
              <w:bottom w:w="80" w:type="dxa"/>
              <w:left w:w="100" w:type="dxa"/>
              <w:right w:w="100" w:type="dxa"/>
            </w:tcMar>
            <w:shd w:fill="F0F4F8"/>
            <w:tcBorders>
              <w:top w:val="single" w:sz="12" w:space="0" w:color="102C57"/>
              <w:bottom w:val="single" w:sz="8" w:space="0" w:color="102C57"/>
            </w:tcBorders>
          </w:tcPr>
          <w:p>
            <w:pPr>
              <w:jc w:val="center"/>
            </w:pPr>
            <w:r>
              <w:rPr>
                <w:rFonts w:ascii="Calibri" w:hAnsi="Calibri"/>
                <w:b/>
                <w:i w:val="0"/>
                <w:color w:val="102C57"/>
                <w:sz w:val="19"/>
              </w:rPr>
              <w:t>Type</w:t>
            </w:r>
          </w:p>
        </w:tc>
        <w:tc>
          <w:tcPr>
            <w:tcW w:type="dxa" w:w="3744"/>
            <w:vAlign w:val="center"/>
            <w:tcMar>
              <w:top w:w="80" w:type="dxa"/>
              <w:bottom w:w="80" w:type="dxa"/>
              <w:left w:w="100" w:type="dxa"/>
              <w:right w:w="100" w:type="dxa"/>
            </w:tcMar>
            <w:shd w:fill="F0F4F8"/>
            <w:tcBorders>
              <w:top w:val="single" w:sz="12" w:space="0" w:color="102C57"/>
              <w:bottom w:val="single" w:sz="8" w:space="0" w:color="102C57"/>
            </w:tcBorders>
          </w:tcPr>
          <w:p>
            <w:pPr>
              <w:jc w:val="left"/>
            </w:pPr>
            <w:r>
              <w:rPr>
                <w:rFonts w:ascii="Calibri" w:hAnsi="Calibri"/>
                <w:b/>
                <w:i w:val="0"/>
                <w:color w:val="102C57"/>
                <w:sz w:val="19"/>
              </w:rPr>
              <w:t>Content &amp; Evidence</w:t>
            </w:r>
          </w:p>
        </w:tc>
        <w:tc>
          <w:tcPr>
            <w:tcW w:type="dxa" w:w="2016"/>
            <w:vAlign w:val="center"/>
            <w:tcMar>
              <w:top w:w="80" w:type="dxa"/>
              <w:bottom w:w="80" w:type="dxa"/>
              <w:left w:w="100" w:type="dxa"/>
              <w:right w:w="100" w:type="dxa"/>
            </w:tcMar>
            <w:shd w:fill="F0F4F8"/>
            <w:tcBorders>
              <w:top w:val="single" w:sz="12" w:space="0" w:color="102C57"/>
              <w:bottom w:val="single" w:sz="8" w:space="0" w:color="102C57"/>
            </w:tcBorders>
          </w:tcPr>
          <w:p>
            <w:pPr>
              <w:jc w:val="left"/>
            </w:pPr>
            <w:r>
              <w:rPr>
                <w:rFonts w:ascii="Calibri" w:hAnsi="Calibri"/>
                <w:b/>
                <w:i w:val="0"/>
                <w:color w:val="102C57"/>
                <w:sz w:val="19"/>
              </w:rPr>
              <w:t>Recommended Usage</w:t>
            </w:r>
          </w:p>
        </w:tc>
      </w:tr>
      <w:tr>
        <w:trPr>
          <w:cantSplit/>
        </w:trPr>
        <w:tc>
          <w:tcPr>
            <w:tcW w:type="dxa" w:w="3168"/>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results/model_comparison/comparison.csv</w:t>
            </w:r>
          </w:p>
        </w:tc>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Data (CSV)</w:t>
            </w:r>
          </w:p>
        </w:tc>
        <w:tc>
          <w:tcPr>
            <w:tcW w:type="dxa" w:w="3744"/>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Master benchmark across 4 models (mAP50, P, R, F1, Params, FPS)</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Main Paper (Table 2)</w:t>
            </w:r>
          </w:p>
        </w:tc>
      </w:tr>
      <w:tr>
        <w:trPr>
          <w:cantSplit/>
        </w:trPr>
        <w:tc>
          <w:tcPr>
            <w:tcW w:type="dxa" w:w="3168"/>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results/tables/comparison_table.tex</w:t>
            </w:r>
          </w:p>
        </w:tc>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LaTeX</w:t>
            </w:r>
          </w:p>
        </w:tc>
        <w:tc>
          <w:tcPr>
            <w:tcW w:type="dxa" w:w="3744"/>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Publication-ready booktabs code for multi-model benchmark</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Main Paper (LaTeX)</w:t>
            </w:r>
          </w:p>
        </w:tc>
      </w:tr>
      <w:tr>
        <w:trPr>
          <w:cantSplit/>
        </w:trPr>
        <w:tc>
          <w:tcPr>
            <w:tcW w:type="dxa" w:w="3168"/>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results/baseline_new_split/summary.csv</w:t>
            </w:r>
          </w:p>
        </w:tc>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Data (CSV)</w:t>
            </w:r>
          </w:p>
        </w:tc>
        <w:tc>
          <w:tcPr>
            <w:tcW w:type="dxa" w:w="3744"/>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5-fold honest baseline metrics (Mean: 0.7390 ± 0.0746)</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Main Paper (Table 1)</w:t>
            </w:r>
          </w:p>
        </w:tc>
      </w:tr>
      <w:tr>
        <w:trPr>
          <w:cantSplit/>
        </w:trPr>
        <w:tc>
          <w:tcPr>
            <w:tcW w:type="dxa" w:w="3168"/>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results/tables/baseline_table.tex</w:t>
            </w:r>
          </w:p>
        </w:tc>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LaTeX</w:t>
            </w:r>
          </w:p>
        </w:tc>
        <w:tc>
          <w:tcPr>
            <w:tcW w:type="dxa" w:w="3744"/>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Publication-ready booktabs code for honest baseline</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Main Paper (LaTeX)</w:t>
            </w:r>
          </w:p>
        </w:tc>
      </w:tr>
      <w:tr>
        <w:trPr>
          <w:cantSplit/>
        </w:trPr>
        <w:tc>
          <w:tcPr>
            <w:tcW w:type="dxa" w:w="3168"/>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results/model_comparison/latency_benchmark.json</w:t>
            </w:r>
          </w:p>
        </w:tc>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JSON</w:t>
            </w:r>
          </w:p>
        </w:tc>
        <w:tc>
          <w:tcPr>
            <w:tcW w:type="dxa" w:w="3744"/>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Empirical CPU latency distribution (102.4 FPS for YOLOv8n)</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Main Paper (Hardware Sec)</w:t>
            </w:r>
          </w:p>
        </w:tc>
      </w:tr>
      <w:tr>
        <w:trPr>
          <w:cantSplit/>
        </w:trPr>
        <w:tc>
          <w:tcPr>
            <w:tcW w:type="dxa" w:w="3168"/>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results/baseline_new_split/pooled_confusion_matrix.png</w:t>
            </w:r>
          </w:p>
        </w:tc>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Figure</w:t>
            </w:r>
          </w:p>
        </w:tc>
        <w:tc>
          <w:tcPr>
            <w:tcW w:type="dxa" w:w="3744"/>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Pooled out-of-fold confusion matrix across all 5 folds</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Main Paper (Figure 3)</w:t>
            </w:r>
          </w:p>
        </w:tc>
      </w:tr>
      <w:tr>
        <w:trPr>
          <w:cantSplit/>
        </w:trPr>
        <w:tc>
          <w:tcPr>
            <w:tcW w:type="dxa" w:w="3168"/>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results/baseline_new_split/fold_1/test_eval/BoxPR_curve.png</w:t>
            </w:r>
          </w:p>
        </w:tc>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Figure</w:t>
            </w:r>
          </w:p>
        </w:tc>
        <w:tc>
          <w:tcPr>
            <w:tcW w:type="dxa" w:w="3744"/>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Representative Precision-Recall curve on honest test fold</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Main Paper (Figure 4a)</w:t>
            </w:r>
          </w:p>
        </w:tc>
      </w:tr>
      <w:tr>
        <w:trPr>
          <w:cantSplit/>
        </w:trPr>
        <w:tc>
          <w:tcPr>
            <w:tcW w:type="dxa" w:w="3168"/>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results/split_new/augmented_training_grid_20.png</w:t>
            </w:r>
          </w:p>
        </w:tc>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Figure</w:t>
            </w:r>
          </w:p>
        </w:tc>
        <w:tc>
          <w:tcPr>
            <w:tcW w:type="dxa" w:w="3744"/>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Demonstration of 6 domain-specific physical augmentations</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Main Paper (Figure 2)</w:t>
            </w:r>
          </w:p>
        </w:tc>
      </w:tr>
      <w:tr>
        <w:trPr>
          <w:cantSplit/>
        </w:trPr>
        <w:tc>
          <w:tcPr>
            <w:tcW w:type="dxa" w:w="3168"/>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results/split_new/split_5fold.json</w:t>
            </w:r>
          </w:p>
        </w:tc>
        <w:tc>
          <w:tcPr>
            <w:tcW w:type="dxa" w:w="1152"/>
            <w:vAlign w:val="center"/>
            <w:tcMar>
              <w:top w:w="80" w:type="dxa"/>
              <w:bottom w:w="80" w:type="dxa"/>
              <w:left w:w="100" w:type="dxa"/>
              <w:right w:w="100" w:type="dxa"/>
            </w:tcMar>
            <w:tcBorders>
              <w:bottom w:val="single" w:sz="4" w:space="0" w:color="E0E0E0"/>
            </w:tcBorders>
          </w:tcPr>
          <w:p>
            <w:pPr>
              <w:jc w:val="center"/>
            </w:pPr>
            <w:r>
              <w:rPr>
                <w:rFonts w:ascii="Calibri" w:hAnsi="Calibri"/>
                <w:b w:val="0"/>
                <w:i w:val="0"/>
                <w:color w:val="1E1E1E"/>
                <w:sz w:val="18"/>
              </w:rPr>
              <w:t>JSON</w:t>
            </w:r>
          </w:p>
        </w:tc>
        <w:tc>
          <w:tcPr>
            <w:tcW w:type="dxa" w:w="3744"/>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Exact entity-to-fold mapping defining all 5 folds</w:t>
            </w:r>
          </w:p>
        </w:tc>
        <w:tc>
          <w:tcPr>
            <w:tcW w:type="dxa" w:w="2016"/>
            <w:vAlign w:val="center"/>
            <w:tcMar>
              <w:top w:w="80" w:type="dxa"/>
              <w:bottom w:w="80" w:type="dxa"/>
              <w:left w:w="100" w:type="dxa"/>
              <w:right w:w="100" w:type="dxa"/>
            </w:tcMar>
            <w:tcBorders>
              <w:bottom w:val="single" w:sz="4" w:space="0" w:color="E0E0E0"/>
            </w:tcBorders>
          </w:tcPr>
          <w:p>
            <w:pPr>
              <w:jc w:val="left"/>
            </w:pPr>
            <w:r>
              <w:rPr>
                <w:rFonts w:ascii="Calibri" w:hAnsi="Calibri"/>
                <w:b w:val="0"/>
                <w:i w:val="0"/>
                <w:color w:val="1E1E1E"/>
                <w:sz w:val="18"/>
              </w:rPr>
              <w:t>Supplementary Material</w:t>
            </w:r>
          </w:p>
        </w:tc>
      </w:tr>
      <w:tr>
        <w:trPr>
          <w:cantSplit/>
        </w:trPr>
        <w:tc>
          <w:tcPr>
            <w:tcW w:type="dxa" w:w="3168"/>
            <w:vAlign w:val="center"/>
            <w:tcMar>
              <w:top w:w="80" w:type="dxa"/>
              <w:bottom w:w="80" w:type="dxa"/>
              <w:left w:w="100" w:type="dxa"/>
              <w:right w:w="100" w:type="dxa"/>
            </w:tcMar>
            <w:tcBorders>
              <w:bottom w:val="single" w:sz="12" w:space="0" w:color="102C57"/>
            </w:tcBorders>
          </w:tcPr>
          <w:p>
            <w:pPr>
              <w:jc w:val="left"/>
            </w:pPr>
            <w:r>
              <w:rPr>
                <w:rFonts w:ascii="Calibri" w:hAnsi="Calibri"/>
                <w:b w:val="0"/>
                <w:i w:val="0"/>
                <w:color w:val="1E1E1E"/>
                <w:sz w:val="18"/>
              </w:rPr>
              <w:t>Ablation_Study_Report.md</w:t>
            </w:r>
          </w:p>
        </w:tc>
        <w:tc>
          <w:tcPr>
            <w:tcW w:type="dxa" w:w="1152"/>
            <w:vAlign w:val="center"/>
            <w:tcMar>
              <w:top w:w="80" w:type="dxa"/>
              <w:bottom w:w="80" w:type="dxa"/>
              <w:left w:w="100" w:type="dxa"/>
              <w:right w:w="100" w:type="dxa"/>
            </w:tcMar>
            <w:tcBorders>
              <w:bottom w:val="single" w:sz="12" w:space="0" w:color="102C57"/>
            </w:tcBorders>
          </w:tcPr>
          <w:p>
            <w:pPr>
              <w:jc w:val="center"/>
            </w:pPr>
            <w:r>
              <w:rPr>
                <w:rFonts w:ascii="Calibri" w:hAnsi="Calibri"/>
                <w:b w:val="0"/>
                <w:i w:val="0"/>
                <w:color w:val="1E1E1E"/>
                <w:sz w:val="18"/>
              </w:rPr>
              <w:t>Markdown</w:t>
            </w:r>
          </w:p>
        </w:tc>
        <w:tc>
          <w:tcPr>
            <w:tcW w:type="dxa" w:w="3744"/>
            <w:vAlign w:val="center"/>
            <w:tcMar>
              <w:top w:w="80" w:type="dxa"/>
              <w:bottom w:w="80" w:type="dxa"/>
              <w:left w:w="100" w:type="dxa"/>
              <w:right w:w="100" w:type="dxa"/>
            </w:tcMar>
            <w:tcBorders>
              <w:bottom w:val="single" w:sz="12" w:space="0" w:color="102C57"/>
            </w:tcBorders>
          </w:tcPr>
          <w:p>
            <w:pPr>
              <w:jc w:val="left"/>
            </w:pPr>
            <w:r>
              <w:rPr>
                <w:rFonts w:ascii="Calibri" w:hAnsi="Calibri"/>
                <w:b w:val="0"/>
                <w:i w:val="0"/>
                <w:color w:val="1E1E1E"/>
                <w:sz w:val="18"/>
              </w:rPr>
              <w:t>Full report on 7-run LOO ablation (Spectral Shift Rank 1)</w:t>
            </w:r>
          </w:p>
        </w:tc>
        <w:tc>
          <w:tcPr>
            <w:tcW w:type="dxa" w:w="2016"/>
            <w:vAlign w:val="center"/>
            <w:tcMar>
              <w:top w:w="80" w:type="dxa"/>
              <w:bottom w:w="80" w:type="dxa"/>
              <w:left w:w="100" w:type="dxa"/>
              <w:right w:w="100" w:type="dxa"/>
            </w:tcMar>
            <w:tcBorders>
              <w:bottom w:val="single" w:sz="12" w:space="0" w:color="102C57"/>
            </w:tcBorders>
          </w:tcPr>
          <w:p>
            <w:pPr>
              <w:jc w:val="left"/>
            </w:pPr>
            <w:r>
              <w:rPr>
                <w:rFonts w:ascii="Calibri" w:hAnsi="Calibri"/>
                <w:b w:val="0"/>
                <w:i w:val="0"/>
                <w:color w:val="1E1E1E"/>
                <w:sz w:val="18"/>
              </w:rPr>
              <w:t>Supplementary Material</w:t>
            </w:r>
          </w:p>
        </w:tc>
      </w:tr>
    </w:tbl>
    <w:p>
      <w:pPr>
        <w:spacing w:after="80"/>
      </w:pPr>
    </w:p>
    <w:p>
      <w:pPr>
        <w:keepNext/>
        <w:spacing w:before="280" w:after="80"/>
      </w:pPr>
      <w:r>
        <w:rPr>
          <w:rFonts w:ascii="Calibri" w:hAnsi="Calibri"/>
          <w:b/>
          <w:i w:val="0"/>
          <w:color w:val="102C57"/>
          <w:sz w:val="30"/>
        </w:rPr>
        <w:t>9. Reproducibility Protocol &amp; Conclusion</w:t>
      </w:r>
    </w:p>
    <w:p>
      <w:pPr>
        <w:spacing w:before="0" w:after="80" w:line="276" w:lineRule="auto"/>
      </w:pPr>
      <w:r>
        <w:rPr>
          <w:rFonts w:ascii="Calibri" w:hAnsi="Calibri"/>
          <w:b w:val="0"/>
          <w:i w:val="0"/>
          <w:color w:val="1E1E1E"/>
          <w:sz w:val="21"/>
        </w:rPr>
        <w:t>The repository is self-contained and reproducible. To reproduce the grouped split, run python experiments/01_split_source_level.py. To reproduce CPU baseline training, execute python experiments/01_train_5fold_baseline.py. To reproduce all 4 models on GPU, open experiments/kaggle_runner.ipynb on Kaggle with a Tesla T4 GPU accelerator. To benchmark CPU latency and throughput, execute python benchmark_latency.py.</w:t>
      </w:r>
    </w:p>
    <w:p>
      <w:pPr>
        <w:spacing w:before="0" w:after="80" w:line="276" w:lineRule="auto"/>
      </w:pPr>
      <w:r>
        <w:rPr>
          <w:rFonts w:ascii="Calibri" w:hAnsi="Calibri"/>
          <w:b w:val="0"/>
          <w:i w:val="0"/>
          <w:color w:val="1E1E1E"/>
          <w:sz w:val="21"/>
        </w:rPr>
        <w:t>Conclusion: By exposing spatial data leakage, formulating source-level grouped 5-fold cross-validation, and benchmarking across architectures, this project establishes the true benchmark for deep learning-based GPR buried object detection. YOLOv8 Nano emerges as the decisively superior architecture, balancing high accuracy (0.7609 mAP50) with exceptional CPU real-time throughput (102.4 FPS), ready for direct integration into commercial mobile GPR hardware.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