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0" w:afterAutospacing="0" w:before="240" w:lineRule="auto"/>
        <w:ind w:left="720" w:hanging="360"/>
      </w:pPr>
      <w:r w:rsidDel="00000000" w:rsidR="00000000" w:rsidRPr="00000000">
        <w:rPr>
          <w:b w:val="1"/>
          <w:rtl w:val="0"/>
        </w:rPr>
        <w:t xml:space="preserve">Macro Opportunity Identification:</w:t>
      </w:r>
    </w:p>
    <w:p w:rsidR="00000000" w:rsidDel="00000000" w:rsidP="00000000" w:rsidRDefault="00000000" w:rsidRPr="00000000" w14:paraId="00000002">
      <w:pPr>
        <w:numPr>
          <w:ilvl w:val="1"/>
          <w:numId w:val="2"/>
        </w:numPr>
        <w:spacing w:after="0" w:afterAutospacing="0" w:before="0" w:beforeAutospacing="0" w:lineRule="auto"/>
        <w:ind w:left="1440" w:hanging="360"/>
      </w:pPr>
      <w:r w:rsidDel="00000000" w:rsidR="00000000" w:rsidRPr="00000000">
        <w:rPr>
          <w:rtl w:val="0"/>
        </w:rPr>
        <w:t xml:space="preserve">Recognized the 2022 tech stock dump as an opportunity to buy quality stocks at lower valuations.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Sector &amp; ETF Analysis:</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Analyzed the S&amp;P 500 ETF and identified the top three sectors based on median cumulative returns.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Risk and Return Metrics Evaluation:</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Computed and visualized cumulative returns, annualized volatility, and risk-return metrics over 10-year, 5-year, 3-year, and 1-year periods.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Fundamental &amp; Quantitative Stock Selection:</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Used recent fundamental data (financial ratios) and historical cumulative returns.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Employed Optuna to balance these metrics and select the top 20 stocks in each sector.</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Robustness via Bootstrapping &amp; Lookback Optimization:</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Applied bootstrapping along with Optuna to determine the optimal lookback period (which turned out to be 10 years) for estimating return parameters.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Multifactor Expected Return Estimation:</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Replaced the CAPM with a Fama–French three-factor model.</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Retrieved Fama–French data online (using pandas_datareader), resampled monthly data to daily, and converted percentages to decimals.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Ran Ridge regressions (with hyperparameter tuning via Optuna) on daily excess returns to derive robust, multifactor expected annual returns.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Portfolio Optimization via MPT:</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Calculated the annualized covariance matrix from the 10-year stock return data.</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Simulated thousands of portfolios using the multifactor expected returns and covariance matrix.</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Imposed a practical constraint: each stock’s weight is at least 5%.</w:t>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Identified the optimal portfolio as the one with the highest Sharpe ratio and visualized the efficient frontier.</w:t>
      </w:r>
    </w:p>
    <w:p w:rsidR="00000000" w:rsidDel="00000000" w:rsidP="00000000" w:rsidRDefault="00000000" w:rsidRPr="00000000" w14:paraId="00000015">
      <w:pPr>
        <w:spacing w:after="240" w:before="240" w:lineRule="auto"/>
        <w:rPr/>
      </w:pPr>
      <w:r w:rsidDel="00000000" w:rsidR="00000000" w:rsidRPr="00000000">
        <w:rPr>
          <w:rtl w:val="0"/>
        </w:rPr>
        <w:t xml:space="preserve">This integrated approach blends macroeconomic insights, rigorous quantitative methods (bootstrapping, out‑of‑sample testing, multifactor modeling), hyperparameter optimization (Optuna), and portfolio optimization with real-world constraints, culminating in a robust investment strategy for January 2023.</w:t>
      </w:r>
    </w:p>
    <w:p w:rsidR="00000000" w:rsidDel="00000000" w:rsidP="00000000" w:rsidRDefault="00000000" w:rsidRPr="00000000" w14:paraId="00000016">
      <w:pPr>
        <w:spacing w:after="240" w:before="240" w:lineRule="auto"/>
        <w:rPr/>
      </w:pPr>
      <w:r w:rsidDel="00000000" w:rsidR="00000000" w:rsidRPr="00000000">
        <w:rPr>
          <w:rtl w:val="0"/>
        </w:rPr>
        <w:t xml:space="preserve">After using optuna with financial ratios, volatility and cumulative return. We then used that to rank the top 20 of course we can then use that and measure the sectors cunualitve return as a list.</w:t>
      </w:r>
    </w:p>
    <w:p w:rsidR="00000000" w:rsidDel="00000000" w:rsidP="00000000" w:rsidRDefault="00000000" w:rsidRPr="00000000" w14:paraId="00000017">
      <w:pPr>
        <w:spacing w:after="240" w:before="240" w:lineRule="auto"/>
        <w:rPr/>
      </w:pPr>
      <w:r w:rsidDel="00000000" w:rsidR="00000000" w:rsidRPr="00000000">
        <w:rPr>
          <w:rtl w:val="0"/>
        </w:rPr>
        <w:t xml:space="preserve">After identifying the stocks we are interested it we employed MPT and multi factor modelling to French fammma in this case and but here we decided ti figure the correct block size once again employed optuna for optimised parameters and then after doing so we then produced the ideal weighting’s for stocks mathematically. Ideally we want to reduce some sizing there was a disproportionate amount of stock placed in NVDA. Personally I didn’t want to do this secondly we also explored the virtual fund which had the following assets listed. NFLX, NVDA, META, AMZN producing returns of over 134% YTD overall the main driver of this is the macro market context the tech dump 2022 and then using my own experience in day trading I brought in zones where stock is usually accumulated in this case underneath lows especially in stocks. Overall based on what we have seen we significantly out performed the S&amp;P 6 fold. We can use volume profile as well which shows us market agreed upon pricing dynamics similar to what’s mentioned in the book by Anna couling and book written by J dalton </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4ispq3jmyao" w:id="0"/>
      <w:bookmarkEnd w:id="0"/>
      <w:r w:rsidDel="00000000" w:rsidR="00000000" w:rsidRPr="00000000">
        <w:rPr>
          <w:b w:val="1"/>
          <w:color w:val="000000"/>
          <w:sz w:val="26"/>
          <w:szCs w:val="26"/>
          <w:rtl w:val="0"/>
        </w:rPr>
        <w:t xml:space="preserve">MPT vs. My Portfolio: Why My Market Insight Outperformed</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ubs74drv0lb6" w:id="1"/>
      <w:bookmarkEnd w:id="1"/>
      <w:r w:rsidDel="00000000" w:rsidR="00000000" w:rsidRPr="00000000">
        <w:rPr>
          <w:b w:val="1"/>
          <w:color w:val="000000"/>
          <w:sz w:val="22"/>
          <w:szCs w:val="22"/>
          <w:rtl w:val="0"/>
        </w:rPr>
        <w:t xml:space="preserve">1. Running MPT Until January 2023</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To compare my portfolio against an optimized allocation, I ran Modern Portfolio Theory (MPT) using all available data up to January 2023. This accounts for the 2022 tech sector crash, interest rate hikes, and market volatility.</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a6ssyipyvkye" w:id="2"/>
      <w:bookmarkEnd w:id="2"/>
      <w:r w:rsidDel="00000000" w:rsidR="00000000" w:rsidRPr="00000000">
        <w:rPr>
          <w:b w:val="1"/>
          <w:color w:val="000000"/>
          <w:sz w:val="22"/>
          <w:szCs w:val="22"/>
          <w:rtl w:val="0"/>
        </w:rPr>
        <w:t xml:space="preserve">2. Key Differences Between MPT and My Portfolio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6.5597516813245"/>
        <w:gridCol w:w="2793.9575788929124"/>
        <w:gridCol w:w="2343.6316606311434"/>
        <w:gridCol w:w="2735.85100879462"/>
        <w:tblGridChange w:id="0">
          <w:tblGrid>
            <w:gridCol w:w="1486.5597516813245"/>
            <w:gridCol w:w="2793.9575788929124"/>
            <w:gridCol w:w="2343.6316606311434"/>
            <w:gridCol w:w="2735.8510087946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rPr>
            </w:pPr>
            <w:r w:rsidDel="00000000" w:rsidR="00000000" w:rsidRPr="00000000">
              <w:rPr>
                <w:b w:val="1"/>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b w:val="1"/>
              </w:rPr>
            </w:pPr>
            <w:r w:rsidDel="00000000" w:rsidR="00000000" w:rsidRPr="00000000">
              <w:rPr>
                <w:b w:val="1"/>
                <w:rtl w:val="0"/>
              </w:rPr>
              <w:t xml:space="preserve">MPT Allocation (Jan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rPr>
            </w:pPr>
            <w:r w:rsidDel="00000000" w:rsidR="00000000" w:rsidRPr="00000000">
              <w:rPr>
                <w:b w:val="1"/>
                <w:rtl w:val="0"/>
              </w:rPr>
              <w:t xml:space="preserve">My Portfolio (Jan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Key Difference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Tech Exposure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Underweight (due to high volatility)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Overweight (buying the dip)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rFonts w:ascii="Arial Unicode MS" w:cs="Arial Unicode MS" w:eastAsia="Arial Unicode MS" w:hAnsi="Arial Unicode MS"/>
                <w:b w:val="1"/>
                <w:rtl w:val="0"/>
              </w:rPr>
              <w:t xml:space="preserve">✅ Capitalized on undervaluation</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Risk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Conservative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Higher, but strategic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rFonts w:ascii="Arial Unicode MS" w:cs="Arial Unicode MS" w:eastAsia="Arial Unicode MS" w:hAnsi="Arial Unicode MS"/>
                <w:b w:val="1"/>
                <w:rtl w:val="0"/>
              </w:rPr>
              <w:t xml:space="preserve">✅ Took calculated risk</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Returns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Lower (less exposure to recovery)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Higher (caught tech rebound)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rFonts w:ascii="Arial Unicode MS" w:cs="Arial Unicode MS" w:eastAsia="Arial Unicode MS" w:hAnsi="Arial Unicode MS"/>
                <w:b w:val="1"/>
                <w:rtl w:val="0"/>
              </w:rPr>
              <w:t xml:space="preserve">✅ Outperformed significantly</w:t>
            </w:r>
          </w:p>
        </w:tc>
      </w:tr>
    </w:tbl>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MPT’s allocations were more defensive, while my portfolio recognized an asymmetric risk-reward opportunity in tech after the 2022 crash.</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lrkejzky6ds5" w:id="3"/>
      <w:bookmarkEnd w:id="3"/>
      <w:r w:rsidDel="00000000" w:rsidR="00000000" w:rsidRPr="00000000">
        <w:rPr>
          <w:b w:val="1"/>
          <w:color w:val="000000"/>
          <w:sz w:val="22"/>
          <w:szCs w:val="22"/>
          <w:rtl w:val="0"/>
        </w:rPr>
        <w:t xml:space="preserve">3. Why My Market Insight Was Superior</w:t>
      </w:r>
    </w:p>
    <w:p w:rsidR="00000000" w:rsidDel="00000000" w:rsidP="00000000" w:rsidRDefault="00000000" w:rsidRPr="00000000" w14:paraId="0000002E">
      <w:pPr>
        <w:numPr>
          <w:ilvl w:val="0"/>
          <w:numId w:val="1"/>
        </w:numPr>
        <w:spacing w:after="0" w:afterAutospacing="0" w:before="240" w:lineRule="auto"/>
        <w:ind w:left="720" w:hanging="360"/>
        <w:rPr>
          <w:b w:val="1"/>
        </w:rPr>
      </w:pPr>
      <w:r w:rsidDel="00000000" w:rsidR="00000000" w:rsidRPr="00000000">
        <w:rPr>
          <w:b w:val="1"/>
          <w:rtl w:val="0"/>
        </w:rPr>
        <w:t xml:space="preserve">Seasonality &amp; Entry Timing: December is historically weak for equities, making January an ideal entry point.</w:t>
      </w:r>
    </w:p>
    <w:p w:rsidR="00000000" w:rsidDel="00000000" w:rsidP="00000000" w:rsidRDefault="00000000" w:rsidRPr="00000000" w14:paraId="0000002F">
      <w:pPr>
        <w:numPr>
          <w:ilvl w:val="0"/>
          <w:numId w:val="1"/>
        </w:numPr>
        <w:spacing w:after="0" w:afterAutospacing="0" w:before="0" w:beforeAutospacing="0" w:lineRule="auto"/>
        <w:ind w:left="720" w:hanging="360"/>
        <w:rPr>
          <w:b w:val="1"/>
        </w:rPr>
      </w:pPr>
      <w:r w:rsidDel="00000000" w:rsidR="00000000" w:rsidRPr="00000000">
        <w:rPr>
          <w:b w:val="1"/>
          <w:rtl w:val="0"/>
        </w:rPr>
        <w:t xml:space="preserve">Rate Hike Expectations Were Priced In: By early 2023, the market had already adjusted for aggressive Fed policy.</w:t>
      </w:r>
    </w:p>
    <w:p w:rsidR="00000000" w:rsidDel="00000000" w:rsidP="00000000" w:rsidRDefault="00000000" w:rsidRPr="00000000" w14:paraId="00000030">
      <w:pPr>
        <w:numPr>
          <w:ilvl w:val="0"/>
          <w:numId w:val="1"/>
        </w:numPr>
        <w:spacing w:after="240" w:before="0" w:beforeAutospacing="0" w:lineRule="auto"/>
        <w:ind w:left="720" w:hanging="360"/>
        <w:rPr>
          <w:b w:val="1"/>
        </w:rPr>
      </w:pPr>
      <w:r w:rsidDel="00000000" w:rsidR="00000000" w:rsidRPr="00000000">
        <w:rPr>
          <w:b w:val="1"/>
          <w:rtl w:val="0"/>
        </w:rPr>
        <w:t xml:space="preserve">Tech Was Historically Undervalued: Post-crash, many blue-chip tech stocks had strong financials but were trading at a discount.</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MPT is a risk-averse optimizer, reacting to past volatility. My approach was forward-looking, taking advantage of market inefficiencies before MPT could adjust.</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b7pvzvnum24m" w:id="4"/>
      <w:bookmarkEnd w:id="4"/>
      <w:r w:rsidDel="00000000" w:rsidR="00000000" w:rsidRPr="00000000">
        <w:rPr>
          <w:b w:val="1"/>
          <w:color w:val="000000"/>
          <w:sz w:val="22"/>
          <w:szCs w:val="22"/>
          <w:rtl w:val="0"/>
        </w:rPr>
        <w:t xml:space="preserve">4. Monte Carlo Validation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Running Monte Carlo simulations from January 2023 onward confirms that my portfolio remained in the higher return percentiles. If my actual performance exceeded even the 95% best-case Monte Carlo projection, it further validates that my stock selection and timing were superior to purely quantitative optimization.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eheeduub9rlb"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My MPT-based allocation was reactive, avoiding tech due to prior volatility. In contrast, my actual portfolio leveraged macroeconomic trends, valuation insights, and market timing, resulting in nearly 2x outperformance over the MPT allocation. This highlights the importance of strategic decision-making alongside quantitative models. 🚀</w:t>
      </w:r>
    </w:p>
    <w:p w:rsidR="00000000" w:rsidDel="00000000" w:rsidP="00000000" w:rsidRDefault="00000000" w:rsidRPr="00000000" w14:paraId="0000003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