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172A"/>
          <w:sz w:val="36"/>
        </w:rPr>
        <w:t>Agentic AI Customer Churn Prediction &amp; Retention System</w:t>
      </w:r>
    </w:p>
    <w:p>
      <w:pPr>
        <w:spacing w:after="120"/>
      </w:pPr>
      <w:r>
        <w:rPr>
          <w:rFonts w:ascii="Calibri" w:hAnsi="Calibri"/>
          <w:b/>
          <w:color w:val="2563EB"/>
          <w:sz w:val="22"/>
        </w:rPr>
        <w:t>End-to-End Closed-Loop Predictive ML &amp; Autonomous Agent Framework</w:t>
      </w:r>
    </w:p>
    <w:tbl>
      <w:tblPr>
        <w:tblW w:type="auto" w:w="0"/>
        <w:jc w:val="center"/>
        <w:tblLook w:firstColumn="1" w:firstRow="1" w:lastColumn="0" w:lastRow="0" w:noHBand="0" w:noVBand="1" w:val="04A0"/>
      </w:tblPr>
      <w:tblGrid>
        <w:gridCol w:w="3504"/>
        <w:gridCol w:w="3504"/>
        <w:gridCol w:w="3504"/>
      </w:tblGrid>
      <w:tr>
        <w:tc>
          <w:tcPr>
            <w:tcW w:type="dxa" w:w="3312"/>
            <w:shd w:fill="F1F5F9"/>
          </w:tcPr>
          <w:p>
            <w:pPr>
              <w:spacing w:before="80" w:after="80"/>
              <w:jc w:val="center"/>
            </w:pPr>
            <w:r>
              <w:rPr>
                <w:b/>
                <w:color w:val="0F172A"/>
                <w:sz w:val="18"/>
              </w:rPr>
              <w:t>Project Type:</w:t>
            </w:r>
            <w:r>
              <w:rPr>
                <w:color w:val="1E293B"/>
                <w:sz w:val="18"/>
              </w:rPr>
              <w:t xml:space="preserve"> Final Capstone</w:t>
            </w:r>
          </w:p>
        </w:tc>
        <w:tc>
          <w:tcPr>
            <w:tcW w:type="dxa" w:w="3312"/>
            <w:shd w:fill="F1F5F9"/>
          </w:tcPr>
          <w:p>
            <w:pPr>
              <w:spacing w:before="80" w:after="80"/>
              <w:jc w:val="center"/>
            </w:pPr>
            <w:r>
              <w:rPr>
                <w:b/>
                <w:color w:val="0F172A"/>
                <w:sz w:val="18"/>
              </w:rPr>
              <w:t>Organization:</w:t>
            </w:r>
            <w:r>
              <w:rPr>
                <w:color w:val="1E293B"/>
                <w:sz w:val="18"/>
              </w:rPr>
              <w:t xml:space="preserve"> Elevate Labs</w:t>
            </w:r>
          </w:p>
        </w:tc>
        <w:tc>
          <w:tcPr>
            <w:tcW w:type="dxa" w:w="3312"/>
            <w:shd w:fill="F1F5F9"/>
          </w:tcPr>
          <w:p>
            <w:pPr>
              <w:spacing w:before="80" w:after="80"/>
              <w:jc w:val="center"/>
            </w:pPr>
            <w:r>
              <w:rPr>
                <w:b/>
                <w:color w:val="0F172A"/>
                <w:sz w:val="18"/>
              </w:rPr>
              <w:t>Implementation:</w:t>
            </w:r>
            <w:r>
              <w:rPr>
                <w:color w:val="1E293B"/>
                <w:sz w:val="18"/>
              </w:rPr>
              <w:t xml:space="preserve"> 18-Day Build Cycle</w:t>
            </w:r>
          </w:p>
        </w:tc>
      </w:tr>
    </w:tbl>
    <w:p>
      <w:pPr>
        <w:spacing w:after="40"/>
      </w:pPr>
    </w:p>
    <w:p>
      <w:pPr>
        <w:keepNext/>
        <w:spacing w:before="240" w:after="80"/>
      </w:pPr>
      <w:r>
        <w:rPr>
          <w:rFonts w:ascii="Calibri" w:hAnsi="Calibri"/>
          <w:b/>
          <w:color w:val="0F172A"/>
          <w:sz w:val="24"/>
        </w:rPr>
        <w:t>1. ABSTRACT</w:t>
      </w:r>
    </w:p>
    <w:p>
      <w:pPr>
        <w:spacing w:after="120" w:line="276" w:lineRule="auto"/>
      </w:pPr>
      <w:r>
        <w:t>Customer churn presents a major revenue challenge for modern subscription services. Traditional Machine Learning (ML) solutions focus solely on passive prediction, identifying high-risk accounts without executing automated intervention strategies. This project presents an integrated Agentic AI Customer Churn Prediction &amp; Retention System that bridges the gap between predictive risk scoring and real-world execution. Combining a Scikit-learn Random Forest Classifier with a CrewAI autonomous agent powered by Groq's openai/gpt-oss-120b LLM, the framework automatically filters targeted accounts (&gt;0.70 churn risk), generates Pydantic-validated personalized retention strategies, and simulates customer response outcomes in a closed-loop persistence cycle.</w:t>
      </w:r>
    </w:p>
    <w:tbl>
      <w:tblPr>
        <w:tblW w:type="auto" w:w="0"/>
        <w:jc w:val="center"/>
        <w:tblLook w:firstColumn="1" w:firstRow="1" w:lastColumn="0" w:lastRow="0" w:noHBand="0" w:noVBand="1" w:val="04A0"/>
      </w:tblPr>
      <w:tblGrid>
        <w:gridCol w:w="2628"/>
        <w:gridCol w:w="2628"/>
        <w:gridCol w:w="2628"/>
        <w:gridCol w:w="2628"/>
      </w:tblGrid>
      <w:tr>
        <w:tc>
          <w:tcPr>
            <w:tcW w:type="dxa" w:w="2628"/>
            <w:shd w:fill="EFF6FF"/>
          </w:tcPr>
          <w:p>
            <w:pPr>
              <w:spacing w:before="80" w:after="80"/>
              <w:jc w:val="center"/>
            </w:pPr>
            <w:r>
              <w:rPr>
                <w:b/>
                <w:color w:val="2563EB"/>
                <w:sz w:val="26"/>
              </w:rPr>
              <w:t>7,043</w:t>
              <w:br/>
            </w:r>
            <w:r>
              <w:rPr>
                <w:color w:val="475569"/>
                <w:sz w:val="16"/>
              </w:rPr>
              <w:t>Records Analyzed</w:t>
            </w:r>
          </w:p>
        </w:tc>
        <w:tc>
          <w:tcPr>
            <w:tcW w:type="dxa" w:w="2628"/>
            <w:shd w:fill="EFF6FF"/>
          </w:tcPr>
          <w:p>
            <w:pPr>
              <w:spacing w:before="80" w:after="80"/>
              <w:jc w:val="center"/>
            </w:pPr>
            <w:r>
              <w:rPr>
                <w:b/>
                <w:color w:val="2563EB"/>
                <w:sz w:val="26"/>
              </w:rPr>
              <w:t>1,836</w:t>
              <w:br/>
            </w:r>
            <w:r>
              <w:rPr>
                <w:color w:val="475569"/>
                <w:sz w:val="16"/>
              </w:rPr>
              <w:t>High-Risk Accounts</w:t>
            </w:r>
          </w:p>
        </w:tc>
        <w:tc>
          <w:tcPr>
            <w:tcW w:type="dxa" w:w="2628"/>
            <w:shd w:fill="EFF6FF"/>
          </w:tcPr>
          <w:p>
            <w:pPr>
              <w:spacing w:before="80" w:after="80"/>
              <w:jc w:val="center"/>
            </w:pPr>
            <w:r>
              <w:rPr>
                <w:b/>
                <w:color w:val="2563EB"/>
                <w:sz w:val="26"/>
              </w:rPr>
              <w:t>100%</w:t>
              <w:br/>
            </w:r>
            <w:r>
              <w:rPr>
                <w:color w:val="475569"/>
                <w:sz w:val="16"/>
              </w:rPr>
              <w:t>JSON Schema Compliance</w:t>
            </w:r>
          </w:p>
        </w:tc>
        <w:tc>
          <w:tcPr>
            <w:tcW w:type="dxa" w:w="2628"/>
            <w:shd w:fill="EFF6FF"/>
          </w:tcPr>
          <w:p>
            <w:pPr>
              <w:spacing w:before="80" w:after="80"/>
              <w:jc w:val="center"/>
            </w:pPr>
            <w:r>
              <w:rPr>
                <w:b/>
                <w:color w:val="2563EB"/>
                <w:sz w:val="26"/>
              </w:rPr>
              <w:t>80.6%</w:t>
              <w:br/>
            </w:r>
            <w:r>
              <w:rPr>
                <w:color w:val="475569"/>
                <w:sz w:val="16"/>
              </w:rPr>
              <w:t>Simulated Retention Rate</w:t>
            </w:r>
          </w:p>
        </w:tc>
      </w:tr>
    </w:tbl>
    <w:p>
      <w:pPr>
        <w:keepNext/>
        <w:spacing w:before="240" w:after="80"/>
      </w:pPr>
      <w:r>
        <w:rPr>
          <w:rFonts w:ascii="Calibri" w:hAnsi="Calibri"/>
          <w:b/>
          <w:color w:val="0F172A"/>
          <w:sz w:val="24"/>
        </w:rPr>
        <w:t>2. INTRODUCTION</w:t>
      </w:r>
    </w:p>
    <w:p>
      <w:pPr>
        <w:spacing w:after="80" w:line="276" w:lineRule="auto"/>
      </w:pPr>
      <w:r>
        <w:t>In subscription businesses, acquiring new customers costs up to 5 times more than retaining existing ones. While standard predictive modeling effectively surfaces customer churn probabilities, human teams often struggle to scale personalized, timely outreach across thousands of flag-worthy accounts.</w:t>
      </w:r>
    </w:p>
    <w:p>
      <w:pPr>
        <w:spacing w:after="120" w:line="276" w:lineRule="auto"/>
      </w:pPr>
      <w:r>
        <w:t>Developed as the capstone project for Elevate Labs, this project demonstrates an Agentic AI paradigm shift. Rather than relying on static dashboards, the architecture deploys an autonomous retention agent that acts as an active operator—analyzing contract attributes, tenure friction, and monthly charges to construct tailored incentives and outreach communications automatically.</w:t>
      </w:r>
    </w:p>
    <w:p>
      <w:pPr>
        <w:keepNext/>
        <w:spacing w:before="240" w:after="80"/>
      </w:pPr>
      <w:r>
        <w:rPr>
          <w:rFonts w:ascii="Calibri" w:hAnsi="Calibri"/>
          <w:b/>
          <w:color w:val="0F172A"/>
          <w:sz w:val="24"/>
        </w:rPr>
        <w:t>3. TOOLS &amp; TECHNOLOGIES USED</w:t>
      </w:r>
    </w:p>
    <w:p>
      <w:pPr>
        <w:spacing w:after="60"/>
        <w:ind w:left="216"/>
      </w:pPr>
      <w:r>
        <w:rPr>
          <w:b/>
          <w:color w:val="0F172A"/>
        </w:rPr>
        <w:t>• Machine Learning &amp; Data Processing:</w:t>
      </w:r>
      <w:r>
        <w:rPr>
          <w:color w:val="1E293B"/>
        </w:rPr>
        <w:t xml:space="preserve"> Python 3.13, Scikit-learn (Random Forest Classifier), Pandas, NumPy, Matplotlib, Seaborn for core statistical modeling, feature engineering, and predictive risk scoring.</w:t>
      </w:r>
    </w:p>
    <w:p>
      <w:pPr>
        <w:spacing w:after="60"/>
        <w:ind w:left="216"/>
      </w:pPr>
      <w:r>
        <w:rPr>
          <w:b/>
          <w:color w:val="0F172A"/>
        </w:rPr>
        <w:t>• Agentic Framework &amp; LLM Engine:</w:t>
      </w:r>
      <w:r>
        <w:rPr>
          <w:color w:val="1E293B"/>
        </w:rPr>
        <w:t xml:space="preserve"> CrewAI framework for multi-step agent workflow coordination, Groq API (openai/gpt-oss-120b) for high-throughput inference, and a custom LiteLLM patch.</w:t>
      </w:r>
    </w:p>
    <w:p>
      <w:pPr>
        <w:spacing w:after="60"/>
        <w:ind w:left="216"/>
      </w:pPr>
      <w:r>
        <w:rPr>
          <w:b/>
          <w:color w:val="0F172A"/>
        </w:rPr>
        <w:t>• Data Validation &amp; Enforcement:</w:t>
      </w:r>
      <w:r>
        <w:rPr>
          <w:color w:val="1E293B"/>
        </w:rPr>
        <w:t xml:space="preserve"> Pydantic v2 schemas enforcing strict JSON payload structures for churn drivers, tailored incentives, and draft communications.</w:t>
      </w:r>
    </w:p>
    <w:p>
      <w:pPr>
        <w:spacing w:after="60"/>
        <w:ind w:left="216"/>
      </w:pPr>
      <w:r>
        <w:rPr>
          <w:b/>
          <w:color w:val="0F172A"/>
        </w:rPr>
        <w:t>• User Interface &amp; Web Application:</w:t>
      </w:r>
      <w:r>
        <w:rPr>
          <w:color w:val="1E293B"/>
        </w:rPr>
        <w:t xml:space="preserve"> Streamlit dual-view interactive dashboard featuring Portfolio Risk Analytics and 1-click Agent Intervention plan generation.</w:t>
      </w:r>
    </w:p>
    <w:p>
      <w:r>
        <w:br w:type="page"/>
      </w:r>
    </w:p>
    <w:p>
      <w:pPr>
        <w:keepNext/>
        <w:spacing w:before="240" w:after="80"/>
      </w:pPr>
      <w:r>
        <w:rPr>
          <w:rFonts w:ascii="Calibri" w:hAnsi="Calibri"/>
          <w:b/>
          <w:color w:val="0F172A"/>
          <w:sz w:val="24"/>
        </w:rPr>
        <w:t>4. STEPS INVOLVED IN BUILDING THE PROJECT</w:t>
      </w:r>
    </w:p>
    <w:p>
      <w:pPr>
        <w:keepNext/>
        <w:spacing w:after="40"/>
      </w:pPr>
      <w:r>
        <w:rPr>
          <w:b/>
          <w:color w:val="2563EB"/>
          <w:sz w:val="21"/>
        </w:rPr>
        <w:t>Step 1: Data Ingestion &amp; Predictive Modeling (Days 1–4)</w:t>
      </w:r>
    </w:p>
    <w:p>
      <w:pPr>
        <w:spacing w:after="120" w:line="276" w:lineRule="auto"/>
      </w:pPr>
      <w:r>
        <w:t>Ingested and preprocessed the Telco Customer Churn dataset (7,043 customer records). Engineered features including contract type, tenure, and payment friction. Trained a Scikit-learn Random Forest Classifier and implemented a probability filter isolating accounts with Churn_Probability &gt; 0.70 (identifying 1,836 target profiles).</w:t>
      </w:r>
    </w:p>
    <w:p>
      <w:pPr>
        <w:keepNext/>
        <w:spacing w:after="40"/>
      </w:pPr>
      <w:r>
        <w:rPr>
          <w:b/>
          <w:color w:val="2563EB"/>
          <w:sz w:val="21"/>
        </w:rPr>
        <w:t>Step 2: Agent Workflow &amp; Schema Definition (Days 5–9)</w:t>
      </w:r>
    </w:p>
    <w:p>
      <w:pPr>
        <w:spacing w:after="120" w:line="276" w:lineRule="auto"/>
      </w:pPr>
      <w:r>
        <w:t>Designed a specialized CrewAI Customer Retention Agent powered by Groq's high-throughput LLM gateway. Enforced strict Pydantic JSON schema output structures (RetentionPlan) covering primary_churn_driver, tailored_incentive, and outreach_message.</w:t>
      </w:r>
    </w:p>
    <w:p>
      <w:pPr>
        <w:keepNext/>
        <w:spacing w:after="40"/>
      </w:pPr>
      <w:r>
        <w:rPr>
          <w:b/>
          <w:color w:val="2563EB"/>
          <w:sz w:val="21"/>
        </w:rPr>
        <w:t>Step 3: Closed-Loop Automation &amp; Response Simulation (Days 10–12)</w:t>
      </w:r>
    </w:p>
    <w:p>
      <w:pPr>
        <w:spacing w:after="120" w:line="276" w:lineRule="auto"/>
      </w:pPr>
      <w:r>
        <w:t>Constructed an automated batch runner capable of processing lists of high-risk customers. Built a stochastic simulation module modeling customer acceptance behavior (~80% conversion baseline for tailored offers), persisting conversion states directly back to churn_predictions_closed_loop.csv.</w:t>
      </w:r>
    </w:p>
    <w:p>
      <w:pPr>
        <w:keepNext/>
        <w:spacing w:after="40"/>
      </w:pPr>
      <w:r>
        <w:rPr>
          <w:b/>
          <w:color w:val="2563EB"/>
          <w:sz w:val="21"/>
        </w:rPr>
        <w:t>Step 4: Interactive Dashboard &amp; UI Layer (Days 13–18)</w:t>
      </w:r>
    </w:p>
    <w:p>
      <w:pPr>
        <w:spacing w:after="120" w:line="276" w:lineRule="auto"/>
      </w:pPr>
      <w:r>
        <w:t>Developed a production-grade Streamlit web application (app.py) incorporating two distinct operative views: Portfolio Analytics (risk distribution histograms, key metrics, conversion rate pie charts) and Agent Intervention UI (dropdown target selection, live account metric displays, and 1-click AI retention plan generation).</w:t>
      </w:r>
    </w:p>
    <w:tbl>
      <w:tblPr>
        <w:tblW w:type="auto" w:w="0"/>
        <w:jc w:val="center"/>
        <w:tblLook w:firstColumn="1" w:firstRow="1" w:lastColumn="0" w:lastRow="0" w:noHBand="0" w:noVBand="1" w:val="04A0"/>
      </w:tblPr>
      <w:tblGrid>
        <w:gridCol w:w="10512"/>
      </w:tblGrid>
      <w:tr>
        <w:tc>
          <w:tcPr>
            <w:tcW w:type="dxa" w:w="10512"/>
            <w:shd w:fill="FEF3C7"/>
          </w:tcPr>
          <w:p>
            <w:pPr>
              <w:spacing w:before="100" w:after="100"/>
            </w:pPr>
            <w:r>
              <w:rPr>
                <w:b/>
                <w:color w:val="B45309"/>
              </w:rPr>
              <w:t>⚙️ Key Engineering Fix (Groq/LiteLLM Gateway Compatibility):</w:t>
              <w:br/>
            </w:r>
            <w:r>
              <w:rPr>
                <w:sz w:val="19"/>
              </w:rPr>
              <w:t>Resolved API payload rejection by implementing a custom monkeypatch over litellm.completion. The patch dynamically strips unsupported provider flags (such as CrewAI's default cache_breakpoint) before hitting Groq's endpoint, guaranteeing 100% runtime execution stability.</w:t>
            </w:r>
          </w:p>
        </w:tc>
      </w:tr>
    </w:tbl>
    <w:p>
      <w:pPr>
        <w:spacing w:after="80"/>
      </w:pPr>
    </w:p>
    <w:p>
      <w:pPr>
        <w:keepNext/>
        <w:spacing w:before="240" w:after="80"/>
      </w:pPr>
      <w:r>
        <w:rPr>
          <w:rFonts w:ascii="Calibri" w:hAnsi="Calibri"/>
          <w:b/>
          <w:color w:val="0F172A"/>
          <w:sz w:val="24"/>
        </w:rPr>
        <w:t>5. CONCLUSION</w:t>
      </w:r>
    </w:p>
    <w:p>
      <w:pPr>
        <w:spacing w:after="240" w:line="276" w:lineRule="auto"/>
      </w:pPr>
      <w:r>
        <w:t>The Agentic AI Customer Churn Prediction &amp; Retention System demonstrates the immense potential of pairing classical machine learning classifiers with modern, structured autonomous AI agents. By automating the end-to-end workflow—from predictive scoring to personalized intervention generation and database persistence—this platform transforms static business intelligence into an active execution engine. The project successfully fulfills all technical requirements for Elevate Labs, presenting a scalable blueprint for next-generation enterprise AI automation.</w:t>
      </w:r>
    </w:p>
    <w:p>
      <w:pPr>
        <w:jc w:val="center"/>
      </w:pPr>
      <w:r>
        <w:rPr>
          <w:color w:val="475569"/>
          <w:sz w:val="17"/>
        </w:rPr>
        <w:t>Elevate Labs Capstone Project Report • Generated September 2026 • Page 2 of 2</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