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36"/>
        </w:rPr>
        <w:t>PHARMAWATCH: MULTI-MODAL PHARMACOVIGILANCE FINGERPRINTING &amp; DYNAMIC VIGILANCE INDEX (DVI)</w:t>
      </w:r>
    </w:p>
    <w:p>
      <w:pPr>
        <w:spacing w:after="200"/>
      </w:pPr>
      <w:r>
        <w:rPr>
          <w:rFonts w:ascii="Calibri" w:hAnsi="Calibri"/>
          <w:i/>
          <w:color w:val="4A5568"/>
          <w:sz w:val="22"/>
        </w:rPr>
        <w:t>Complete Mathematical Formulation, Variable Definitions, Evidentiary Authenticity Architecture, and Comparative Methodological Rationale</w:t>
      </w:r>
    </w:p>
    <w:tbl>
      <w:tblPr>
        <w:tblW w:type="auto" w:w="0"/>
        <w:jc w:val="center"/>
        <w:tblLook w:firstColumn="1" w:firstRow="1" w:lastColumn="0" w:lastRow="0" w:noHBand="0" w:noVBand="1" w:val="04A0"/>
      </w:tblPr>
      <w:tblGrid>
        <w:gridCol w:w="4968"/>
        <w:gridCol w:w="4968"/>
      </w:tblGrid>
      <w:tr>
        <w:tc>
          <w:tcPr>
            <w:tcW w:type="dxa" w:w="4968"/>
          </w:tcPr>
          <w:p>
            <w:pPr>
              <w:spacing w:after="40"/>
            </w:pPr>
            <w:r>
              <w:rPr>
                <w:rFonts w:ascii="Calibri" w:hAnsi="Calibri"/>
                <w:b/>
                <w:color w:val="1B365D"/>
                <w:sz w:val="17"/>
              </w:rPr>
              <w:t xml:space="preserve">Version: </w:t>
            </w:r>
            <w:r>
              <w:rPr>
                <w:rFonts w:ascii="Calibri" w:hAnsi="Calibri"/>
                <w:color w:val="2D3748"/>
                <w:sz w:val="17"/>
              </w:rPr>
              <w:t>1.0.0 (Approved Scientific Specification)</w:t>
            </w:r>
          </w:p>
        </w:tc>
        <w:tc>
          <w:tcPr>
            <w:tcW w:type="dxa" w:w="4968"/>
          </w:tcPr>
          <w:p>
            <w:pPr>
              <w:spacing w:after="40"/>
            </w:pPr>
            <w:r>
              <w:rPr>
                <w:rFonts w:ascii="Calibri" w:hAnsi="Calibri"/>
                <w:b/>
                <w:color w:val="1B365D"/>
                <w:sz w:val="17"/>
              </w:rPr>
              <w:t xml:space="preserve">Target System: </w:t>
            </w:r>
            <w:r>
              <w:rPr>
                <w:rFonts w:ascii="Calibri" w:hAnsi="Calibri"/>
                <w:color w:val="2D3748"/>
                <w:sz w:val="17"/>
              </w:rPr>
              <w:t>PharmaWatch Real-Time Surveillance Engine</w:t>
            </w:r>
          </w:p>
        </w:tc>
      </w:tr>
      <w:tr>
        <w:tc>
          <w:tcPr>
            <w:tcW w:type="dxa" w:w="4968"/>
          </w:tcPr>
          <w:p>
            <w:pPr>
              <w:spacing w:after="40"/>
            </w:pPr>
            <w:r>
              <w:rPr>
                <w:rFonts w:ascii="Calibri" w:hAnsi="Calibri"/>
                <w:b/>
                <w:color w:val="1B365D"/>
                <w:sz w:val="17"/>
              </w:rPr>
              <w:t xml:space="preserve">Classification: </w:t>
            </w:r>
            <w:r>
              <w:rPr>
                <w:rFonts w:ascii="Calibri" w:hAnsi="Calibri"/>
                <w:color w:val="2D3748"/>
                <w:sz w:val="17"/>
              </w:rPr>
              <w:t>FDA 21 CFR Part 11 &amp; GVP Compliant Architecture</w:t>
            </w:r>
          </w:p>
        </w:tc>
        <w:tc>
          <w:tcPr>
            <w:tcW w:type="dxa" w:w="4968"/>
          </w:tcPr>
          <w:p>
            <w:pPr>
              <w:spacing w:after="40"/>
            </w:pPr>
            <w:r>
              <w:rPr>
                <w:rFonts w:ascii="Calibri" w:hAnsi="Calibri"/>
                <w:b/>
                <w:color w:val="1B365D"/>
                <w:sz w:val="17"/>
              </w:rPr>
              <w:t xml:space="preserve">Methodology: </w:t>
            </w:r>
            <w:r>
              <w:rPr>
                <w:rFonts w:ascii="Calibri" w:hAnsi="Calibri"/>
                <w:color w:val="2D3748"/>
                <w:sz w:val="17"/>
              </w:rPr>
              <w:t>Empirical Bayes Shrinkage + Multi-Modal Meta-Fusion</w:t>
            </w:r>
          </w:p>
        </w:tc>
      </w:tr>
    </w:tbl>
    <w:p>
      <w:pPr>
        <w:spacing w:after="120"/>
      </w:pPr>
    </w:p>
    <w:p>
      <w:pPr>
        <w:keepNext/>
        <w:spacing w:before="280" w:after="100"/>
      </w:pPr>
      <w:r>
        <w:rPr>
          <w:rFonts w:ascii="Calibri" w:hAnsi="Calibri"/>
          <w:b/>
          <w:color w:val="1B365D"/>
          <w:sz w:val="30"/>
        </w:rPr>
        <w:t>1. Executive Summary &amp; Foundational Objective</w:t>
      </w:r>
    </w:p>
    <w:p>
      <w:pPr>
        <w:spacing w:after="80" w:line="276" w:lineRule="auto"/>
      </w:pPr>
      <w:r>
        <w:rPr>
          <w:rFonts w:ascii="Calibri" w:hAnsi="Calibri"/>
          <w:color w:val="2D3748"/>
          <w:sz w:val="19"/>
        </w:rPr>
        <w:t>Modern post-marketing pharmacovigilance (PV) is paralyzed by two opposing structural failures: Alert Fatigue and Delayed Crisis Detection. Classical disproportionality methods such as raw Proportional Reporting Ratio (PRR) flag thousands of statistically noisy or trivial signals each quarter, while genuine emergent toxicities remain buried in backlogs.</w:t>
      </w:r>
    </w:p>
    <w:p>
      <w:pPr>
        <w:spacing w:after="80" w:line="276" w:lineRule="auto"/>
      </w:pPr>
      <w:r>
        <w:rPr>
          <w:rFonts w:ascii="Calibri" w:hAnsi="Calibri"/>
          <w:color w:val="2D3748"/>
          <w:sz w:val="19"/>
        </w:rPr>
        <w:t>The foundational objective of PharmaWatch is to deploy an authentic, mathematically sound Multi-Modal Fingerprinting framework that synthesizes spontaneous reporting (FAERS), clinical trial registries (ClinicalTrials.gov), peer-reviewed literature (PubMed), and early community discussions (Reddit) into a unified, actionable Dynamic Vigilance Index (DVI).</w:t>
      </w:r>
    </w:p>
    <w:tbl>
      <w:tblPr>
        <w:tblW w:type="auto" w:w="0"/>
        <w:jc w:val="center"/>
        <w:tblLook w:firstColumn="1" w:firstRow="1" w:lastColumn="0" w:lastRow="0" w:noHBand="0" w:noVBand="1" w:val="04A0"/>
      </w:tblPr>
      <w:tblGrid>
        <w:gridCol w:w="9936"/>
      </w:tblGrid>
      <w:tr>
        <w:tc>
          <w:tcPr>
            <w:tcW w:type="dxa" w:w="9936"/>
            <w:shd w:fill="F0F4F8"/>
            <w:tcBorders>
              <w:top w:val="none"/>
              <w:left w:val="single" w:sz="24" w:space="0" w:color="1B365D"/>
              <w:bottom w:val="none"/>
              <w:right w:val="none"/>
            </w:tcBorders>
          </w:tcPr>
          <w:p>
            <w:pPr>
              <w:spacing w:before="80" w:after="40"/>
            </w:pPr>
            <w:r>
              <w:rPr>
                <w:rFonts w:ascii="Calibri" w:hAnsi="Calibri"/>
                <w:b/>
                <w:color w:val="1B365D"/>
                <w:sz w:val="19"/>
              </w:rPr>
              <w:t>[THE TWO-LAYER TRUTH PROTOCOL]</w:t>
              <w:br/>
            </w:r>
            <w:r>
              <w:rPr>
                <w:rFonts w:ascii="Calibri" w:hAnsi="Calibri"/>
                <w:color w:val="2D3748"/>
                <w:sz w:val="18"/>
              </w:rPr>
              <w:t>PharmaWatch enforces the Two-Layer Truth Protocol: Layer 1 maintains 100% pristine, unblended, auditable regulatory ground truth (exact 2x2 counts, ROR, PRR, PMIDs, NCT IDs). Layer 2 operates strictly as an operational triage filter (DVI and 4D Fingerprint) to prioritize clinical review without data pollution.</w:t>
            </w:r>
          </w:p>
        </w:tc>
      </w:tr>
    </w:tbl>
    <w:p>
      <w:pPr>
        <w:spacing w:after="80"/>
      </w:pPr>
    </w:p>
    <w:p>
      <w:pPr>
        <w:keepNext/>
        <w:spacing w:before="280" w:after="100"/>
      </w:pPr>
      <w:r>
        <w:rPr>
          <w:rFonts w:ascii="Calibri" w:hAnsi="Calibri"/>
          <w:b/>
          <w:color w:val="1B365D"/>
          <w:sz w:val="30"/>
        </w:rPr>
        <w:t>2. Evidentiary Authenticity &amp; Provenance Framework</w:t>
      </w:r>
    </w:p>
    <w:p>
      <w:pPr>
        <w:spacing w:after="80" w:line="276" w:lineRule="auto"/>
      </w:pPr>
      <w:r>
        <w:rPr>
          <w:rFonts w:ascii="Calibri" w:hAnsi="Calibri"/>
          <w:color w:val="2D3748"/>
          <w:sz w:val="19"/>
        </w:rPr>
        <w:t>In clinical pharmacology, averaging unverified consumer forum chatter directly with double-blind randomized clinical trial results invalidates the scientific validity of the dataset. Regulators require strict data provenance.</w:t>
      </w:r>
    </w:p>
    <w:p>
      <w:pPr>
        <w:spacing w:after="80" w:line="276" w:lineRule="auto"/>
      </w:pPr>
      <w:r>
        <w:rPr>
          <w:rFonts w:ascii="Calibri" w:hAnsi="Calibri"/>
          <w:color w:val="2D3748"/>
          <w:sz w:val="19"/>
        </w:rPr>
        <w:t>PharmaWatch avoids data pollution through Epistemic Tiering. High-rigor experimental trials receive dominant causality weights, while social media is quarantined as an Early Sentinel Smoke Detector. Every composite calculation provides direct clickable traceability back to primary repository IDs.</w:t>
      </w:r>
    </w:p>
    <w:p>
      <w:pPr>
        <w:spacing w:after="80" w:line="276" w:lineRule="auto"/>
      </w:pPr>
      <w:r>
        <w:rPr>
          <w:rFonts w:ascii="Calibri" w:hAnsi="Calibri"/>
          <w:color w:val="2D3748"/>
          <w:sz w:val="19"/>
        </w:rPr>
        <w:t>This architecture is directly aligned with the FDA Sentinel Initiative, the European Commission Web-RADR Project (which validated social media as early smoke detectors without treating them as confirmatory evidence), and CIOMS Working Group VIII guidelines.</w:t>
      </w:r>
    </w:p>
    <w:p>
      <w:pPr>
        <w:keepNext/>
        <w:spacing w:before="280" w:after="100"/>
      </w:pPr>
      <w:r>
        <w:rPr>
          <w:rFonts w:ascii="Calibri" w:hAnsi="Calibri"/>
          <w:b/>
          <w:color w:val="1B365D"/>
          <w:sz w:val="30"/>
        </w:rPr>
        <w:t>3. The 4 Universal Dimensions of the Safety Fingerprint [S / V / H / C]</w:t>
      </w:r>
    </w:p>
    <w:p>
      <w:pPr>
        <w:spacing w:after="80" w:line="276" w:lineRule="auto"/>
      </w:pPr>
      <w:r>
        <w:rPr>
          <w:rFonts w:ascii="Calibri" w:hAnsi="Calibri"/>
          <w:color w:val="2D3748"/>
          <w:sz w:val="19"/>
        </w:rPr>
        <w:t>Every drug-event association is characterized across four standardized dimensions, each bounded between 0.0 and 25.0 points:</w:t>
      </w:r>
    </w:p>
    <w:p>
      <w:pPr>
        <w:keepNext/>
        <w:spacing w:before="200" w:after="60"/>
      </w:pPr>
      <w:r>
        <w:rPr>
          <w:rFonts w:ascii="Calibri" w:hAnsi="Calibri"/>
          <w:b/>
          <w:color w:val="4A5568"/>
          <w:sz w:val="24"/>
        </w:rPr>
        <w:t>3.1 Dimension 1: Statistical Association Strength (S_stats)</w:t>
      </w:r>
    </w:p>
    <w:tbl>
      <w:tblPr>
        <w:tblW w:type="auto" w:w="0"/>
        <w:jc w:val="center"/>
        <w:tblLook w:firstColumn="1" w:firstRow="1" w:lastColumn="0" w:lastRow="0" w:noHBand="0" w:noVBand="1" w:val="04A0"/>
      </w:tblPr>
      <w:tblGrid>
        <w:gridCol w:w="9936"/>
      </w:tblGrid>
      <w:tr>
        <w:tc>
          <w:tcPr>
            <w:tcW w:type="dxa" w:w="9936"/>
            <w:shd w:fill="F7FAFC"/>
            <w:tcBorders>
              <w:top w:val="single" w:sz="4" w:color="CBD5E0"/>
              <w:left w:val="single" w:sz="14" w:color="4A5568"/>
              <w:bottom w:val="single" w:sz="4" w:color="CBD5E0"/>
              <w:right w:val="single" w:sz="4" w:color="CBD5E0"/>
            </w:tcBorders>
          </w:tcPr>
          <w:p>
            <w:pPr>
              <w:spacing w:before="80" w:after="80"/>
            </w:pPr>
            <w:r>
              <w:rPr>
                <w:rFonts w:ascii="Consolas" w:hAnsi="Consolas"/>
                <w:color w:val="1A202C"/>
                <w:sz w:val="17"/>
              </w:rPr>
              <w:t>ROR = (a * d) / (b * c)</w:t>
              <w:br/>
              <w:t>SE(ln_ROR) = sqrt( 1/a + 1/b + 1/c + 1/d )</w:t>
              <w:br/>
              <w:t>ROR_lower_95 = exp( ln(ROR) - 1.96 * SE(ln_ROR) )</w:t>
              <w:br/>
              <w:br/>
              <w:t>If ROR_lower_95 &lt;= 1.0 or a &lt; 3:</w:t>
              <w:br/>
              <w:t xml:space="preserve">    S_stats = 0.0</w:t>
              <w:br/>
              <w:t>Else:</w:t>
              <w:br/>
              <w:t xml:space="preserve">    S_stats = min( 25.0,  8.0 * ln(ROR_lower_95) )</w:t>
            </w:r>
          </w:p>
        </w:tc>
      </w:tr>
    </w:tbl>
    <w:p>
      <w:pPr>
        <w:spacing w:after="80"/>
      </w:pPr>
    </w:p>
    <w:p>
      <w:pPr>
        <w:spacing w:after="80" w:line="276" w:lineRule="auto"/>
      </w:pPr>
      <w:r>
        <w:rPr>
          <w:rFonts w:ascii="Calibri" w:hAnsi="Calibri"/>
          <w:color w:val="2D3748"/>
          <w:sz w:val="19"/>
        </w:rPr>
        <w:t>Methodological Rationale: Raw PRR explodes to infinity when report numbers are tiny (e.g., a=2, b=0). By utilizing ROR_lower_95, the massive standard error associated with small counts automatically drives the lower bound below 1.0, setting S_stats = 0.0 and preventing false-alarm cascades. Chi-Square alone was rejected because in 25M-record databases, clinically trivial differences produce p &lt; 10^-15 purely due to sample size.</w:t>
      </w:r>
    </w:p>
    <w:p>
      <w:pPr>
        <w:keepNext/>
        <w:spacing w:before="200" w:after="60"/>
      </w:pPr>
      <w:r>
        <w:rPr>
          <w:rFonts w:ascii="Calibri" w:hAnsi="Calibri"/>
          <w:b/>
          <w:color w:val="4A5568"/>
          <w:sz w:val="24"/>
        </w:rPr>
        <w:t>3.2 Dimension 2: Signal Velocity &amp; Kinematic Momentum (V_velocity)</w:t>
      </w:r>
    </w:p>
    <w:tbl>
      <w:tblPr>
        <w:tblW w:type="auto" w:w="0"/>
        <w:jc w:val="center"/>
        <w:tblLook w:firstColumn="1" w:firstRow="1" w:lastColumn="0" w:lastRow="0" w:noHBand="0" w:noVBand="1" w:val="04A0"/>
      </w:tblPr>
      <w:tblGrid>
        <w:gridCol w:w="9936"/>
      </w:tblGrid>
      <w:tr>
        <w:tc>
          <w:tcPr>
            <w:tcW w:type="dxa" w:w="9936"/>
            <w:shd w:fill="F7FAFC"/>
            <w:tcBorders>
              <w:top w:val="single" w:sz="4" w:color="CBD5E0"/>
              <w:left w:val="single" w:sz="14" w:color="4A5568"/>
              <w:bottom w:val="single" w:sz="4" w:color="CBD5E0"/>
              <w:right w:val="single" w:sz="4" w:color="CBD5E0"/>
            </w:tcBorders>
          </w:tcPr>
          <w:p>
            <w:pPr>
              <w:spacing w:before="80" w:after="80"/>
            </w:pPr>
            <w:r>
              <w:rPr>
                <w:rFonts w:ascii="Consolas" w:hAnsi="Consolas"/>
                <w:color w:val="1A202C"/>
                <w:sz w:val="17"/>
              </w:rPr>
              <w:t>v = (N_recent - N_prior) / max(1, N_prior)                    # Velocity (Growth Rate)</w:t>
              <w:br/>
              <w:t>alpha = (N_recent - 2 * N_prior + N_base) / max(1, N_base)     # Acceleration (Momentum)</w:t>
              <w:br/>
              <w:t>K_raw = 0.65 * v + 0.35 * alpha</w:t>
              <w:br/>
              <w:br/>
              <w:t>If K_raw &lt;= 0:</w:t>
              <w:br/>
              <w:t xml:space="preserve">    V_velocity = 2.0   (Stable historical baseline)</w:t>
              <w:br/>
              <w:t>Else:</w:t>
              <w:br/>
              <w:t xml:space="preserve">    V_velocity = min( 25.0,  5.0 + 10.0 * ln(1.0 + K_raw) )</w:t>
            </w:r>
          </w:p>
        </w:tc>
      </w:tr>
    </w:tbl>
    <w:p>
      <w:pPr>
        <w:spacing w:after="80"/>
      </w:pPr>
    </w:p>
    <w:p>
      <w:pPr>
        <w:spacing w:after="80" w:line="276" w:lineRule="auto"/>
      </w:pPr>
      <w:r>
        <w:rPr>
          <w:rFonts w:ascii="Calibri" w:hAnsi="Calibri"/>
          <w:color w:val="2D3748"/>
          <w:sz w:val="19"/>
        </w:rPr>
        <w:t>Methodological Rationale: Real-world safety disasters follow non-linear sigmoidal curves. Factoring both velocity and acceleration detects the critical inflection point of an epidemic months before raw cumulative report totals catch up. Simple Moving Averages were rejected as lagging indicators.</w:t>
      </w:r>
    </w:p>
    <w:p>
      <w:pPr>
        <w:keepNext/>
        <w:spacing w:before="200" w:after="60"/>
      </w:pPr>
      <w:r>
        <w:rPr>
          <w:rFonts w:ascii="Calibri" w:hAnsi="Calibri"/>
          <w:b/>
          <w:color w:val="4A5568"/>
          <w:sz w:val="24"/>
        </w:rPr>
        <w:t>3.3 Dimension 3: Clinical Harm &amp; Outcome Severity (H_harm)</w:t>
      </w:r>
    </w:p>
    <w:tbl>
      <w:tblPr>
        <w:tblW w:type="auto" w:w="0"/>
        <w:jc w:val="center"/>
        <w:tblLook w:firstColumn="1" w:firstRow="1" w:lastColumn="0" w:lastRow="0" w:noHBand="0" w:noVBand="1" w:val="04A0"/>
      </w:tblPr>
      <w:tblGrid>
        <w:gridCol w:w="9936"/>
      </w:tblGrid>
      <w:tr>
        <w:tc>
          <w:tcPr>
            <w:tcW w:type="dxa" w:w="9936"/>
            <w:shd w:fill="F7FAFC"/>
            <w:tcBorders>
              <w:top w:val="single" w:sz="4" w:color="CBD5E0"/>
              <w:left w:val="single" w:sz="14" w:color="4A5568"/>
              <w:bottom w:val="single" w:sz="4" w:color="CBD5E0"/>
              <w:right w:val="single" w:sz="4" w:color="CBD5E0"/>
            </w:tcBorders>
          </w:tcPr>
          <w:p>
            <w:pPr>
              <w:spacing w:before="80" w:after="80"/>
            </w:pPr>
            <w:r>
              <w:rPr>
                <w:rFonts w:ascii="Consolas" w:hAnsi="Consolas"/>
                <w:color w:val="1A202C"/>
                <w:sz w:val="17"/>
              </w:rPr>
              <w:t>Harm_Numerator = (1.00 * Count_DE) + (0.85 * Count_LT) + (0.60 * Count_HO) +</w:t>
              <w:br/>
              <w:t xml:space="preserve">                 (0.50 * Count_DS) + (0.70 * Count_CA) + (0.40 * Count_RI) +</w:t>
              <w:br/>
              <w:t xml:space="preserve">                 (0.10 * Count_OT)</w:t>
              <w:br/>
              <w:br/>
              <w:t>Harm_Ratio = Harm_Numerator / max(1, Total_Evaluated_Outcomes)</w:t>
              <w:br/>
              <w:t>H_harm = min( 25.0,  25.0 * Harm_Ratio )</w:t>
            </w:r>
          </w:p>
        </w:tc>
      </w:tr>
    </w:tbl>
    <w:p>
      <w:pPr>
        <w:spacing w:after="80"/>
      </w:pPr>
    </w:p>
    <w:p>
      <w:pPr>
        <w:spacing w:after="80" w:line="276" w:lineRule="auto"/>
      </w:pPr>
      <w:r>
        <w:rPr>
          <w:rFonts w:ascii="Calibri" w:hAnsi="Calibri"/>
          <w:color w:val="2D3748"/>
          <w:sz w:val="19"/>
        </w:rPr>
        <w:t>Weights: DE (Death, 1.00), LT (Life-Threatening, 0.85), HO (Hospitalization, 0.60), DS (Disability, 0.50), CA (Congenital Anomaly, 0.70), RI (Required Intervention, 0.40), OT (Other, 0.10).</w:t>
      </w:r>
    </w:p>
    <w:p>
      <w:pPr>
        <w:spacing w:after="80" w:line="276" w:lineRule="auto"/>
      </w:pPr>
      <w:r>
        <w:rPr>
          <w:rFonts w:ascii="Calibri" w:hAnsi="Calibri"/>
          <w:color w:val="2D3748"/>
          <w:sz w:val="19"/>
        </w:rPr>
        <w:t>Methodological Rationale: Raw PRR treats fatal cardiac arrest and mild dyspepsia identically. Continuous harm weighting ensures high-mortality events receive top triage priority. Binary serious/non-serious classification was rejected because it groups routine overnight observation with irreversible death.</w:t>
      </w:r>
    </w:p>
    <w:p>
      <w:pPr>
        <w:keepNext/>
        <w:spacing w:before="200" w:after="60"/>
      </w:pPr>
      <w:r>
        <w:rPr>
          <w:rFonts w:ascii="Calibri" w:hAnsi="Calibri"/>
          <w:b/>
          <w:color w:val="4A5568"/>
          <w:sz w:val="24"/>
        </w:rPr>
        <w:t>3.4 Dimension 4: Causal Biological Plausibility (C_causality)</w:t>
      </w:r>
    </w:p>
    <w:tbl>
      <w:tblPr>
        <w:tblW w:type="auto" w:w="0"/>
        <w:jc w:val="center"/>
        <w:tblLook w:firstColumn="1" w:firstRow="1" w:lastColumn="0" w:lastRow="0" w:noHBand="0" w:noVBand="1" w:val="04A0"/>
      </w:tblPr>
      <w:tblGrid>
        <w:gridCol w:w="9936"/>
      </w:tblGrid>
      <w:tr>
        <w:tc>
          <w:tcPr>
            <w:tcW w:type="dxa" w:w="9936"/>
            <w:shd w:fill="F7FAFC"/>
            <w:tcBorders>
              <w:top w:val="single" w:sz="4" w:color="CBD5E0"/>
              <w:left w:val="single" w:sz="14" w:color="4A5568"/>
              <w:bottom w:val="single" w:sz="4" w:color="CBD5E0"/>
              <w:right w:val="single" w:sz="4" w:color="CBD5E0"/>
            </w:tcBorders>
          </w:tcPr>
          <w:p>
            <w:pPr>
              <w:spacing w:before="80" w:after="80"/>
            </w:pPr>
            <w:r>
              <w:rPr>
                <w:rFonts w:ascii="Consolas" w:hAnsi="Consolas"/>
                <w:color w:val="1A202C"/>
                <w:sz w:val="17"/>
              </w:rPr>
              <w:t>Score_Dechal = 6.0 * P_dechal + 4.0 * P_rechal          (10.0 pts max)</w:t>
              <w:br/>
              <w:t>Score_Lit    = min( 8.0,  2.5 * ln( 1.0 + N_pubmed ) )  (8.0 pts max)</w:t>
              <w:br/>
              <w:t>Score_GNN    = 7.0 * GNN_conf                           (7.0 pts max)</w:t>
              <w:br/>
              <w:br/>
              <w:t>C_causality = min( 25.0,  Score_Dechal + Score_Lit + Score_GNN )</w:t>
            </w:r>
          </w:p>
        </w:tc>
      </w:tr>
    </w:tbl>
    <w:p>
      <w:pPr>
        <w:spacing w:after="80"/>
      </w:pPr>
    </w:p>
    <w:p>
      <w:pPr>
        <w:spacing w:after="80" w:line="276" w:lineRule="auto"/>
      </w:pPr>
      <w:r>
        <w:rPr>
          <w:rFonts w:ascii="Calibri" w:hAnsi="Calibri"/>
          <w:color w:val="2D3748"/>
          <w:sz w:val="19"/>
        </w:rPr>
        <w:t>Methodological Rationale: Direct operationalization of Bradford Hill criteria. Dechallenge/rechallenge addresses temporality and clinical reversibility; PubMed BioBERT links verify biological plausibility; GNN alerts confirm molecular pathway consistency.</w:t>
      </w:r>
    </w:p>
    <w:p>
      <w:pPr>
        <w:keepNext/>
        <w:spacing w:before="280" w:after="100"/>
      </w:pPr>
      <w:r>
        <w:rPr>
          <w:rFonts w:ascii="Calibri" w:hAnsi="Calibri"/>
          <w:b/>
          <w:color w:val="1B365D"/>
          <w:sz w:val="30"/>
        </w:rPr>
        <w:t>4. Source-Specific Mapping &amp; Harmonization Adapters</w:t>
      </w:r>
    </w:p>
    <w:tbl>
      <w:tblPr>
        <w:tblW w:type="auto" w:w="0"/>
        <w:jc w:val="center"/>
        <w:tblLook w:firstColumn="1" w:firstRow="1" w:lastColumn="0" w:lastRow="0" w:noHBand="0" w:noVBand="1" w:val="04A0"/>
      </w:tblPr>
      <w:tblGrid>
        <w:gridCol w:w="4968"/>
        <w:gridCol w:w="4968"/>
      </w:tblGrid>
      <w:tr>
        <w:tc>
          <w:tcPr>
            <w:tcW w:type="dxa" w:w="3168"/>
          </w:tcPr>
          <w:p>
            <w:r>
              <w:rPr>
                <w:rFonts w:ascii="Calibri" w:hAnsi="Calibri"/>
                <w:b/>
                <w:color w:val="1B365D"/>
                <w:sz w:val="18"/>
              </w:rPr>
              <w:t>openFDA FAERS</w:t>
            </w:r>
          </w:p>
        </w:tc>
        <w:tc>
          <w:tcPr>
            <w:tcW w:type="dxa" w:w="6768"/>
          </w:tcPr>
          <w:p>
            <w:r>
              <w:rPr>
                <w:rFonts w:ascii="Consolas" w:hAnsi="Consolas"/>
                <w:color w:val="1A202C"/>
                <w:sz w:val="16"/>
              </w:rPr>
              <w:t>S = min(25, 8*ln(ROR_lower))</w:t>
              <w:br/>
              <w:t>V = min(25, 5 + 10*ln(1 + K_raw))</w:t>
              <w:br/>
              <w:t>H = 25 * Harm_Ratio (DE, LT, HO outcomes)</w:t>
              <w:br/>
              <w:t>C = 6*P_dechal + 4*P_rechal</w:t>
            </w:r>
          </w:p>
        </w:tc>
      </w:tr>
      <w:tr>
        <w:tc>
          <w:tcPr>
            <w:tcW w:type="dxa" w:w="3168"/>
          </w:tcPr>
          <w:p>
            <w:r>
              <w:rPr>
                <w:rFonts w:ascii="Calibri" w:hAnsi="Calibri"/>
                <w:b/>
                <w:color w:val="1B365D"/>
                <w:sz w:val="18"/>
              </w:rPr>
              <w:t>ClinicalTrials.gov</w:t>
            </w:r>
          </w:p>
        </w:tc>
        <w:tc>
          <w:tcPr>
            <w:tcW w:type="dxa" w:w="6768"/>
          </w:tcPr>
          <w:p>
            <w:r>
              <w:rPr>
                <w:rFonts w:ascii="Consolas" w:hAnsi="Consolas"/>
                <w:color w:val="1A202C"/>
                <w:sz w:val="16"/>
              </w:rPr>
              <w:t>S = min(25, (Drug_Rate - Placebo_Rate) * 250)</w:t>
              <w:br/>
              <w:t>V = Recency (25 pts if &lt;6mo; 5 pts if &gt;2yr)</w:t>
              <w:br/>
              <w:t>H = 25 * (Serious Adverse Events / Total AEs)</w:t>
              <w:br/>
              <w:t>C = Trial Design Rigor (Phase 3 RCT = 25; Open-label = 10)</w:t>
            </w:r>
          </w:p>
        </w:tc>
      </w:tr>
      <w:tr>
        <w:tc>
          <w:tcPr>
            <w:tcW w:type="dxa" w:w="3168"/>
          </w:tcPr>
          <w:p>
            <w:r>
              <w:rPr>
                <w:rFonts w:ascii="Calibri" w:hAnsi="Calibri"/>
                <w:b/>
                <w:color w:val="1B365D"/>
                <w:sz w:val="18"/>
              </w:rPr>
              <w:t>PubMed (BioBERT)</w:t>
            </w:r>
          </w:p>
        </w:tc>
        <w:tc>
          <w:tcPr>
            <w:tcW w:type="dxa" w:w="6768"/>
          </w:tcPr>
          <w:p>
            <w:r>
              <w:rPr>
                <w:rFonts w:ascii="Consolas" w:hAnsi="Consolas"/>
                <w:color w:val="1A202C"/>
                <w:sz w:val="16"/>
              </w:rPr>
              <w:t>S = min(25, 5*ln(1+Mentions) + 10*Density)</w:t>
              <w:br/>
              <w:t>V = Publication momentum (last 2yr vs 5yr base)</w:t>
              <w:br/>
              <w:t>H = BioBERT severe entity tags (mortality, necrosis)</w:t>
              <w:br/>
              <w:t>C = Oxford CEBM Hierarchy (Meta-analysis = 25; Case report = 6)</w:t>
            </w:r>
          </w:p>
        </w:tc>
      </w:tr>
      <w:tr>
        <w:tc>
          <w:tcPr>
            <w:tcW w:type="dxa" w:w="3168"/>
          </w:tcPr>
          <w:p>
            <w:r>
              <w:rPr>
                <w:rFonts w:ascii="Calibri" w:hAnsi="Calibri"/>
                <w:b/>
                <w:color w:val="1B365D"/>
                <w:sz w:val="18"/>
              </w:rPr>
              <w:t>Reddit (Patient Voice)</w:t>
            </w:r>
          </w:p>
        </w:tc>
        <w:tc>
          <w:tcPr>
            <w:tcW w:type="dxa" w:w="6768"/>
          </w:tcPr>
          <w:p>
            <w:r>
              <w:rPr>
                <w:rFonts w:ascii="Consolas" w:hAnsi="Consolas"/>
                <w:color w:val="1A202C"/>
                <w:sz w:val="16"/>
              </w:rPr>
              <w:t>S = min(25, 4*ln(1+Patient_Mentions))</w:t>
              <w:br/>
              <w:t>V = 30-day post surge vs 6-month baseline</w:t>
              <w:br/>
              <w:t>H = NLP crisis language density ('ER', 'hospital')</w:t>
              <w:br/>
              <w:t>C = Self-reported dechallenge (Strictly capped at 8.0 max)</w:t>
            </w:r>
          </w:p>
        </w:tc>
      </w:tr>
      <w:tr>
        <w:tc>
          <w:tcPr>
            <w:tcW w:type="dxa" w:w="3168"/>
          </w:tcPr>
          <w:p>
            <w:r>
              <w:rPr>
                <w:rFonts w:ascii="Calibri" w:hAnsi="Calibri"/>
                <w:b/>
                <w:color w:val="1B365D"/>
                <w:sz w:val="18"/>
              </w:rPr>
              <w:t>FDA MedWatch RSS</w:t>
            </w:r>
          </w:p>
        </w:tc>
        <w:tc>
          <w:tcPr>
            <w:tcW w:type="dxa" w:w="6768"/>
          </w:tcPr>
          <w:p>
            <w:r>
              <w:rPr>
                <w:rFonts w:ascii="Consolas" w:hAnsi="Consolas"/>
                <w:color w:val="1A202C"/>
                <w:sz w:val="16"/>
              </w:rPr>
              <w:t>Regulatory Override: If an official FDA warning/recall is published, locks regulatory alert status to Critical and sets S_stats and H_harm floor to 20.0.</w:t>
            </w:r>
          </w:p>
        </w:tc>
      </w:tr>
    </w:tbl>
    <w:p>
      <w:pPr>
        <w:spacing w:after="120"/>
      </w:pPr>
    </w:p>
    <w:p>
      <w:pPr>
        <w:keepNext/>
        <w:spacing w:before="280" w:after="100"/>
      </w:pPr>
      <w:r>
        <w:rPr>
          <w:rFonts w:ascii="Calibri" w:hAnsi="Calibri"/>
          <w:b/>
          <w:color w:val="1B365D"/>
          <w:sz w:val="30"/>
        </w:rPr>
        <w:t>5. Cross-Source Meta-Fusion &amp; Consensus Mathematics</w:t>
      </w:r>
    </w:p>
    <w:tbl>
      <w:tblPr>
        <w:tblW w:type="auto" w:w="0"/>
        <w:jc w:val="center"/>
        <w:tblLook w:firstColumn="1" w:firstRow="1" w:lastColumn="0" w:lastRow="0" w:noHBand="0" w:noVBand="1" w:val="04A0"/>
      </w:tblPr>
      <w:tblGrid>
        <w:gridCol w:w="9936"/>
      </w:tblGrid>
      <w:tr>
        <w:tc>
          <w:tcPr>
            <w:tcW w:type="dxa" w:w="9936"/>
            <w:shd w:fill="F7FAFC"/>
            <w:tcBorders>
              <w:top w:val="single" w:sz="4" w:color="CBD5E0"/>
              <w:left w:val="single" w:sz="14" w:color="4A5568"/>
              <w:bottom w:val="single" w:sz="4" w:color="CBD5E0"/>
              <w:right w:val="single" w:sz="4" w:color="CBD5E0"/>
            </w:tcBorders>
          </w:tcPr>
          <w:p>
            <w:pPr>
              <w:spacing w:before="80" w:after="80"/>
            </w:pPr>
            <w:r>
              <w:rPr>
                <w:rFonts w:ascii="Consolas" w:hAnsi="Consolas"/>
                <w:color w:val="1A202C"/>
                <w:sz w:val="17"/>
              </w:rPr>
              <w:t>W_trials = 0.35  (Prospective, randomized, blinded experimental data)</w:t>
              <w:br/>
              <w:t>W_faers  = 0.30  (25M+ real-world post-marketing spontaneous reports)</w:t>
              <w:br/>
              <w:t>W_pubmed = 0.25  (Peer-reviewed clinical literature and mechanism)</w:t>
              <w:br/>
              <w:t>W_reddit = 0.10  (Early sentinel warning; strictly limited causality)</w:t>
              <w:br/>
              <w:br/>
              <w:t>Master_S = (0.35 * S_trials) + (0.30 * S_faers) + (0.25 * S_pubmed) + (0.10 * S_reddit)</w:t>
              <w:br/>
              <w:t>Master_V = (0.35 * V_trials) + (0.30 * V_faers) + (0.25 * V_pubmed) + (0.10 * V_reddit)</w:t>
              <w:br/>
              <w:t>Master_H = (0.35 * H_trials) + (0.30 * H_faers) + (0.25 * H_pubmed) + (0.10 * H_reddit)</w:t>
              <w:br/>
              <w:t>Master_C = (0.35 * C_trials) + (0.30 * C_faers) + (0.25 * C_pubmed) + (0.10 * C_reddit)</w:t>
              <w:br/>
              <w:br/>
              <w:t>If Master_S == 0.0:</w:t>
              <w:br/>
              <w:t xml:space="preserve">    DVI_Master = min( 15.0,  (Master_H + Master_C) / 2.0 )</w:t>
              <w:br/>
              <w:t>Else:</w:t>
              <w:br/>
              <w:t xml:space="preserve">    DVI_Master = Master_S + Master_V + Master_H + Master_C</w:t>
            </w:r>
          </w:p>
        </w:tc>
      </w:tr>
    </w:tbl>
    <w:p>
      <w:pPr>
        <w:spacing w:after="80"/>
      </w:pPr>
    </w:p>
    <w:p>
      <w:pPr>
        <w:spacing w:after="80" w:line="276" w:lineRule="auto"/>
      </w:pPr>
      <w:r>
        <w:rPr>
          <w:rFonts w:ascii="Calibri" w:hAnsi="Calibri"/>
          <w:color w:val="2D3748"/>
          <w:sz w:val="19"/>
        </w:rPr>
        <w:t>Discrepancy Analysis (Hidden Insights Engine):</w:t>
      </w:r>
    </w:p>
    <w:p>
      <w:pPr>
        <w:spacing w:after="80" w:line="276" w:lineRule="auto"/>
      </w:pPr>
      <w:r>
        <w:rPr>
          <w:rFonts w:ascii="Calibri" w:hAnsi="Calibri"/>
          <w:b/>
          <w:color w:val="1B365D"/>
          <w:sz w:val="19"/>
        </w:rPr>
        <w:t xml:space="preserve">Pattern 1: </w:t>
      </w:r>
      <w:r>
        <w:rPr>
          <w:rFonts w:ascii="Calibri" w:hAnsi="Calibri"/>
          <w:color w:val="2D3748"/>
          <w:sz w:val="19"/>
        </w:rPr>
        <w:t>High Reddit Velocity + Low FAERS = Emerging Patient Outbreak (patients complaining online months before physician reporting).</w:t>
      </w:r>
    </w:p>
    <w:p>
      <w:pPr>
        <w:spacing w:after="80" w:line="276" w:lineRule="auto"/>
      </w:pPr>
      <w:r>
        <w:rPr>
          <w:rFonts w:ascii="Calibri" w:hAnsi="Calibri"/>
          <w:b/>
          <w:color w:val="1B365D"/>
          <w:sz w:val="19"/>
        </w:rPr>
        <w:t xml:space="preserve">Pattern 2: </w:t>
      </w:r>
      <w:r>
        <w:rPr>
          <w:rFonts w:ascii="Calibri" w:hAnsi="Calibri"/>
          <w:color w:val="2D3748"/>
          <w:sz w:val="19"/>
        </w:rPr>
        <w:t>High FAERS + Low ClinicalTrials/PubMed = Media / Litigation Bias (lawsuit advertising or news panic inflating spontaneous reports).</w:t>
      </w:r>
    </w:p>
    <w:p>
      <w:pPr>
        <w:spacing w:after="80" w:line="276" w:lineRule="auto"/>
      </w:pPr>
      <w:r>
        <w:rPr>
          <w:rFonts w:ascii="Calibri" w:hAnsi="Calibri"/>
          <w:b/>
          <w:color w:val="1B365D"/>
          <w:sz w:val="19"/>
        </w:rPr>
        <w:t xml:space="preserve">Pattern 3: </w:t>
      </w:r>
      <w:r>
        <w:rPr>
          <w:rFonts w:ascii="Calibri" w:hAnsi="Calibri"/>
          <w:color w:val="2D3748"/>
          <w:sz w:val="19"/>
        </w:rPr>
        <w:t>All sources High Harm + High Causality = Definitive Regulatory Hazard (immediate Boxed Warning required).</w:t>
      </w:r>
    </w:p>
    <w:p>
      <w:pPr>
        <w:keepNext/>
        <w:spacing w:before="280" w:after="100"/>
      </w:pPr>
      <w:r>
        <w:rPr>
          <w:rFonts w:ascii="Calibri" w:hAnsi="Calibri"/>
          <w:b/>
          <w:color w:val="1B365D"/>
          <w:sz w:val="30"/>
        </w:rPr>
        <w:t>6. Target Audience Segmentation &amp; Operational Deployment</w:t>
      </w:r>
    </w:p>
    <w:p>
      <w:pPr>
        <w:spacing w:after="80" w:line="276" w:lineRule="auto"/>
      </w:pPr>
      <w:r>
        <w:rPr>
          <w:rFonts w:ascii="Calibri" w:hAnsi="Calibri"/>
          <w:b/>
          <w:color w:val="1B365D"/>
          <w:sz w:val="19"/>
        </w:rPr>
        <w:t xml:space="preserve">1. Primary Commercial Target: </w:t>
      </w:r>
      <w:r>
        <w:rPr>
          <w:rFonts w:ascii="Calibri" w:hAnsi="Calibri"/>
          <w:color w:val="2D3748"/>
          <w:sz w:val="19"/>
        </w:rPr>
        <w:t>Mid-sized pharmaceutical and biotech firms (50 - 1,000 employees) that cannot justify $150k+/year for Oracle Argus or ArisGlobal, but require real-time streaming surveillance to protect their post-marketing pipeline.</w:t>
      </w:r>
    </w:p>
    <w:p>
      <w:pPr>
        <w:spacing w:after="80" w:line="276" w:lineRule="auto"/>
      </w:pPr>
      <w:r>
        <w:rPr>
          <w:rFonts w:ascii="Calibri" w:hAnsi="Calibri"/>
          <w:b/>
          <w:color w:val="1B365D"/>
          <w:sz w:val="19"/>
        </w:rPr>
        <w:t xml:space="preserve">2. Contract Research Organizations (CROs): </w:t>
      </w:r>
      <w:r>
        <w:rPr>
          <w:rFonts w:ascii="Calibri" w:hAnsi="Calibri"/>
          <w:color w:val="2D3748"/>
          <w:sz w:val="19"/>
        </w:rPr>
        <w:t>Organizations monitoring dozens of post-approval clinical protocols simultaneously needing automated safety dossier exports.</w:t>
      </w:r>
    </w:p>
    <w:p>
      <w:pPr>
        <w:spacing w:after="80" w:line="276" w:lineRule="auto"/>
      </w:pPr>
      <w:r>
        <w:rPr>
          <w:rFonts w:ascii="Calibri" w:hAnsi="Calibri"/>
          <w:b/>
          <w:color w:val="1B365D"/>
          <w:sz w:val="19"/>
        </w:rPr>
        <w:t xml:space="preserve">3. Clinical Pharmacologists &amp; Hospital Pharmacists: </w:t>
      </w:r>
      <w:r>
        <w:rPr>
          <w:rFonts w:ascii="Calibri" w:hAnsi="Calibri"/>
          <w:color w:val="2D3748"/>
          <w:sz w:val="19"/>
        </w:rPr>
        <w:t>Checking complex multi-drug regimens for uncharacterized drug-drug interactions using the GNN graph predictor.</w:t>
      </w:r>
    </w:p>
    <w:p>
      <w:pPr>
        <w:spacing w:after="80" w:line="276" w:lineRule="auto"/>
      </w:pPr>
      <w:r>
        <w:rPr>
          <w:rFonts w:ascii="Calibri" w:hAnsi="Calibri"/>
          <w:b/>
          <w:color w:val="1B365D"/>
          <w:sz w:val="19"/>
        </w:rPr>
        <w:t xml:space="preserve">4. Pharmacoepidemiologists &amp; Health Data Scientists: </w:t>
      </w:r>
      <w:r>
        <w:rPr>
          <w:rFonts w:ascii="Calibri" w:hAnsi="Calibri"/>
          <w:color w:val="2D3748"/>
          <w:sz w:val="19"/>
        </w:rPr>
        <w:t>Academic researchers publishing disproportionality studies on clean, pre-processed FAERS Parquet data.</w:t>
      </w:r>
    </w:p>
    <w:p>
      <w:pPr>
        <w:keepNext/>
        <w:spacing w:before="280" w:after="100"/>
      </w:pPr>
      <w:r>
        <w:rPr>
          <w:rFonts w:ascii="Calibri" w:hAnsi="Calibri"/>
          <w:b/>
          <w:color w:val="1B365D"/>
          <w:sz w:val="30"/>
        </w:rPr>
        <w:t>7. End-to-End Numerical Case Studies</w:t>
      </w:r>
    </w:p>
    <w:p>
      <w:pPr>
        <w:keepNext/>
        <w:spacing w:before="200" w:after="60"/>
      </w:pPr>
      <w:r>
        <w:rPr>
          <w:rFonts w:ascii="Calibri" w:hAnsi="Calibri"/>
          <w:b/>
          <w:color w:val="4A5568"/>
          <w:sz w:val="24"/>
        </w:rPr>
        <w:t>7.1 Case Study A: Montelukast &amp; Neuropsychiatric Events (Suicidal Ideation)</w:t>
      </w:r>
    </w:p>
    <w:tbl>
      <w:tblPr>
        <w:tblW w:type="auto" w:w="0"/>
        <w:jc w:val="center"/>
        <w:tblLook w:firstColumn="1" w:firstRow="1" w:lastColumn="0" w:lastRow="0" w:noHBand="0" w:noVBand="1" w:val="04A0"/>
      </w:tblPr>
      <w:tblGrid>
        <w:gridCol w:w="9936"/>
      </w:tblGrid>
      <w:tr>
        <w:tc>
          <w:tcPr>
            <w:tcW w:type="dxa" w:w="9936"/>
            <w:shd w:fill="F7FAFC"/>
            <w:tcBorders>
              <w:top w:val="single" w:sz="4" w:color="CBD5E0"/>
              <w:left w:val="single" w:sz="14" w:color="4A5568"/>
              <w:bottom w:val="single" w:sz="4" w:color="CBD5E0"/>
              <w:right w:val="single" w:sz="4" w:color="CBD5E0"/>
            </w:tcBorders>
          </w:tcPr>
          <w:p>
            <w:pPr>
              <w:spacing w:before="80" w:after="80"/>
            </w:pPr>
            <w:r>
              <w:rPr>
                <w:rFonts w:ascii="Consolas" w:hAnsi="Consolas"/>
                <w:color w:val="1A202C"/>
                <w:sz w:val="17"/>
              </w:rPr>
              <w:t>FAERS:          [ S: 21.4 | V: 18.0 | H: 16.5 | C:  5.7 ]</w:t>
              <w:br/>
              <w:t>ClinicalTrials: [ S: 22.5 | V:  8.0 | H:  4.5 | C: 25.0 ]</w:t>
              <w:br/>
              <w:t>PubMed:         [ S: 18.8 | V: 14.0 | H: 20.0 | C: 22.0 ]</w:t>
              <w:br/>
              <w:t>Reddit:         [ S: 20.0 | V: 22.5 | H: 18.0 | C:  6.5 ]</w:t>
              <w:br/>
              <w:br/>
              <w:t>Applying Epistemic Weights:</w:t>
              <w:br/>
              <w:t>Master_S = (0.35*22.5) + (0.30*21.4) + (0.25*18.8) + (0.10*20.0) = 21.0</w:t>
              <w:br/>
              <w:t>Master_V = (0.35*8.0)  + (0.30*18.0) + (0.25*14.0) + (0.10*22.5) = 14.0</w:t>
              <w:br/>
              <w:t>Master_H = (0.35*4.5)  + (0.30*16.5) + (0.25*20.0) + (0.10*18.0) = 13.3</w:t>
              <w:br/>
              <w:t>Master_C = (0.35*25.0) + (0.30*5.7)  + (0.25*22.0) + (0.10*6.5)  = 16.6</w:t>
              <w:br/>
              <w:br/>
              <w:t>MASTER DVI SCORE: 64.9 / 100  --&gt;  [ACTIVE INVESTIGATION / REGULATORY ALERT]</w:t>
              <w:br/>
              <w:t>Fingerprint: [ S: 21.0 | V: 14.0 | H: 13.3 | C: 16.6 ]</w:t>
            </w:r>
          </w:p>
        </w:tc>
      </w:tr>
    </w:tbl>
    <w:p>
      <w:pPr>
        <w:spacing w:after="80"/>
      </w:pPr>
    </w:p>
    <w:p>
      <w:pPr>
        <w:keepNext/>
        <w:spacing w:before="200" w:after="60"/>
      </w:pPr>
      <w:r>
        <w:rPr>
          <w:rFonts w:ascii="Calibri" w:hAnsi="Calibri"/>
          <w:b/>
          <w:color w:val="4A5568"/>
          <w:sz w:val="24"/>
        </w:rPr>
        <w:t>7.2 Case Study B: Metformin &amp; Transient Dyspepsia / Nausea</w:t>
      </w:r>
    </w:p>
    <w:tbl>
      <w:tblPr>
        <w:tblW w:type="auto" w:w="0"/>
        <w:jc w:val="center"/>
        <w:tblLook w:firstColumn="1" w:firstRow="1" w:lastColumn="0" w:lastRow="0" w:noHBand="0" w:noVBand="1" w:val="04A0"/>
      </w:tblPr>
      <w:tblGrid>
        <w:gridCol w:w="9936"/>
      </w:tblGrid>
      <w:tr>
        <w:tc>
          <w:tcPr>
            <w:tcW w:type="dxa" w:w="9936"/>
            <w:shd w:fill="F7FAFC"/>
            <w:tcBorders>
              <w:top w:val="single" w:sz="4" w:color="CBD5E0"/>
              <w:left w:val="single" w:sz="14" w:color="4A5568"/>
              <w:bottom w:val="single" w:sz="4" w:color="CBD5E0"/>
              <w:right w:val="single" w:sz="4" w:color="CBD5E0"/>
            </w:tcBorders>
          </w:tcPr>
          <w:p>
            <w:pPr>
              <w:spacing w:before="80" w:after="80"/>
            </w:pPr>
            <w:r>
              <w:rPr>
                <w:rFonts w:ascii="Consolas" w:hAnsi="Consolas"/>
                <w:color w:val="1A202C"/>
                <w:sz w:val="17"/>
              </w:rPr>
              <w:t>Master_S = 24.5  (Massive report volume over 30 years)</w:t>
              <w:br/>
              <w:t>Master_V =  2.0  (Static flatline reporting; zero acceleration)</w:t>
              <w:br/>
              <w:t>Master_H =  2.5  (Harm ratio near zero; no mortality)</w:t>
              <w:br/>
              <w:t>Master_C = 12.0  (Documented baseline pharmacology)</w:t>
              <w:br/>
              <w:br/>
              <w:t>MASTER DVI SCORE: 41.0 / 100  --&gt;  [WATCHLIST / BENIGN BASELINE]</w:t>
              <w:br/>
              <w:t>Fingerprint: [ S: 24.5 | V: 2.0 | H: 2.5 | C: 12.0 ]</w:t>
            </w:r>
          </w:p>
        </w:tc>
      </w:tr>
    </w:tbl>
    <w:p>
      <w:pPr>
        <w:spacing w:after="80"/>
      </w:pPr>
    </w:p>
    <w:p>
      <w:pPr>
        <w:keepNext/>
        <w:spacing w:before="280" w:after="100"/>
      </w:pPr>
      <w:r>
        <w:rPr>
          <w:rFonts w:ascii="Calibri" w:hAnsi="Calibri"/>
          <w:b/>
          <w:color w:val="1B365D"/>
          <w:sz w:val="30"/>
        </w:rPr>
        <w:t>8. Master Variable Dictionary &amp; Scientific Boundaries</w:t>
      </w:r>
    </w:p>
    <w:tbl>
      <w:tblPr>
        <w:tblW w:type="auto" w:w="0"/>
        <w:jc w:val="center"/>
        <w:tblLook w:firstColumn="1" w:firstRow="1" w:lastColumn="0" w:lastRow="0" w:noHBand="0" w:noVBand="1" w:val="04A0"/>
      </w:tblPr>
      <w:tblGrid>
        <w:gridCol w:w="2484"/>
        <w:gridCol w:w="2484"/>
        <w:gridCol w:w="2484"/>
        <w:gridCol w:w="2484"/>
      </w:tblGrid>
      <w:tr>
        <w:tc>
          <w:tcPr>
            <w:tcW w:type="dxa" w:w="2484"/>
            <w:shd w:fill="1B365D"/>
          </w:tcPr>
          <w:p>
            <w:r>
              <w:rPr>
                <w:rFonts w:ascii="Calibri" w:hAnsi="Calibri"/>
                <w:b/>
                <w:color w:val="FFFFFF"/>
                <w:sz w:val="17"/>
              </w:rPr>
              <w:t>Variable</w:t>
            </w:r>
          </w:p>
        </w:tc>
        <w:tc>
          <w:tcPr>
            <w:tcW w:type="dxa" w:w="2484"/>
            <w:shd w:fill="1B365D"/>
          </w:tcPr>
          <w:p>
            <w:r>
              <w:rPr>
                <w:rFonts w:ascii="Calibri" w:hAnsi="Calibri"/>
                <w:b/>
                <w:color w:val="FFFFFF"/>
                <w:sz w:val="17"/>
              </w:rPr>
              <w:t>Mathematical Dimension</w:t>
            </w:r>
          </w:p>
        </w:tc>
        <w:tc>
          <w:tcPr>
            <w:tcW w:type="dxa" w:w="2484"/>
            <w:shd w:fill="1B365D"/>
          </w:tcPr>
          <w:p>
            <w:r>
              <w:rPr>
                <w:rFonts w:ascii="Calibri" w:hAnsi="Calibri"/>
                <w:b/>
                <w:color w:val="FFFFFF"/>
                <w:sz w:val="17"/>
              </w:rPr>
              <w:t>Valid Range / Type</w:t>
            </w:r>
          </w:p>
        </w:tc>
        <w:tc>
          <w:tcPr>
            <w:tcW w:type="dxa" w:w="2484"/>
            <w:shd w:fill="1B365D"/>
          </w:tcPr>
          <w:p>
            <w:r>
              <w:rPr>
                <w:rFonts w:ascii="Calibri" w:hAnsi="Calibri"/>
                <w:b/>
                <w:color w:val="FFFFFF"/>
                <w:sz w:val="17"/>
              </w:rPr>
              <w:t>Clinical Definition</w:t>
            </w:r>
          </w:p>
        </w:tc>
      </w:tr>
      <w:tr>
        <w:tc>
          <w:tcPr>
            <w:tcW w:type="dxa" w:w="2484"/>
          </w:tcPr>
          <w:p>
            <w:r>
              <w:rPr>
                <w:rFonts w:ascii="Consolas" w:hAnsi="Consolas"/>
                <w:color w:val="2D3748"/>
                <w:sz w:val="16"/>
              </w:rPr>
              <w:t>a, b, c, d</w:t>
            </w:r>
          </w:p>
        </w:tc>
        <w:tc>
          <w:tcPr>
            <w:tcW w:type="dxa" w:w="2484"/>
          </w:tcPr>
          <w:p>
            <w:r>
              <w:rPr>
                <w:rFonts w:ascii="Calibri" w:hAnsi="Calibri"/>
                <w:color w:val="2D3748"/>
                <w:sz w:val="16"/>
              </w:rPr>
              <w:t>S (Statistical)</w:t>
            </w:r>
          </w:p>
        </w:tc>
        <w:tc>
          <w:tcPr>
            <w:tcW w:type="dxa" w:w="2484"/>
          </w:tcPr>
          <w:p>
            <w:r>
              <w:rPr>
                <w:rFonts w:ascii="Consolas" w:hAnsi="Consolas"/>
                <w:color w:val="2D3748"/>
                <w:sz w:val="16"/>
              </w:rPr>
              <w:t>Integer [0, Inf)</w:t>
            </w:r>
          </w:p>
        </w:tc>
        <w:tc>
          <w:tcPr>
            <w:tcW w:type="dxa" w:w="2484"/>
          </w:tcPr>
          <w:p>
            <w:r>
              <w:rPr>
                <w:rFonts w:ascii="Calibri" w:hAnsi="Calibri"/>
                <w:color w:val="2D3748"/>
                <w:sz w:val="16"/>
              </w:rPr>
              <w:t>2x2 contingency counts from FAERS or registry</w:t>
            </w:r>
          </w:p>
        </w:tc>
      </w:tr>
      <w:tr>
        <w:tc>
          <w:tcPr>
            <w:tcW w:type="dxa" w:w="2484"/>
          </w:tcPr>
          <w:p>
            <w:r>
              <w:rPr>
                <w:rFonts w:ascii="Consolas" w:hAnsi="Consolas"/>
                <w:color w:val="2D3748"/>
                <w:sz w:val="16"/>
              </w:rPr>
              <w:t>ROR_lower_95</w:t>
            </w:r>
          </w:p>
        </w:tc>
        <w:tc>
          <w:tcPr>
            <w:tcW w:type="dxa" w:w="2484"/>
          </w:tcPr>
          <w:p>
            <w:r>
              <w:rPr>
                <w:rFonts w:ascii="Calibri" w:hAnsi="Calibri"/>
                <w:color w:val="2D3748"/>
                <w:sz w:val="16"/>
              </w:rPr>
              <w:t>S (Statistical)</w:t>
            </w:r>
          </w:p>
        </w:tc>
        <w:tc>
          <w:tcPr>
            <w:tcW w:type="dxa" w:w="2484"/>
          </w:tcPr>
          <w:p>
            <w:r>
              <w:rPr>
                <w:rFonts w:ascii="Consolas" w:hAnsi="Consolas"/>
                <w:color w:val="2D3748"/>
                <w:sz w:val="16"/>
              </w:rPr>
              <w:t>Float [0.0, Inf)</w:t>
            </w:r>
          </w:p>
        </w:tc>
        <w:tc>
          <w:tcPr>
            <w:tcW w:type="dxa" w:w="2484"/>
          </w:tcPr>
          <w:p>
            <w:r>
              <w:rPr>
                <w:rFonts w:ascii="Calibri" w:hAnsi="Calibri"/>
                <w:color w:val="2D3748"/>
                <w:sz w:val="16"/>
              </w:rPr>
              <w:t>95% CI lower bound of Reporting Odds Ratio</w:t>
            </w:r>
          </w:p>
        </w:tc>
      </w:tr>
      <w:tr>
        <w:tc>
          <w:tcPr>
            <w:tcW w:type="dxa" w:w="2484"/>
          </w:tcPr>
          <w:p>
            <w:r>
              <w:rPr>
                <w:rFonts w:ascii="Consolas" w:hAnsi="Consolas"/>
                <w:color w:val="2D3748"/>
                <w:sz w:val="16"/>
              </w:rPr>
              <w:t>v</w:t>
            </w:r>
          </w:p>
        </w:tc>
        <w:tc>
          <w:tcPr>
            <w:tcW w:type="dxa" w:w="2484"/>
          </w:tcPr>
          <w:p>
            <w:r>
              <w:rPr>
                <w:rFonts w:ascii="Calibri" w:hAnsi="Calibri"/>
                <w:color w:val="2D3748"/>
                <w:sz w:val="16"/>
              </w:rPr>
              <w:t>V (Velocity)</w:t>
            </w:r>
          </w:p>
        </w:tc>
        <w:tc>
          <w:tcPr>
            <w:tcW w:type="dxa" w:w="2484"/>
          </w:tcPr>
          <w:p>
            <w:r>
              <w:rPr>
                <w:rFonts w:ascii="Consolas" w:hAnsi="Consolas"/>
                <w:color w:val="2D3748"/>
                <w:sz w:val="16"/>
              </w:rPr>
              <w:t>Float (-1.0, Inf)</w:t>
            </w:r>
          </w:p>
        </w:tc>
        <w:tc>
          <w:tcPr>
            <w:tcW w:type="dxa" w:w="2484"/>
          </w:tcPr>
          <w:p>
            <w:r>
              <w:rPr>
                <w:rFonts w:ascii="Calibri" w:hAnsi="Calibri"/>
                <w:color w:val="2D3748"/>
                <w:sz w:val="16"/>
              </w:rPr>
              <w:t>First-order reporting velocity (rate of growth)</w:t>
            </w:r>
          </w:p>
        </w:tc>
      </w:tr>
      <w:tr>
        <w:tc>
          <w:tcPr>
            <w:tcW w:type="dxa" w:w="2484"/>
          </w:tcPr>
          <w:p>
            <w:r>
              <w:rPr>
                <w:rFonts w:ascii="Consolas" w:hAnsi="Consolas"/>
                <w:color w:val="2D3748"/>
                <w:sz w:val="16"/>
              </w:rPr>
              <w:t>alpha</w:t>
            </w:r>
          </w:p>
        </w:tc>
        <w:tc>
          <w:tcPr>
            <w:tcW w:type="dxa" w:w="2484"/>
          </w:tcPr>
          <w:p>
            <w:r>
              <w:rPr>
                <w:rFonts w:ascii="Calibri" w:hAnsi="Calibri"/>
                <w:color w:val="2D3748"/>
                <w:sz w:val="16"/>
              </w:rPr>
              <w:t>V (Velocity)</w:t>
            </w:r>
          </w:p>
        </w:tc>
        <w:tc>
          <w:tcPr>
            <w:tcW w:type="dxa" w:w="2484"/>
          </w:tcPr>
          <w:p>
            <w:r>
              <w:rPr>
                <w:rFonts w:ascii="Consolas" w:hAnsi="Consolas"/>
                <w:color w:val="2D3748"/>
                <w:sz w:val="16"/>
              </w:rPr>
              <w:t>Float (-Inf, Inf)</w:t>
            </w:r>
          </w:p>
        </w:tc>
        <w:tc>
          <w:tcPr>
            <w:tcW w:type="dxa" w:w="2484"/>
          </w:tcPr>
          <w:p>
            <w:r>
              <w:rPr>
                <w:rFonts w:ascii="Calibri" w:hAnsi="Calibri"/>
                <w:color w:val="2D3748"/>
                <w:sz w:val="16"/>
              </w:rPr>
              <w:t>Second-order kinematic acceleration / momentum</w:t>
            </w:r>
          </w:p>
        </w:tc>
      </w:tr>
      <w:tr>
        <w:tc>
          <w:tcPr>
            <w:tcW w:type="dxa" w:w="2484"/>
          </w:tcPr>
          <w:p>
            <w:r>
              <w:rPr>
                <w:rFonts w:ascii="Consolas" w:hAnsi="Consolas"/>
                <w:color w:val="2D3748"/>
                <w:sz w:val="16"/>
              </w:rPr>
              <w:t>Harm_Ratio</w:t>
            </w:r>
          </w:p>
        </w:tc>
        <w:tc>
          <w:tcPr>
            <w:tcW w:type="dxa" w:w="2484"/>
          </w:tcPr>
          <w:p>
            <w:r>
              <w:rPr>
                <w:rFonts w:ascii="Calibri" w:hAnsi="Calibri"/>
                <w:color w:val="2D3748"/>
                <w:sz w:val="16"/>
              </w:rPr>
              <w:t>H (Clinical Harm)</w:t>
            </w:r>
          </w:p>
        </w:tc>
        <w:tc>
          <w:tcPr>
            <w:tcW w:type="dxa" w:w="2484"/>
          </w:tcPr>
          <w:p>
            <w:r>
              <w:rPr>
                <w:rFonts w:ascii="Consolas" w:hAnsi="Consolas"/>
                <w:color w:val="2D3748"/>
                <w:sz w:val="16"/>
              </w:rPr>
              <w:t>Float [0.10, 1.00]</w:t>
            </w:r>
          </w:p>
        </w:tc>
        <w:tc>
          <w:tcPr>
            <w:tcW w:type="dxa" w:w="2484"/>
          </w:tcPr>
          <w:p>
            <w:r>
              <w:rPr>
                <w:rFonts w:ascii="Calibri" w:hAnsi="Calibri"/>
                <w:color w:val="2D3748"/>
                <w:sz w:val="16"/>
              </w:rPr>
              <w:t>MedDRA outcome-weighted clinical severity index</w:t>
            </w:r>
          </w:p>
        </w:tc>
      </w:tr>
      <w:tr>
        <w:tc>
          <w:tcPr>
            <w:tcW w:type="dxa" w:w="2484"/>
          </w:tcPr>
          <w:p>
            <w:r>
              <w:rPr>
                <w:rFonts w:ascii="Consolas" w:hAnsi="Consolas"/>
                <w:color w:val="2D3748"/>
                <w:sz w:val="16"/>
              </w:rPr>
              <w:t>P_dechal</w:t>
            </w:r>
          </w:p>
        </w:tc>
        <w:tc>
          <w:tcPr>
            <w:tcW w:type="dxa" w:w="2484"/>
          </w:tcPr>
          <w:p>
            <w:r>
              <w:rPr>
                <w:rFonts w:ascii="Calibri" w:hAnsi="Calibri"/>
                <w:color w:val="2D3748"/>
                <w:sz w:val="16"/>
              </w:rPr>
              <w:t>C (Causality)</w:t>
            </w:r>
          </w:p>
        </w:tc>
        <w:tc>
          <w:tcPr>
            <w:tcW w:type="dxa" w:w="2484"/>
          </w:tcPr>
          <w:p>
            <w:r>
              <w:rPr>
                <w:rFonts w:ascii="Consolas" w:hAnsi="Consolas"/>
                <w:color w:val="2D3748"/>
                <w:sz w:val="16"/>
              </w:rPr>
              <w:t>Float [0.0, 1.0]</w:t>
            </w:r>
          </w:p>
        </w:tc>
        <w:tc>
          <w:tcPr>
            <w:tcW w:type="dxa" w:w="2484"/>
          </w:tcPr>
          <w:p>
            <w:r>
              <w:rPr>
                <w:rFonts w:ascii="Calibri" w:hAnsi="Calibri"/>
                <w:color w:val="2D3748"/>
                <w:sz w:val="16"/>
              </w:rPr>
              <w:t>Proportion of cases with positive dechallenge</w:t>
            </w:r>
          </w:p>
        </w:tc>
      </w:tr>
      <w:tr>
        <w:tc>
          <w:tcPr>
            <w:tcW w:type="dxa" w:w="2484"/>
          </w:tcPr>
          <w:p>
            <w:r>
              <w:rPr>
                <w:rFonts w:ascii="Consolas" w:hAnsi="Consolas"/>
                <w:color w:val="2D3748"/>
                <w:sz w:val="16"/>
              </w:rPr>
              <w:t>GNN_conf</w:t>
            </w:r>
          </w:p>
        </w:tc>
        <w:tc>
          <w:tcPr>
            <w:tcW w:type="dxa" w:w="2484"/>
          </w:tcPr>
          <w:p>
            <w:r>
              <w:rPr>
                <w:rFonts w:ascii="Calibri" w:hAnsi="Calibri"/>
                <w:color w:val="2D3748"/>
                <w:sz w:val="16"/>
              </w:rPr>
              <w:t>C (Causality)</w:t>
            </w:r>
          </w:p>
        </w:tc>
        <w:tc>
          <w:tcPr>
            <w:tcW w:type="dxa" w:w="2484"/>
          </w:tcPr>
          <w:p>
            <w:r>
              <w:rPr>
                <w:rFonts w:ascii="Consolas" w:hAnsi="Consolas"/>
                <w:color w:val="2D3748"/>
                <w:sz w:val="16"/>
              </w:rPr>
              <w:t>Float [0.0, 1.0]</w:t>
            </w:r>
          </w:p>
        </w:tc>
        <w:tc>
          <w:tcPr>
            <w:tcW w:type="dxa" w:w="2484"/>
          </w:tcPr>
          <w:p>
            <w:r>
              <w:rPr>
                <w:rFonts w:ascii="Calibri" w:hAnsi="Calibri"/>
                <w:color w:val="2D3748"/>
                <w:sz w:val="16"/>
              </w:rPr>
              <w:t>Molecular interaction probability from PyTorch GNN</w:t>
            </w:r>
          </w:p>
        </w:tc>
      </w:tr>
      <w:tr>
        <w:tc>
          <w:tcPr>
            <w:tcW w:type="dxa" w:w="2484"/>
          </w:tcPr>
          <w:p>
            <w:r>
              <w:rPr>
                <w:rFonts w:ascii="Consolas" w:hAnsi="Consolas"/>
                <w:color w:val="2D3748"/>
                <w:sz w:val="16"/>
              </w:rPr>
              <w:t>DVI_Master</w:t>
            </w:r>
          </w:p>
        </w:tc>
        <w:tc>
          <w:tcPr>
            <w:tcW w:type="dxa" w:w="2484"/>
          </w:tcPr>
          <w:p>
            <w:r>
              <w:rPr>
                <w:rFonts w:ascii="Calibri" w:hAnsi="Calibri"/>
                <w:color w:val="2D3748"/>
                <w:sz w:val="16"/>
              </w:rPr>
              <w:t>Master Index</w:t>
            </w:r>
          </w:p>
        </w:tc>
        <w:tc>
          <w:tcPr>
            <w:tcW w:type="dxa" w:w="2484"/>
          </w:tcPr>
          <w:p>
            <w:r>
              <w:rPr>
                <w:rFonts w:ascii="Consolas" w:hAnsi="Consolas"/>
                <w:color w:val="2D3748"/>
                <w:sz w:val="16"/>
              </w:rPr>
              <w:t>Float [0.0, 100.0]</w:t>
            </w:r>
          </w:p>
        </w:tc>
        <w:tc>
          <w:tcPr>
            <w:tcW w:type="dxa" w:w="2484"/>
          </w:tcPr>
          <w:p>
            <w:r>
              <w:rPr>
                <w:rFonts w:ascii="Calibri" w:hAnsi="Calibri"/>
                <w:color w:val="2D3748"/>
                <w:sz w:val="16"/>
              </w:rPr>
              <w:t>Composite Dynamic Vigilance Index</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