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000000"/>
          <w:sz w:val="32"/>
        </w:rPr>
        <w:t>Final — Parameter, Method, and Implementation Justification: Recommended Strategy, Bounds, Voltage and Tariffs Under DC Sessions</w:t>
      </w:r>
    </w:p>
    <w:p>
      <w:r>
        <w:rPr>
          <w:rFonts w:ascii="Calibri" w:hAnsi="Calibri"/>
          <w:b w:val="0"/>
          <w:color w:val="000000"/>
          <w:sz w:val="22"/>
        </w:rPr>
        <w:t xml:space="preserve">**Status: complete (2026-10-07). Run unattended on branch </w:t>
      </w:r>
      <w:r>
        <w:rPr>
          <w:rFonts w:ascii="Consolas" w:hAnsi="Consolas"/>
          <w:b w:val="0"/>
          <w:color w:val="000000"/>
          <w:sz w:val="20"/>
        </w:rPr>
        <w:t>semana-7</w:t>
      </w:r>
      <w:r>
        <w:rPr>
          <w:rFonts w:ascii="Calibri" w:hAnsi="Calibri"/>
          <w:b w:val="0"/>
          <w:color w:val="000000"/>
          <w:sz w:val="22"/>
        </w:rPr>
        <w:t>;</w:t>
      </w:r>
    </w:p>
    <w:p>
      <w:r>
        <w:rPr>
          <w:rFonts w:ascii="Calibri" w:hAnsi="Calibri"/>
          <w:b w:val="0"/>
          <w:color w:val="000000"/>
          <w:sz w:val="22"/>
        </w:rPr>
        <w:t>nothing committed. This is the last experimental run; the practical part of</w:t>
      </w:r>
    </w:p>
    <w:p>
      <w:r>
        <w:rPr>
          <w:rFonts w:ascii="Calibri" w:hAnsi="Calibri"/>
          <w:b w:val="0"/>
          <w:color w:val="000000"/>
          <w:sz w:val="22"/>
        </w:rPr>
        <w:t>the thesis is closed.**</w:t>
      </w:r>
    </w:p>
    <w:p>
      <w:r>
        <w:rPr>
          <w:rFonts w:ascii="Calibri" w:hAnsi="Calibri"/>
          <w:b w:val="0"/>
          <w:color w:val="000000"/>
          <w:sz w:val="22"/>
        </w:rPr>
        <w:t>This document follows the usual mechanism. It is a Markdown record rendered</w:t>
      </w:r>
    </w:p>
    <w:p>
      <w:r>
        <w:rPr>
          <w:rFonts w:ascii="Calibri" w:hAnsi="Calibri"/>
          <w:b w:val="0"/>
          <w:color w:val="000000"/>
          <w:sz w:val="22"/>
        </w:rPr>
        <w:t xml:space="preserve">to </w:t>
      </w:r>
      <w:r>
        <w:rPr>
          <w:rFonts w:ascii="Consolas" w:hAnsi="Consolas"/>
          <w:b w:val="0"/>
          <w:color w:val="000000"/>
          <w:sz w:val="20"/>
        </w:rPr>
        <w:t>.docx</w:t>
      </w:r>
      <w:r>
        <w:rPr>
          <w:rFonts w:ascii="Calibri" w:hAnsi="Calibri"/>
          <w:b w:val="0"/>
          <w:color w:val="000000"/>
          <w:sz w:val="22"/>
        </w:rPr>
        <w:t xml:space="preserve"> by </w:t>
      </w:r>
      <w:r>
        <w:rPr>
          <w:rFonts w:ascii="Consolas" w:hAnsi="Consolas"/>
          <w:b w:val="0"/>
          <w:color w:val="000000"/>
          <w:sz w:val="20"/>
        </w:rPr>
        <w:t>scripts/render_docx.py</w:t>
      </w:r>
      <w:r>
        <w:rPr>
          <w:rFonts w:ascii="Calibri" w:hAnsi="Calibri"/>
          <w:b w:val="0"/>
          <w:color w:val="000000"/>
          <w:sz w:val="22"/>
        </w:rPr>
        <w:t>. The decision log is the last-run</w:t>
      </w:r>
    </w:p>
    <w:p>
      <w:r>
        <w:rPr>
          <w:rFonts w:ascii="Calibri" w:hAnsi="Calibri"/>
          <w:b w:val="0"/>
          <w:color w:val="000000"/>
          <w:sz w:val="22"/>
        </w:rPr>
        <w:t xml:space="preserve">section at the top of </w:t>
      </w:r>
      <w:r>
        <w:rPr>
          <w:rFonts w:ascii="Consolas" w:hAnsi="Consolas"/>
          <w:b w:val="0"/>
          <w:color w:val="000000"/>
          <w:sz w:val="20"/>
        </w:rPr>
        <w:t>thesis_docs/overnight_report.md</w:t>
      </w:r>
      <w:r>
        <w:rPr>
          <w:rFonts w:ascii="Calibri" w:hAnsi="Calibri"/>
          <w:b w:val="0"/>
          <w:color w:val="000000"/>
          <w:sz w:val="22"/>
        </w:rPr>
        <w:t>. The baseline was</w:t>
      </w:r>
    </w:p>
    <w:p>
      <w:r>
        <w:rPr>
          <w:rFonts w:ascii="Calibri" w:hAnsi="Calibri"/>
          <w:b w:val="0"/>
          <w:color w:val="000000"/>
          <w:sz w:val="22"/>
        </w:rPr>
        <w:t xml:space="preserve">HEAD </w:t>
      </w:r>
      <w:r>
        <w:rPr>
          <w:rFonts w:ascii="Consolas" w:hAnsi="Consolas"/>
          <w:b w:val="0"/>
          <w:color w:val="000000"/>
          <w:sz w:val="20"/>
        </w:rPr>
        <w:t>dad3f3e</w:t>
      </w:r>
      <w:r>
        <w:rPr>
          <w:rFonts w:ascii="Calibri" w:hAnsi="Calibri"/>
          <w:b w:val="0"/>
          <w:color w:val="000000"/>
          <w:sz w:val="22"/>
        </w:rPr>
        <w:t xml:space="preserve"> with a clean tree (</w:t>
      </w:r>
      <w:r>
        <w:rPr>
          <w:rFonts w:ascii="Consolas" w:hAnsi="Consolas"/>
          <w:b w:val="0"/>
          <w:color w:val="000000"/>
          <w:sz w:val="20"/>
        </w:rPr>
        <w:t>thesis_docs/final_baseline_status.txt</w:t>
      </w:r>
      <w:r>
        <w:rPr>
          <w:rFonts w:ascii="Calibri" w:hAnsi="Calibri"/>
          <w:b w:val="0"/>
          <w:color w:val="000000"/>
          <w:sz w:val="22"/>
        </w:rPr>
        <w:t>).</w:t>
      </w:r>
    </w:p>
    <w:p>
      <w:r>
        <w:rPr>
          <w:rFonts w:ascii="Calibri" w:hAnsi="Calibri"/>
          <w:b w:val="0"/>
          <w:color w:val="000000"/>
          <w:sz w:val="22"/>
        </w:rPr>
        <w:t>Unless stated otherwise, everything uses 42-minute DC sessions (an external,</w:t>
      </w:r>
    </w:p>
    <w:p>
      <w:r>
        <w:rPr>
          <w:rFonts w:ascii="Calibri" w:hAnsi="Calibri"/>
          <w:b w:val="0"/>
          <w:color w:val="000000"/>
          <w:sz w:val="22"/>
        </w:rPr>
        <w:t>non-Colombian reference), 8 ports and one 100 kW (112.5 kVA) transformer,</w:t>
      </w:r>
    </w:p>
    <w:p>
      <w:r>
        <w:rPr>
          <w:rFonts w:ascii="Calibri" w:hAnsi="Calibri"/>
          <w:b w:val="0"/>
          <w:color w:val="000000"/>
          <w:sz w:val="22"/>
        </w:rPr>
        <w:t>50 seeds × 2 days, and n_clusters = 50.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Headline Results Summary</w:t>
      </w:r>
    </w:p>
    <w:p>
      <w:r>
        <w:rPr>
          <w:rFonts w:ascii="Calibri" w:hAnsi="Calibri"/>
          <w:b/>
          <w:color w:val="000000"/>
          <w:sz w:val="22"/>
        </w:rPr>
        <w:t>Objective 4 — infrastructure guidelines (final answer).</w:t>
      </w:r>
    </w:p>
    <w:p>
      <w:r>
        <w:rPr>
          <w:rFonts w:ascii="Calibri" w:hAnsi="Calibri"/>
          <w:b w:val="0"/>
          <w:color w:val="000000"/>
          <w:sz w:val="22"/>
        </w:rPr>
        <w:t xml:space="preserve">1. </w:t>
      </w:r>
      <w:r>
        <w:rPr>
          <w:rFonts w:ascii="Calibri" w:hAnsi="Calibri"/>
          <w:b/>
          <w:color w:val="000000"/>
          <w:sz w:val="22"/>
        </w:rPr>
        <w:t>Operate the station with a transformer-aware Round Robin</w:t>
      </w:r>
      <w:r>
        <w:rPr>
          <w:rFonts w:ascii="Calibri" w:hAnsi="Calibri"/>
          <w:b w:val="0"/>
          <w:color w:val="000000"/>
          <w:sz w:val="22"/>
        </w:rPr>
        <w:t>: round-robin</w:t>
      </w:r>
    </w:p>
    <w:p>
      <w:r>
        <w:rPr>
          <w:rFonts w:ascii="Calibri" w:hAnsi="Calibri"/>
          <w:b w:val="0"/>
          <w:color w:val="000000"/>
          <w:sz w:val="22"/>
        </w:rPr>
        <w:t xml:space="preserve">   load management whose power budget is the transformer rating.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It keeps every run within 100 kW.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It serves 95.0% of requested energy at the reference demand (AFAP:</w:t>
      </w:r>
    </w:p>
    <w:p>
      <w:r>
        <w:rPr>
          <w:rFonts w:ascii="Calibri" w:hAnsi="Calibri"/>
          <w:b w:val="0"/>
          <w:color w:val="000000"/>
          <w:sz w:val="22"/>
        </w:rPr>
        <w:t xml:space="preserve">     97.6%, but it overloads in 97/100 runs).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It costs 10,141 COP/day [7,816, 12,623] of margin in Bogotá (2.8%).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 xml:space="preserve">EV2Gym's own </w:t>
      </w:r>
      <w:r>
        <w:rPr>
          <w:rFonts w:ascii="Consolas" w:hAnsi="Consolas"/>
          <w:b w:val="0"/>
          <w:color w:val="000000"/>
          <w:sz w:val="20"/>
        </w:rPr>
        <w:t>RoundRobin</w:t>
      </w:r>
      <w:r>
        <w:rPr>
          <w:rFonts w:ascii="Calibri" w:hAnsi="Calibri"/>
          <w:b w:val="0"/>
          <w:color w:val="000000"/>
          <w:sz w:val="22"/>
        </w:rPr>
        <w:t xml:space="preserve"> is not this strategy: it follows a</w:t>
      </w:r>
    </w:p>
    <w:p>
      <w:r>
        <w:rPr>
          <w:rFonts w:ascii="Calibri" w:hAnsi="Calibri"/>
          <w:b w:val="0"/>
          <w:color w:val="000000"/>
          <w:sz w:val="22"/>
        </w:rPr>
        <w:t xml:space="preserve">     median-smoothed setpoint and never reads the transformer limit.</w:t>
      </w:r>
    </w:p>
    <w:p>
      <w:r>
        <w:rPr>
          <w:rFonts w:ascii="Calibri" w:hAnsi="Calibri"/>
          <w:b w:val="0"/>
          <w:color w:val="000000"/>
          <w:sz w:val="22"/>
        </w:rPr>
        <w:t xml:space="preserve">2. </w:t>
      </w:r>
      <w:r>
        <w:rPr>
          <w:rFonts w:ascii="Calibri" w:hAnsi="Calibri"/>
          <w:b/>
          <w:color w:val="000000"/>
          <w:sz w:val="22"/>
        </w:rPr>
        <w:t>Size it in physical units.</w:t>
      </w:r>
      <w:r>
        <w:rPr>
          <w:rFonts w:ascii="Calibri" w:hAnsi="Calibri"/>
          <w:b w:val="0"/>
          <w:color w:val="000000"/>
          <w:sz w:val="22"/>
        </w:rPr>
        <w:t xml:space="preserve"> The 8-port, 100 kW station meets every</w:t>
      </w:r>
    </w:p>
    <w:p>
      <w:r>
        <w:rPr>
          <w:rFonts w:ascii="Calibri" w:hAnsi="Calibri"/>
          <w:b w:val="0"/>
          <w:color w:val="000000"/>
          <w:sz w:val="22"/>
        </w:rPr>
        <w:t xml:space="preserve">   criterion up to </w:t>
      </w:r>
      <w:r>
        <w:rPr>
          <w:rFonts w:ascii="Calibri" w:hAnsi="Calibri"/>
          <w:b/>
          <w:color w:val="000000"/>
          <w:sz w:val="22"/>
        </w:rPr>
        <w:t>47 offered arrivals/day (763 kWh/day)</w:t>
      </w:r>
      <w:r>
        <w:rPr>
          <w:rFonts w:ascii="Calibri" w:hAnsi="Calibri"/>
          <w:b w:val="0"/>
          <w:color w:val="000000"/>
          <w:sz w:val="22"/>
        </w:rPr>
        <w:t>. At **57</w:t>
      </w:r>
    </w:p>
    <w:p>
      <w:r>
        <w:rPr>
          <w:rFonts w:ascii="Calibri" w:hAnsi="Calibri"/>
          <w:b w:val="0"/>
          <w:color w:val="000000"/>
          <w:sz w:val="22"/>
        </w:rPr>
        <w:t xml:space="preserve">   arrivals/day (911 kWh/day) it needs 10 ports** on the same unit.</w:t>
      </w:r>
    </w:p>
    <w:p>
      <w:r>
        <w:rPr>
          <w:rFonts w:ascii="Calibri" w:hAnsi="Calibri"/>
          <w:b w:val="0"/>
          <w:color w:val="000000"/>
          <w:sz w:val="22"/>
        </w:rPr>
        <w:t xml:space="preserve">3. </w:t>
      </w:r>
      <w:r>
        <w:rPr>
          <w:rFonts w:ascii="Calibri" w:hAnsi="Calibri"/>
          <w:b/>
          <w:color w:val="000000"/>
          <w:sz w:val="22"/>
        </w:rPr>
        <w:t>Voltage.</w:t>
      </w:r>
      <w:r>
        <w:rPr>
          <w:rFonts w:ascii="Calibri" w:hAnsi="Calibri"/>
          <w:b w:val="0"/>
          <w:color w:val="000000"/>
          <w:sz w:val="22"/>
        </w:rPr>
        <w:t xml:space="preserve"> On EV2Gym's node_123 test feeder, AFAP and the</w:t>
      </w:r>
    </w:p>
    <w:p>
      <w:r>
        <w:rPr>
          <w:rFonts w:ascii="Calibri" w:hAnsi="Calibri"/>
          <w:b w:val="0"/>
          <w:color w:val="000000"/>
          <w:sz w:val="22"/>
        </w:rPr>
        <w:t xml:space="preserve">   transformer-aware Round Robin stay within ±5% at 1.0–1.6× (0/50 cells</w:t>
      </w:r>
    </w:p>
    <w:p>
      <w:r>
        <w:rPr>
          <w:rFonts w:ascii="Calibri" w:hAnsi="Calibri"/>
          <w:b w:val="0"/>
          <w:color w:val="000000"/>
          <w:sz w:val="22"/>
        </w:rPr>
        <w:t xml:space="preserve">   out of band; lowest bus 0.9733 p.u.; weekday only).</w:t>
      </w:r>
    </w:p>
    <w:p>
      <w:r>
        <w:rPr>
          <w:rFonts w:ascii="Calibri" w:hAnsi="Calibri"/>
          <w:b w:val="0"/>
          <w:color w:val="000000"/>
          <w:sz w:val="22"/>
        </w:rPr>
        <w:t>4. **The non-causal MPC and oracle are not upper bounds on service under</w:t>
      </w:r>
    </w:p>
    <w:p>
      <w:r>
        <w:rPr>
          <w:rFonts w:ascii="Calibri" w:hAnsi="Calibri"/>
          <w:b w:val="0"/>
          <w:color w:val="000000"/>
          <w:sz w:val="22"/>
        </w:rPr>
        <w:t xml:space="preserve">   DC sessions.** They track the same median-smoothed setpoint and leave</w:t>
      </w:r>
    </w:p>
    <w:p>
      <w:r>
        <w:rPr>
          <w:rFonts w:ascii="Calibri" w:hAnsi="Calibri"/>
          <w:b w:val="0"/>
          <w:color w:val="000000"/>
          <w:sz w:val="22"/>
        </w:rPr>
        <w:t xml:space="preserve">   48.5% / 39.9% of demand unserved at 1.0×. MPC is infeasible in 37.7% of</w:t>
      </w:r>
    </w:p>
    <w:p>
      <w:r>
        <w:rPr>
          <w:rFonts w:ascii="Calibri" w:hAnsi="Calibri"/>
          <w:b w:val="0"/>
          <w:color w:val="000000"/>
          <w:sz w:val="22"/>
        </w:rPr>
        <w:t xml:space="preserve">   its steps.</w:t>
      </w:r>
    </w:p>
    <w:p>
      <w:r>
        <w:rPr>
          <w:rFonts w:ascii="Calibri" w:hAnsi="Calibri"/>
          <w:b/>
          <w:color w:val="000000"/>
          <w:sz w:val="22"/>
        </w:rPr>
        <w:t>Objective 5 — replicability (final answer).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guideline transfers through two inputs: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station's own arrivals per day;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operator's Nivel 2 tariff.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Under a flat tariff the ranking is tariff-invariant (Proposition 7.1).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Under DC load profiles, Air-e's 10.03% two-band option no longer changes</w:t>
      </w:r>
    </w:p>
    <w:p>
      <w:r>
        <w:rPr>
          <w:rFonts w:ascii="Calibri" w:hAnsi="Calibri"/>
          <w:b w:val="0"/>
          <w:color w:val="000000"/>
          <w:sz w:val="22"/>
        </w:rPr>
        <w:t xml:space="preserve">  the cost of the limit materially (9,230 COP/day two-band against 9,619</w:t>
      </w:r>
    </w:p>
    <w:p>
      <w:r>
        <w:rPr>
          <w:rFonts w:ascii="Calibri" w:hAnsi="Calibri"/>
          <w:b w:val="0"/>
          <w:color w:val="000000"/>
          <w:sz w:val="22"/>
        </w:rPr>
        <w:t xml:space="preserve">  flat), and the cost is about 2.8% of margin in all six categoría especial</w:t>
      </w:r>
    </w:p>
    <w:p>
      <w:r>
        <w:rPr>
          <w:rFonts w:ascii="Calibri" w:hAnsi="Calibri"/>
          <w:b w:val="0"/>
          <w:color w:val="000000"/>
          <w:sz w:val="22"/>
        </w:rPr>
        <w:t xml:space="preserve">  cities.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No city's demand is mapped onto the axis, because no per-station demand</w:t>
      </w:r>
    </w:p>
    <w:p>
      <w:r>
        <w:rPr>
          <w:rFonts w:ascii="Calibri" w:hAnsi="Calibri"/>
          <w:b w:val="0"/>
          <w:color w:val="000000"/>
          <w:sz w:val="22"/>
        </w:rPr>
        <w:t xml:space="preserve">  source exists.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Part 1 — Parameters and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Parameter / method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Justification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Source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Recommended arm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Round Robin, transformer-aware (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RoundRobinTransformerCapped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promoted from diagnostic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The thesis's recommendation (round-robin sharing of the rating) implemented with the rating as the budget. It is causal and needs no forecast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06 S6.7.1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Budget fraction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0.999 × rating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labelled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0.1% margin so float rounding cannot register as overload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ev2gym_thesis/heuristics.py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Session model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lognormal, mean 42 min, CV 0.5 (bracket 32 / 78)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external reference, not Colombian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Final capacity brief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U.S. DOE (2023); Hardman (2026)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Bounds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MPC_TrackingG2V, Optimal_Oracle_Tracking at 1.0/1.3/1.6×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upper bounds on setpoint tracking, non-causal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Both know departure times. The 4-hour timing rule did not fire, so all 50 seeds were used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tracking_mpc.py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;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tracking_error.py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Voltage protocol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node_123, bus 115, weekday, 50 seeds, idle matched per level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closure E2, unchanged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The only shipped feeder in band when idle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scripts/dwell_ieee123_voltage.py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Two-band tariffs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closure D2 tariffs, 15-min DC profiles, 1.0×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post-processing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city_tables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reused unchanged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scripts/dwell_multicity_dc.py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Criteria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satisfaction counting rejected (CI low ≥ 90%); DNS (CI high ≤ 15%); zero overload in every run; ±5% band in every cell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hardest CI side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As in the closure and dwell runs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analyze_last_run.py</w:t>
            </w:r>
          </w:p>
        </w:tc>
      </w:tr>
    </w:tbl>
    <w:p/>
    <w:p>
      <w:r>
        <w:rPr>
          <w:rFonts w:ascii="Calibri" w:hAnsi="Calibri"/>
          <w:b/>
          <w:color w:val="000000"/>
          <w:sz w:val="22"/>
        </w:rPr>
        <w:t>Final target compliance (DC 42 min, 8 ports, 100 kW; n_clusters = 50).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Level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Arm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Satisfaction &gt; 90%, served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Satisfaction &gt; 90%, counting rejected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ENS_rel &lt; 15%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DNS &lt; 15%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Transformer within rating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Voltage ±5%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AFAP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(CI low 99.8%)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(97.9%, CI low 97.2%)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(0.0%)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(2.4%, CI high 3.2%)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(97/100 runs overload)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on node_123 (0/50 cells out of band)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Round Robin (EV2Gym, setpoint)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(CI low 94.4%)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(93.0%, CI low 92.2%)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(22.9%)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(24.8%, CI high 26.8%)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(65/100 runs overload)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evaluated (not rerun on node_123 under DC)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Round Robin, transformer-aware (recommended)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(CI low 99.1%)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(97.3%, CI low 96.5%)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(2.7%)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(5.0%, CI high 6.1%)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(0/100 runs overload)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on node_123 (0/50 cells out of band)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MPC_TrackingG2V (upper bound, non-causal)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(CI low 87.7%)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(87.2%, CI low 85.8%)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(47.3%)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(48.5%, CI high 53.1%)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(7/100 runs overload, solver tolerance ≤ 0.0001 kWh/day)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evaluated (not rerun on node_123 under DC)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Optimal_Oracle_Tracking (upper bound, non-causal)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(CI low 90.8%)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(89.5%, CI low 88.7%)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(38.4%)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(39.9%, CI high 41.9%)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(0/100 runs overload)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evaluated (not rerun on node_123 under DC)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Final RL model (out of distribution)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(CI low 93.7%)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(92.2%, CI low 91.5%)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(26.3%)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(28.1%, CI high 29.6%)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(81/100 runs overload)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evaluated (not rerun on node_123 under DC)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1.3×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AFAP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(CI low 99.8%)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(94.7%, CI low 93.7%)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(0.0%)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(5.5%, CI high 6.5%)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(100/100 runs overload)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on node_123 (0/50 cells out of band)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1.3×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Round Robin (EV2Gym, setpoint)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(CI low 95.1%)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(90.6%, CI low 89.6%)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(19.0%)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(23.5%, CI high 25.2%)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(83/100 runs overload)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evaluated (not rerun on node_123 under DC)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1.3×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Round Robin, transformer-aware (recommended)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(CI low 98.9%)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(93.9%, CI low 92.8%)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(3.7%)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(9.0%, CI high 10.2%)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(0/100 runs overload)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on node_123 (0/50 cells out of band)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1.3×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MPC_TrackingG2V (upper bound, non-causal)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(CI low 86.7%)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(83.3%, CI low 81.9%)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(51.7%)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(54.4%, CI high 58.7%)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(7/100 runs overload, solver tolerance ≤ 0.0001 kWh/day)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evaluated (not rerun on node_123 under DC)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1.3×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Optimal_Oracle_Tracking (upper bound, non-causal)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(CI low 91.3%)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(87.0%, CI low 86.1%)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(35.6%)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(39.2%, CI high 40.8%)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(0/100 runs overload)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evaluated (not rerun on node_123 under DC)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1.3×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Final RL model (out of distribution)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(CI low 94.0%)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(89.4%, CI low 88.4%)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(24.8%)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(29.0%, CI high 30.4%)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(95/100 runs overload)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evaluated (not rerun on node_123 under DC)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1.6×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AFAP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(CI low 99.8%)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(89.5%, CI low 88.0%)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(0.0%)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(10.5%, CI high 11.8%)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(100/100 runs overload)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on node_123 (0/50 cells out of band)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1.6×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Round Robin (EV2Gym, setpoint)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(CI low 95.8%)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(86.1%, CI low 84.8%)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(16.6%)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(25.3%, CI high 26.9%)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(96/100 runs overload)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evaluated (not rerun on node_123 under DC)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1.6×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Round Robin, transformer-aware (recommended)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(CI low 98.8%)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(88.6%, CI low 87.2%)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(4.2%)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(14.2%, CI high 15.7%)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(0/100 runs overload)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on node_123 (0/50 cells out of band)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1.6×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MPC_TrackingG2V (upper bound, non-causal)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(CI low 85.8%)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(77.8%, CI low 76.2%)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(56.0%)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(60.6%, CI high 64.6%)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(11/100 runs overload, solver tolerance ≤ 0.0001 kWh/day)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evaluated (not rerun on node_123 under DC)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1.6×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Optimal_Oracle_Tracking (upper bound, non-causal)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(CI low 91.7%)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(82.5%, CI low 81.2%)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(34.4%)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(41.3%, CI high 42.8%)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(0/100 runs overload)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evaluated (not rerun on node_123 under DC)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1.6×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Final RL model (out of distribution)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(CI low 94.5%)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(84.9%, CI low 83.5%)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(22.5%)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(30.6%, CI high 32.1%)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(98/100 runs overload)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evaluated (not rerun on node_123 under DC)</w:t>
            </w:r>
          </w:p>
        </w:tc>
      </w:tr>
    </w:tbl>
    <w:p/>
    <w:p>
      <w:r>
        <w:rPr>
          <w:rFonts w:ascii="Calibri" w:hAnsi="Calibri"/>
          <w:b w:val="0"/>
          <w:color w:val="000000"/>
          <w:sz w:val="22"/>
        </w:rPr>
        <w:t>The paired comparisons, the voltage table and the tariff table are in</w:t>
      </w:r>
    </w:p>
    <w:p>
      <w:r>
        <w:rPr>
          <w:rFonts w:ascii="Calibri" w:hAnsi="Calibri"/>
          <w:b w:val="0"/>
          <w:color w:val="000000"/>
          <w:sz w:val="22"/>
        </w:rPr>
        <w:t>chapters 06 (S6.7.2–S6.7.3) and 07 (S7.11).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Part 2 — Implementation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`ev2gym_thesis/heuristics.py`, `ev2gym_thesis/figures.py` (relabelled)</w:t>
      </w:r>
    </w:p>
    <w:p>
      <w:r>
        <w:rPr>
          <w:rFonts w:ascii="Calibri" w:hAnsi="Calibri"/>
          <w:b w:val="0"/>
          <w:color w:val="000000"/>
          <w:sz w:val="22"/>
        </w:rPr>
        <w:t>The display name is now "Round Robin, transformer-aware", and the docstring</w:t>
      </w:r>
    </w:p>
    <w:p>
      <w:r>
        <w:rPr>
          <w:rFonts w:ascii="Calibri" w:hAnsi="Calibri"/>
          <w:b w:val="0"/>
          <w:color w:val="000000"/>
          <w:sz w:val="22"/>
        </w:rPr>
        <w:t>states its promotion. The class name is unchanged, so every registry row</w:t>
      </w:r>
    </w:p>
    <w:p>
      <w:r>
        <w:rPr>
          <w:rFonts w:ascii="Calibri" w:hAnsi="Calibri"/>
          <w:b w:val="0"/>
          <w:color w:val="000000"/>
          <w:sz w:val="22"/>
        </w:rPr>
        <w:t>stays valid.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`scripts/run_dwell_capacity.py` (extended), `scripts/run_last_worker.cmd` (new)</w:t>
      </w:r>
    </w:p>
    <w:p>
      <w:r>
        <w:rPr>
          <w:rFonts w:ascii="Calibri" w:hAnsi="Calibri"/>
          <w:b w:val="0"/>
          <w:color w:val="000000"/>
          <w:sz w:val="22"/>
        </w:rPr>
        <w:t xml:space="preserve">The bound arms go through </w:t>
      </w:r>
      <w:r>
        <w:rPr>
          <w:rFonts w:ascii="Consolas" w:hAnsi="Consolas"/>
          <w:b w:val="0"/>
          <w:color w:val="000000"/>
          <w:sz w:val="20"/>
        </w:rPr>
        <w:t>run_week7_grid.run_cell</w:t>
      </w:r>
      <w:r>
        <w:rPr>
          <w:rFonts w:ascii="Calibri" w:hAnsi="Calibri"/>
          <w:b w:val="0"/>
          <w:color w:val="000000"/>
          <w:sz w:val="22"/>
        </w:rPr>
        <w:t xml:space="preserve"> with the DC transform</w:t>
      </w:r>
    </w:p>
    <w:p>
      <w:r>
        <w:rPr>
          <w:rFonts w:ascii="Calibri" w:hAnsi="Calibri"/>
          <w:b w:val="0"/>
          <w:color w:val="000000"/>
          <w:sz w:val="22"/>
        </w:rPr>
        <w:t xml:space="preserve">enabled (MPC through </w:t>
      </w:r>
      <w:r>
        <w:rPr>
          <w:rFonts w:ascii="Consolas" w:hAnsi="Consolas"/>
          <w:b w:val="0"/>
          <w:color w:val="000000"/>
          <w:sz w:val="20"/>
        </w:rPr>
        <w:t>evaluate_mpc</w:t>
      </w:r>
      <w:r>
        <w:rPr>
          <w:rFonts w:ascii="Calibri" w:hAnsi="Calibri"/>
          <w:b w:val="0"/>
          <w:color w:val="000000"/>
          <w:sz w:val="22"/>
        </w:rPr>
        <w:t>, the oracle through</w:t>
      </w:r>
    </w:p>
    <w:p>
      <w:r>
        <w:rPr>
          <w:rFonts w:ascii="Consolas" w:hAnsi="Consolas"/>
          <w:b w:val="0"/>
          <w:color w:val="000000"/>
          <w:sz w:val="20"/>
        </w:rPr>
        <w:t>evaluate_oracle</w:t>
      </w:r>
      <w:r>
        <w:rPr>
          <w:rFonts w:ascii="Calibri" w:hAnsi="Calibri"/>
          <w:b w:val="0"/>
          <w:color w:val="000000"/>
          <w:sz w:val="22"/>
        </w:rPr>
        <w:t>, with a per-process replay directory). Their notes carry</w:t>
      </w:r>
    </w:p>
    <w:p>
      <w:r>
        <w:rPr>
          <w:rFonts w:ascii="Consolas" w:hAnsi="Consolas"/>
          <w:b w:val="0"/>
          <w:color w:val="000000"/>
          <w:sz w:val="20"/>
        </w:rPr>
        <w:t>upper_bound_noncausal=knows_departure_times,tracks_ev2gym_power_setpoint=True</w:t>
      </w:r>
      <w:r>
        <w:rPr>
          <w:rFonts w:ascii="Calibri" w:hAnsi="Calibri"/>
          <w:b w:val="0"/>
          <w:color w:val="00000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 xml:space="preserve">Plan: </w:t>
      </w:r>
      <w:r>
        <w:rPr>
          <w:rFonts w:ascii="Consolas" w:hAnsi="Consolas"/>
          <w:b w:val="0"/>
          <w:color w:val="000000"/>
          <w:sz w:val="20"/>
        </w:rPr>
        <w:t>configs/dwell/plans/dwell_bounds.json</w:t>
      </w:r>
      <w:r>
        <w:rPr>
          <w:rFonts w:ascii="Calibri" w:hAnsi="Calibri"/>
          <w:b w:val="0"/>
          <w:color w:val="00000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 xml:space="preserve">Output: 600 rows appended to </w:t>
      </w:r>
      <w:r>
        <w:rPr>
          <w:rFonts w:ascii="Consolas" w:hAnsi="Consolas"/>
          <w:b w:val="0"/>
          <w:color w:val="000000"/>
          <w:sz w:val="20"/>
        </w:rPr>
        <w:t>results/dwell_registry.csv</w:t>
      </w:r>
      <w:r>
        <w:rPr>
          <w:rFonts w:ascii="Calibri" w:hAnsi="Calibri"/>
          <w:b w:val="0"/>
          <w:color w:val="000000"/>
          <w:sz w:val="22"/>
        </w:rPr>
        <w:t>, which now has</w:t>
      </w:r>
    </w:p>
    <w:p>
      <w:r>
        <w:rPr>
          <w:rFonts w:ascii="Calibri" w:hAnsi="Calibri"/>
          <w:b w:val="0"/>
          <w:color w:val="000000"/>
          <w:sz w:val="22"/>
        </w:rPr>
        <w:t xml:space="preserve">  23,800 rows.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`scripts/dwell_ieee123_voltage.py` (new)</w:t>
      </w:r>
    </w:p>
    <w:p>
      <w:r>
        <w:rPr>
          <w:rFonts w:ascii="Calibri" w:hAnsi="Calibri"/>
          <w:b w:val="0"/>
          <w:color w:val="000000"/>
          <w:sz w:val="22"/>
        </w:rPr>
        <w:t>This is the closure E2 protocol, reused through the closure script's own</w:t>
      </w:r>
    </w:p>
    <w:p>
      <w:r>
        <w:rPr>
          <w:rFonts w:ascii="Calibri" w:hAnsi="Calibri"/>
          <w:b w:val="0"/>
          <w:color w:val="000000"/>
          <w:sz w:val="22"/>
        </w:rPr>
        <w:t xml:space="preserve">functions and constants. The configs are the closure's </w:t>
      </w:r>
      <w:r>
        <w:rPr>
          <w:rFonts w:ascii="Consolas" w:hAnsi="Consolas"/>
          <w:b w:val="0"/>
          <w:color w:val="000000"/>
          <w:sz w:val="20"/>
        </w:rPr>
        <w:t>grid123_sp*</w:t>
      </w:r>
      <w:r>
        <w:rPr>
          <w:rFonts w:ascii="Calibri" w:hAnsi="Calibri"/>
          <w:b w:val="0"/>
          <w:color w:val="000000"/>
          <w:sz w:val="22"/>
        </w:rPr>
        <w:t xml:space="preserve"> YAMLs</w:t>
      </w:r>
    </w:p>
    <w:p>
      <w:r>
        <w:rPr>
          <w:rFonts w:ascii="Calibri" w:hAnsi="Calibri"/>
          <w:b w:val="0"/>
          <w:color w:val="000000"/>
          <w:sz w:val="22"/>
        </w:rPr>
        <w:t>plus a DC sidecar. The transformer-aware arm runs through the heuristic row</w:t>
      </w:r>
    </w:p>
    <w:p>
      <w:r>
        <w:rPr>
          <w:rFonts w:ascii="Calibri" w:hAnsi="Calibri"/>
          <w:b w:val="0"/>
          <w:color w:val="000000"/>
          <w:sz w:val="22"/>
        </w:rPr>
        <w:t>builder, with the Week 7 voltage capture. There are 450 runs.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`scripts/dwell_multicity_dc.py` (new)</w:t>
      </w:r>
    </w:p>
    <w:p>
      <w:r>
        <w:rPr>
          <w:rFonts w:ascii="Calibri" w:hAnsi="Calibri"/>
          <w:b w:val="0"/>
          <w:color w:val="000000"/>
          <w:sz w:val="22"/>
        </w:rPr>
        <w:t xml:space="preserve">The closure's </w:t>
      </w:r>
      <w:r>
        <w:rPr>
          <w:rFonts w:ascii="Consolas" w:hAnsi="Consolas"/>
          <w:b w:val="0"/>
          <w:color w:val="000000"/>
          <w:sz w:val="20"/>
        </w:rPr>
        <w:t>attach_bands</w:t>
      </w:r>
      <w:r>
        <w:rPr>
          <w:rFonts w:ascii="Calibri" w:hAnsi="Calibri"/>
          <w:b w:val="0"/>
          <w:color w:val="000000"/>
          <w:sz w:val="22"/>
        </w:rPr>
        <w:t xml:space="preserve"> and </w:t>
      </w:r>
      <w:r>
        <w:rPr>
          <w:rFonts w:ascii="Consolas" w:hAnsi="Consolas"/>
          <w:b w:val="0"/>
          <w:color w:val="000000"/>
          <w:sz w:val="20"/>
        </w:rPr>
        <w:t>city_tables</w:t>
      </w:r>
      <w:r>
        <w:rPr>
          <w:rFonts w:ascii="Calibri" w:hAnsi="Calibri"/>
          <w:b w:val="0"/>
          <w:color w:val="000000"/>
          <w:sz w:val="22"/>
        </w:rPr>
        <w:t xml:space="preserve"> are reused unchanged on the</w:t>
      </w:r>
    </w:p>
    <w:p>
      <w:r>
        <w:rPr>
          <w:rFonts w:ascii="Calibri" w:hAnsi="Calibri"/>
          <w:b w:val="0"/>
          <w:color w:val="000000"/>
          <w:sz w:val="22"/>
        </w:rPr>
        <w:t>DC rows at 1.0×. The transformer-aware arm is passed in the "RoundRobin"</w:t>
      </w:r>
    </w:p>
    <w:p>
      <w:r>
        <w:rPr>
          <w:rFonts w:ascii="Calibri" w:hAnsi="Calibri"/>
          <w:b w:val="0"/>
          <w:color w:val="000000"/>
          <w:sz w:val="22"/>
        </w:rPr>
        <w:t>pairing slot, which is documented.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`scripts/analyze_last_run.py` (new)</w:t>
      </w:r>
    </w:p>
    <w:p>
      <w:r>
        <w:rPr>
          <w:rFonts w:ascii="Calibri" w:hAnsi="Calibri"/>
          <w:b w:val="0"/>
          <w:color w:val="000000"/>
          <w:sz w:val="22"/>
        </w:rPr>
        <w:t>It produces: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bounds against the transformer-aware Round Robin, with paired</w:t>
      </w:r>
    </w:p>
    <w:p>
      <w:r>
        <w:rPr>
          <w:rFonts w:ascii="Calibri" w:hAnsi="Calibri"/>
          <w:b w:val="0"/>
          <w:color w:val="000000"/>
          <w:sz w:val="22"/>
        </w:rPr>
        <w:t xml:space="preserve">  cluster-bootstrap differences and MPC's infeasible-step count;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node_123 voltage table, with a no-feedback check (station energy</w:t>
      </w:r>
    </w:p>
    <w:p>
      <w:r>
        <w:rPr>
          <w:rFonts w:ascii="Calibri" w:hAnsi="Calibri"/>
          <w:b w:val="0"/>
          <w:color w:val="000000"/>
          <w:sz w:val="22"/>
        </w:rPr>
        <w:t xml:space="preserve">  equals the non-grid DC rows);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6-arm × 3-level final compliance table.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`scripts/make_figures.py` (extended)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New figures: f19_capacity_threshold_dc, f20_port_options_dc and</w:t>
      </w:r>
    </w:p>
    <w:p>
      <w:r>
        <w:rPr>
          <w:rFonts w:ascii="Calibri" w:hAnsi="Calibri"/>
          <w:b w:val="0"/>
          <w:color w:val="000000"/>
          <w:sz w:val="22"/>
        </w:rPr>
        <w:t xml:space="preserve">  f25_voltage_dc.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Dutch-duration f19 and f20 are kept and relabelled "SENSITIVITY".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Visual QA found and fixed three issues: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f19dc picked its legend handle by position, so it duplicated RL and</w:t>
      </w:r>
    </w:p>
    <w:p>
      <w:r>
        <w:rPr>
          <w:rFonts w:ascii="Calibri" w:hAnsi="Calibri"/>
          <w:b w:val="0"/>
          <w:color w:val="000000"/>
          <w:sz w:val="22"/>
        </w:rPr>
        <w:t xml:space="preserve">    dropped the 100 kW line;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f25 axis label was clipped;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f20dc legend overlapped a marker.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`scripts/export_dwell_results_xlsx.py` (run), `scripts/extend_progress_log.py` (`--section last`)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 xml:space="preserve">Every new table has an </w:t>
      </w:r>
      <w:r>
        <w:rPr>
          <w:rFonts w:ascii="Consolas" w:hAnsi="Consolas"/>
          <w:b w:val="0"/>
          <w:color w:val="000000"/>
          <w:sz w:val="20"/>
        </w:rPr>
        <w:t>.xlsx</w:t>
      </w:r>
      <w:r>
        <w:rPr>
          <w:rFonts w:ascii="Calibri" w:hAnsi="Calibri"/>
          <w:b w:val="0"/>
          <w:color w:val="000000"/>
          <w:sz w:val="22"/>
        </w:rPr>
        <w:t xml:space="preserve"> twin produced through</w:t>
      </w:r>
    </w:p>
    <w:p>
      <w:r>
        <w:rPr>
          <w:rFonts w:ascii="Calibri" w:hAnsi="Calibri"/>
          <w:b w:val="0"/>
          <w:color w:val="000000"/>
          <w:sz w:val="22"/>
        </w:rPr>
        <w:t xml:space="preserve">  </w:t>
      </w:r>
      <w:r>
        <w:rPr>
          <w:rFonts w:ascii="Consolas" w:hAnsi="Consolas"/>
          <w:b w:val="0"/>
          <w:color w:val="000000"/>
          <w:sz w:val="20"/>
        </w:rPr>
        <w:t>export_formatted_xlsx</w:t>
      </w:r>
      <w:r>
        <w:rPr>
          <w:rFonts w:ascii="Calibri" w:hAnsi="Calibri"/>
          <w:b w:val="0"/>
          <w:color w:val="00000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Progress Log section 17 was appended; nothing earlier was modified.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Tests: `ev2gym_thesis/tests/test_dwell.py` (extended)</w:t>
      </w:r>
    </w:p>
    <w:p>
      <w:r>
        <w:rPr>
          <w:rFonts w:ascii="Consolas" w:hAnsi="Consolas"/>
          <w:b w:val="0"/>
          <w:color w:val="000000"/>
          <w:sz w:val="20"/>
        </w:rPr>
        <w:t>TestTransformerAwareBudget</w:t>
      </w:r>
      <w:r>
        <w:rPr>
          <w:rFonts w:ascii="Calibri" w:hAnsi="Calibri"/>
          <w:b w:val="0"/>
          <w:color w:val="000000"/>
          <w:sz w:val="22"/>
        </w:rPr>
        <w:t xml:space="preserve"> steps the recommended arm for 10 seeds × 2 days</w:t>
      </w:r>
    </w:p>
    <w:p>
      <w:r>
        <w:rPr>
          <w:rFonts w:ascii="Calibri" w:hAnsi="Calibri"/>
          <w:b w:val="0"/>
          <w:color w:val="000000"/>
          <w:sz w:val="22"/>
        </w:rPr>
        <w:t>at 1.6× and asserts, at every step, that the aggregate transformer power</w:t>
      </w:r>
    </w:p>
    <w:p>
      <w:r>
        <w:rPr>
          <w:rFonts w:ascii="Calibri" w:hAnsi="Calibri"/>
          <w:b w:val="0"/>
          <w:color w:val="000000"/>
          <w:sz w:val="22"/>
        </w:rPr>
        <w:t>and the station power are ≤ 0.999 × rating. It also asserts that the budget</w:t>
      </w:r>
    </w:p>
    <w:p>
      <w:r>
        <w:rPr>
          <w:rFonts w:ascii="Calibri" w:hAnsi="Calibri"/>
          <w:b w:val="0"/>
          <w:color w:val="000000"/>
          <w:sz w:val="22"/>
        </w:rPr>
        <w:t>actually binds (maximum ratio &gt; 0.9), so the pass is not vacuous.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References (APA 7)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Blu Radio. (2026, May 13). *Conductores en Bogotá podrán cargar hasta el 50 % de batería de su carro eléctrico en menos tiempo* (C. Durán, Author). https://www.bluradio.com/motor/conductores-en-boogta-podran-cargar-hasta-el-50-de-bateria-de-su-carro-electrico-en-menos-tiempo-so35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Enel Colombia. (2024, May). *Avances en infraestructura de recarga de vehículos eléctricos.* https://www.enel.com.co/es/historias/archive/2024/05/infraestructura-de-recarga-de-vehiculos-electricos.html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Hardman, S. (2026). Exploring electric vehicle driver activities and expenditure while using DC fast chargers. *Findings.* https://doi.org/10.32866/001c.162484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U.S. Department of Energy, Vehicle Technologies Office. (2023, December 4). *FOTW #1319: EV charging at paid DC fast charging stations average 42 minutes per session* [Fact of the Week]. https://www.energy.gov/cmei/vehicles/articles/fotw-1319-december-4-2023-ev-charging-paid-dc-fast-charging-stations-average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