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PROGRESS LOG -- UNDERGRADUATE THESIS PROJECT</w:t>
      </w:r>
    </w:p>
    <w:p>
      <w:pPr>
        <w:jc w:val="center"/>
      </w:pPr>
      <w:r>
        <w:rPr>
          <w:b/>
          <w:sz w:val="28"/>
        </w:rPr>
        <w:t>TERM 2026-20</w:t>
      </w:r>
    </w:p>
    <w:p>
      <w:pPr>
        <w:jc w:val="center"/>
      </w:pPr>
      <w:r>
        <w:rPr>
          <w:b w:val="0"/>
          <w:sz w:val="16"/>
        </w:rPr>
      </w:r>
    </w:p>
    <w:p>
      <w:pPr>
        <w:jc w:val="center"/>
      </w:pPr>
      <w:r>
        <w:rPr>
          <w:b/>
          <w:sz w:val="28"/>
        </w:rPr>
        <w:t>Santiago Reyes Cortes</w:t>
      </w:r>
    </w:p>
    <w:p>
      <w:pPr>
        <w:jc w:val="center"/>
      </w:pPr>
      <w:r>
        <w:rPr>
          <w:b w:val="0"/>
          <w:sz w:val="24"/>
        </w:rPr>
        <w:t>202221394</w:t>
      </w:r>
    </w:p>
    <w:p>
      <w:pPr>
        <w:jc w:val="center"/>
      </w:pPr>
      <w:r>
        <w:rPr>
          <w:b/>
          <w:sz w:val="26"/>
        </w:rPr>
        <w:t>Advisor: Alejandra Tabares Pozos</w:t>
      </w:r>
    </w:p>
    <w:p>
      <w:pPr>
        <w:jc w:val="center"/>
      </w:pPr>
      <w:r>
        <w:rPr>
          <w:b w:val="0"/>
          <w:sz w:val="16"/>
        </w:rPr>
      </w:r>
    </w:p>
    <w:p>
      <w:pPr>
        <w:jc w:val="center"/>
      </w:pPr>
      <w:r>
        <w:rPr>
          <w:b/>
          <w:sz w:val="26"/>
        </w:rPr>
        <w:t>PROJECT TITLE</w:t>
      </w:r>
    </w:p>
    <w:p>
      <w:pPr>
        <w:jc w:val="center"/>
      </w:pPr>
      <w:r>
        <w:rPr>
          <w:i/>
          <w:sz w:val="24"/>
        </w:rPr>
        <w:t>Optimizing the operation of an electric vehicle charging station in Colombia through simulation and smart charging algorithms, with infrastructure guidelines for future demand scenarios.</w:t>
      </w:r>
    </w:p>
    <w:p>
      <w:pPr>
        <w:jc w:val="center"/>
      </w:pPr>
      <w:r>
        <w:rPr>
          <w:b/>
          <w:sz w:val="26"/>
        </w:rPr>
        <w:t>Industrial Engineering</w:t>
      </w:r>
    </w:p>
    <w:p/>
    <w:p>
      <w:r>
        <w:rPr>
          <w:b/>
        </w:rPr>
        <w:t>Document revision note (2026-09-09)</w:t>
      </w:r>
    </w:p>
    <w:p>
      <w:r>
        <w:t>This is a corrected recompilation of the Progress Log. It folds in every correction the project made after the previous compiled version (Weeks 1-5), and adds the Week 4 results (sections 9.5-9.9) and Week 5 Part B results (sections 10.12-10.17) that were present in the weekly Word documents but missing from the compiled PDF. Every change against the previous version is marked inline in a shaded paragraph beginning "[Corrected 2026-09-09]" or "[Added 2026-09-09]", following this project's convention that corrections are never silent. Section 11 consolidates all of them.</w:t>
      </w:r>
    </w:p>
    <w:p>
      <w:r>
        <w:br w:type="page"/>
      </w:r>
    </w:p>
    <w:p>
      <w:pPr>
        <w:pStyle w:val="Heading1"/>
      </w:pPr>
      <w:r>
        <w:t>1. Project Foundations</w:t>
      </w:r>
    </w:p>
    <w:p>
      <w:r>
        <w:t>This section reproduces, without modification, the defining elements of the already-approved thesis project proposal (title, problem statement/need, research question, objectives and project justification). The rest of this document is a living log that will be updated week by week with the decisions made, assumptions adopted, and results obtained during project execution with the idea of using all this information on the final document.</w:t>
      </w:r>
    </w:p>
    <w:p>
      <w:pPr>
        <w:pStyle w:val="Heading2"/>
      </w:pPr>
      <w:r>
        <w:t>1.1. Problem Statement/Need</w:t>
      </w:r>
    </w:p>
    <w:p>
      <w:pPr>
        <w:pStyle w:val="Heading3"/>
      </w:pPr>
      <w:r>
        <w:t>1.1.1. Current Situation</w:t>
      </w:r>
    </w:p>
    <w:p>
      <w:r>
        <w:t>The first electric cars appeared in the 19th century, and in 2008 Tesla Motors launched the Tesla Roadster, demonstrating that electric cars could achieve high performance and a range of more than 320 km. Throughout the 2010s, continuous improvements in lithium-ion battery technology helped reduce costs and improve range, making this type of vehicle much more affordable for the mass market.</w:t>
      </w:r>
    </w:p>
    <w:p>
      <w:r>
        <w:t>From 2020 to the present, the combination of strict environmental regulations, government incentives, and the need to reduce greenhouse gas emissions has driven a massive boom in both supply and demand. This year, Colombia's electric vehicle market is experiencing a historic boom, growing 171.3% in the first quarter compared to 2025, driven by tax benefits, exemption from driving restrictions ("pico y placa"), and a wide range of brands such as BYD, Toyota, Kia, Volvo, and Tesla. Buyers are seeking savings on fuel and maintenance, in addition to driving-restriction exemptions and vehicle tax discounts.</w:t>
      </w:r>
    </w:p>
    <w:p>
      <w:r>
        <w:t>Despite this growth, the infrastructure installed in Colombia -- 447 public stations and 844 connectors registered by the Ministry of Mines and Energy as of early 2026 -- often operates below its potential. Existing stations show long wait times during peak hours, suboptimal power allocation among chargers, poor coordination with energy prices, and, under high simultaneous-demand scenarios, a risk of exceeding the local transformer's operating limits. For this reason, before scaling up the construction of new infrastructure, it is critical to understand and improve the operation of already-installed stations.</w:t>
      </w:r>
    </w:p>
    <w:p>
      <w:pPr>
        <w:pStyle w:val="Heading3"/>
      </w:pPr>
      <w:r>
        <w:t>1.1.2. Design</w:t>
      </w:r>
    </w:p>
    <w:p>
      <w:r>
        <w:t>This problem calls for an engineering design, understood as an iterative, creative, decision-making process aimed at improving the operation of an existing charging station in Colombia. The design will address power allocation among chargers, charging-time scheduling, user-queue management, and coordination with price signals and the local transformer's limits, seeking to raise user satisfaction and operator profitability without compromising the distribution network. In addition, the design will leave room to propose infrastructure improvement guidelines (capacity, number of chargers, connectors, integration with distributed generation) to address future demand-growth scenarios.</w:t>
      </w:r>
    </w:p>
    <w:p>
      <w:r>
        <w:t>The design of the operating strategy -- and of the future infrastructure guidelines -- must take into account operating-cost constraints, protocol interoperability (OCPP, CCS Combo 2), available contracted power, legal and electrical-safety considerations, ease of maintenance, and applicable national policies and regulations (Law 1964 of 2019, RETIE, CREG resolutions).</w:t>
      </w:r>
    </w:p>
    <w:p>
      <w:pPr>
        <w:spacing w:before="80" w:after="80"/>
        <w:ind w:left="432"/>
      </w:pPr>
      <w:r>
        <w:rPr>
          <w:i/>
          <w:color w:val="8A3000"/>
          <w:sz w:val="20"/>
        </w:rPr>
        <w:t>[Corrected 2026-09-09] The approved proposal's "CCS Combo 2" reference above is reproduced verbatim and is not attributed to a specific article. See section 8.1.4 for the corrected reading of Resolucion 40223 de 2021: its Article 4 minimum is Tipo 1 (SAE J1772) for AC and CCS Combo 1 for DC; "CCS Combo 2" does not appear in the resolution. This project keeps CCS Combo 2 in the simulation config on market-practice grounds, as a declared simplification, not as a regulatory floor.</w:t>
      </w:r>
    </w:p>
    <w:p>
      <w:pPr>
        <w:pStyle w:val="Heading3"/>
      </w:pPr>
      <w:r>
        <w:t>1.1.3. Background</w:t>
      </w:r>
    </w:p>
    <w:p>
      <w:r>
        <w:t>Three articles related to the topic were consulted. The first background reference presented is "EV2Gym Simulator for Smart V2G Charging."</w:t>
      </w:r>
    </w:p>
    <w:p>
      <w:r>
        <w:t>This article proposes EV2Gym, an open-source simulation platform aimed at developing and evaluating smart charging algorithms in Vehicle-to-Grid (V2G) scenarios. The central problem it addresses is the lack of a standardized environment for comparing different types of solutions -- heuristics, mathematical programming, and reinforcement learning (RL) -- under realistic and reproducible conditions.</w:t>
      </w:r>
    </w:p>
    <w:p>
      <w:r>
        <w:t>The authors built the simulator using real data: user-behavior profiles come from the ElaadNL platform (Netherlands), vehicle specifications were obtained from the RVO-NL report with records of more than 200,000 vehicles, and energy prices correspond to historical ENTSO-E spot-market data. The simulator models battery dynamics in detail through a two-stage model (constant current and constant voltage), incorporates a battery degradation model with calendar- and cycle-aging components, and adds transformer constraints, inflexible loads, and photovoltaic generation.</w:t>
      </w:r>
    </w:p>
    <w:p>
      <w:r>
        <w:t>Regarding quantitative results, the authors evaluated different algorithms under two reference scenarios. In the power setpoint-tracking (PST) problem with 20 chargers, the Round Robin heuristic achieved an energy error of only 57 kWh compared to 313 kWh for the unmanaged algorithm (AFAP), with 99% user satisfaction. In the V2G profit-maximization problem with 10 bidirectional chargers, Model Predictive Control (MPC) achieved the best balance between profit (17.8) and user satisfaction (76%), while the RL algorithm TD3 achieved the highest gross profit (31.1) but with the lowest user satisfaction (38%). The authors highlighted that RL methods run up to 1,000 times faster than MPC (0.009 s versus 108 s per step), making them more attractive for large-scale real-time operation.</w:t>
      </w:r>
    </w:p>
    <w:p>
      <w:r>
        <w:t>This work is directly relevant to the project because it establishes a methodological and computational framework on which charging-infrastructure expansion and management strategies can be built. In particular, the user arrival/departure behavior models, the scenario classification (residential, workplace, and public), and the proposed evaluation metrics are transferable to the Colombian context with the necessary adaptations.</w:t>
      </w:r>
    </w:p>
    <w:p>
      <w:r>
        <w:t>The second background reference presented is "Physics-Informed Reinforcement Learning for Large-Scale EV Charging."</w:t>
      </w:r>
    </w:p>
    <w:p>
      <w:r>
        <w:t>This work addresses a critical limitation of previous approaches: most RL algorithms for EV charging ignore the physical constraints of the electrical distribution network, which causes voltage violations when deployed at real scale. The proposed solution is the PI-TD3 algorithm (Physics-Informed Twin Delayed Deep Deterministic Policy Gradient), which incorporates the network's power-flow equations directly into the RL agent's training process through differentiable reward signals.</w:t>
      </w:r>
    </w:p>
    <w:p>
      <w:r>
        <w:t>The methodology combines three elements: a differentiable power-flow model based on the network's admittance matrix, each vehicle's battery dynamics as a known, differentiable function, and a forward simulation horizon of K steps that allows gradients to be propagated through the system's physics. Experiments were carried out on the IEEE 34-bus and 123-bus test networks, simulated using the EV2Gym environment and the RL-ADN power-flow module.</w:t>
      </w:r>
    </w:p>
    <w:p>
      <w:r>
        <w:t>The results are especially significant in terms of scale and quality. On the 34-bus network with 150 charging points, PI-TD3 reduced per-bus voltage violations by 20% relative to classic TD3 (from 127.8 to 104.2 violations) and achieved 95.6% user satisfaction, only 4 percentage points below the oracle MPC (which assumes perfect knowledge of the future). It also converged roughly four times faster than conventional TD3 during training. On the 123-bus network with 500 simultaneous electric vehicles, PI-TD3 matched or outperformed MPC in total voltage violations and cumulative reward, with an execution time of only 10 ms per step versus several minutes for MPC. The algorithm also demonstrated robustness under conditions not seen during training: evaluated on scenarios with loads between 0.5x and 1.25x nominal demand, it maintained user satisfaction above 90% without any retraining.</w:t>
      </w:r>
    </w:p>
    <w:p>
      <w:r>
        <w:t>For the present project, this background reference has a twofold importance. On one hand, it shows that the massive expansion of charging points in a city -- such as the one proposed for Colombia -- requires not only the physical installation of infrastructure but also smart management strategies that respect the electrical network's operating limits. On the other hand, the result that a 123-bus network can manage 500 vehicles in real time with an algorithm executable in 10 ms opens the door to viable technological solutions for grid operators and charging-service providers in Colombia.</w:t>
      </w:r>
    </w:p>
    <w:p>
      <w:r>
        <w:t>Finally, the reference "Microgrids as a Basis for the Integration of Distributed Energy Resources" is presented.</w:t>
      </w:r>
    </w:p>
    <w:p>
      <w:r>
        <w:t>This chapter reviews the concept of a microgrid as a distributed generation network capable of operating either connected to the main grid or in island mode, and analyzes its three-level hierarchical control: the primary level stabilizes voltage and frequency in real time, the secondary level corrects deviations, and the tertiary level optimizes power flows. Distributed resources -- photovoltaic panels, batteries, microturbines -- are coordinated through a central controller (MGCC) under centralized, decentralized, or agent-based architectures.</w:t>
      </w:r>
    </w:p>
    <w:p>
      <w:r>
        <w:t>Its relevance to this project lies in the fact that each high-power charging station acts as a dynamic demand node within the local distribution network. Understanding this control architecture is essential for identifying strategic locations that do not overload existing transformers or generate voltage instabilities -- constraints that must be considered from the solution's design stage onward.</w:t>
      </w:r>
    </w:p>
    <w:p>
      <w:pPr>
        <w:pStyle w:val="Heading2"/>
      </w:pPr>
      <w:r>
        <w:t>1.2. Research Question</w:t>
      </w:r>
    </w:p>
    <w:p>
      <w:r>
        <w:t>How can the operation of an existing electric vehicle charging station in Colombia be optimized -- in terms of user satisfaction, operator profitability, and compliance with local grid limits -- and what infrastructure guidelines are needed to scale that operation under future demand-growth scenarios?</w:t>
      </w:r>
    </w:p>
    <w:p>
      <w:pPr>
        <w:pStyle w:val="Heading2"/>
      </w:pPr>
      <w:r>
        <w:t>1.3. General Objective</w:t>
      </w:r>
    </w:p>
    <w:p>
      <w:r>
        <w:t>To design and evaluate, through simulation on the EV2Gym platform, an optimized operating strategy for an electric vehicle charging station that improves user satisfaction and operator profitability while respecting local grid technical limits, and to formulate infrastructure guidelines that allow scaling that operation under future demand scenarios.</w:t>
      </w:r>
    </w:p>
    <w:p>
      <w:pPr>
        <w:pStyle w:val="Heading2"/>
      </w:pPr>
      <w:r>
        <w:t>1.4. Specific Objectives</w:t>
      </w:r>
    </w:p>
    <w:p>
      <w:pPr>
        <w:pStyle w:val="ListBullet"/>
      </w:pPr>
      <w:r>
        <w:t>Characterize the current operation of a representative charging station in Colombia, identifying baseline metrics (waiting times, unserved energy, revenue, and demand profiles).</w:t>
      </w:r>
    </w:p>
    <w:p>
      <w:pPr>
        <w:pStyle w:val="ListBullet"/>
      </w:pPr>
      <w:r>
        <w:t>Model the station and its environment in the EV2Gym platform, incorporating local transformer constraints and energy prices, and validate the model against real operation.</w:t>
      </w:r>
    </w:p>
    <w:p>
      <w:pPr>
        <w:pStyle w:val="ListBullet"/>
      </w:pPr>
      <w:r>
        <w:t>Implement and compare at least three charging management algorithms (heuristic, MPC, and reinforcement learning) against unmanaged operation, using user satisfaction, revenue, and voltage violations as criteria.</w:t>
      </w:r>
    </w:p>
    <w:p>
      <w:pPr>
        <w:pStyle w:val="ListBullet"/>
      </w:pPr>
      <w:r>
        <w:t>Propose a recommended operating strategy and formulate infrastructure guidelines (capacity, number of chargers, interoperability, and possible distributed generation integration) for future scenarios of increased demand.</w:t>
      </w:r>
    </w:p>
    <w:p>
      <w:pPr>
        <w:pStyle w:val="ListBullet"/>
      </w:pPr>
      <w:r>
        <w:t>Evaluate the replicability of the proposed strategy in stations located in other special-category cities, identifying critical restrictions and assumptions.</w:t>
      </w:r>
    </w:p>
    <w:p>
      <w:pPr>
        <w:pStyle w:val="Heading2"/>
      </w:pPr>
      <w:r>
        <w:t>1.5. Project Justification</w:t>
      </w:r>
    </w:p>
    <w:p>
      <w:r>
        <w:t>This project arises from the accelerated growth of Colombia's electric vehicle market, driven by government incentives, tax benefits, and greater environmental awareness. However, this increase in demand has not been matched by an efficient operation of the existing charging infrastructure. Although the country has hundreds of installed stations, these show problems such as long wait times, inefficient power allocation, and risks of overloading the local electrical network. In this context, the problem lies not only in the lack of infrastructure, but in the need to optimize the use of already-available resources. This topic was therefore chosen with the aim of addressing a critical bottleneck in the country's energy transition, especially in large cities where simultaneous charging demand keeps growing.</w:t>
      </w:r>
    </w:p>
    <w:p>
      <w:r>
        <w:t>Research on this topic is fundamental, as it allows more efficient operating strategies to be analyzed and evaluated through simulation tools and smart charging algorithms. Unlike traditional approaches focused on infrastructure expansion, this project proposes optimizing the operation of existing stations using advanced models that consider both user demand and the electrical network's technical constraints. The added value lies in integrating methodologies such as simulation in realistic environments with heuristic, model predictive control, and reinforcement learning algorithms, which makes it possible to generate replicable and scalable solutions for the Colombian context. In this way, the project not only contributes to improving the user experience and operator profitability, but also provides strategic guidelines for a sustainable and efficient expansion of the country's charging infrastructure.</w:t>
      </w:r>
    </w:p>
    <w:p>
      <w:pPr>
        <w:pStyle w:val="Heading2"/>
      </w:pPr>
      <w:r>
        <w:t>1.6. Performance Targets Defined in the Proposal</w:t>
      </w:r>
    </w:p>
    <w:p>
      <w:r>
        <w:t>The proposal establishes three quantitative reference targets against which results obtained in each phase will be evaluated: user satisfaction above 90%; a reduction in unserved-energy error below 15% relative to the unmanaged-operation scenario; and zero voltage violations outside the +/-5% regulatory limit established by RETIE.</w:t>
      </w:r>
    </w:p>
    <w:p>
      <w:pPr>
        <w:pStyle w:val="Heading2"/>
      </w:pPr>
      <w:r>
        <w:t>1.7. Tools and Repository</w:t>
      </w:r>
    </w:p>
    <w:p>
      <w:r>
        <w:t>Experimental development is carried out on a fork of the open-source EV2Gym simulator (StavrosOrf/EV2Gym), extended with custom configurations to represent Colombian stations, without modifying the library core except where explicitly justified. The detailed schedule, compressed to 8 weeks, and the operating instructions for the coding assistant (Claude Code) are found in the repository's PROJECT_ROADMAP.md and CLAUDE.md files, and are not reproduced here to avoid duplication.</w:t>
      </w:r>
    </w:p>
    <w:p>
      <w:pPr>
        <w:pStyle w:val="Heading1"/>
      </w:pPr>
      <w:r>
        <w:t>2. Current Users</w:t>
      </w:r>
    </w:p>
    <w:p>
      <w:r>
        <w:t>Por definir.</w:t>
      </w:r>
    </w:p>
    <w:p>
      <w:pPr>
        <w:pStyle w:val="Heading1"/>
      </w:pPr>
      <w:r>
        <w:t>3. Requirement Definitions</w:t>
      </w:r>
    </w:p>
    <w:p>
      <w:r>
        <w:t>Por definir.</w:t>
      </w:r>
    </w:p>
    <w:p>
      <w:pPr>
        <w:pStyle w:val="Heading1"/>
      </w:pPr>
      <w:r>
        <w:t>4. Methodology</w:t>
      </w:r>
    </w:p>
    <w:p>
      <w:r>
        <w:t>Por definir.</w:t>
      </w:r>
    </w:p>
    <w:p>
      <w:pPr>
        <w:pStyle w:val="Heading1"/>
      </w:pPr>
      <w:r>
        <w:t>5. Prototype</w:t>
      </w:r>
    </w:p>
    <w:p>
      <w:r>
        <w:t>Por definir.</w:t>
      </w:r>
    </w:p>
    <w:p>
      <w:pPr>
        <w:pStyle w:val="Heading1"/>
      </w:pPr>
      <w:r>
        <w:t>6. Results &amp; Analysis</w:t>
      </w:r>
    </w:p>
    <w:p>
      <w:r>
        <w:t>Por definir.</w:t>
      </w:r>
    </w:p>
    <w:p>
      <w:pPr>
        <w:pStyle w:val="Heading1"/>
      </w:pPr>
      <w:r>
        <w:t>7. Conclusion &amp; Final Recommendations</w:t>
      </w:r>
    </w:p>
    <w:p>
      <w:r>
        <w:t>Por definir. Mi PG y cada una de las secciones de arriba se basa en lo que estoy realizando y bitacorando semana a semana - para la revision con Aleja.</w:t>
      </w:r>
    </w:p>
    <w:p>
      <w:pPr>
        <w:pStyle w:val="Heading1"/>
      </w:pPr>
      <w:r>
        <w:t>8. Weekly Progress Log</w:t>
      </w:r>
    </w:p>
    <w:p>
      <w:r>
        <w:t>This section is updated at the close of each work week. Each entry documents the configuration used, the assumptions adopted and their justification, the results obtained without adjustment or omission, and the limitations identified.</w:t>
      </w:r>
    </w:p>
    <w:p>
      <w:pPr>
        <w:pStyle w:val="Heading2"/>
      </w:pPr>
      <w:r>
        <w:t>8.1. Week 1 -- Parameter and Method Justification</w:t>
      </w:r>
    </w:p>
    <w:p>
      <w:pPr>
        <w:pStyle w:val="Heading3"/>
      </w:pPr>
      <w:r>
        <w:t>8.1.1. Purpose of the Document</w:t>
      </w:r>
    </w:p>
    <w:p>
      <w:r>
        <w:t>This document is a companion note to 01_baseline.md. It states, in one place: (i) what Week 1 is meant to accomplish within the approved thesis methodology, (ii) the reasoning behind every non-default parameter chosen for station_v0_bogota.yaml, and (iii) why ChargeAsFastAsPossible (AFAP) and Round Robin were selected as the two algorithms compared in Week 1.</w:t>
      </w:r>
    </w:p>
    <w:p>
      <w:r>
        <w:t>Every claim below is either traceable to a citable, publicly searchable source, or explicitly flagged as an assumption or an empirical result obtained within this project rather than taken from external literature.</w:t>
      </w:r>
    </w:p>
    <w:p>
      <w:pPr>
        <w:pStyle w:val="Heading3"/>
      </w:pPr>
      <w:r>
        <w:t>8.1.2. Week 1 Objective</w:t>
      </w:r>
    </w:p>
    <w:p>
      <w:r>
        <w:t>Week 1 corresponds to Specific Objective 1 of the approved thesis proposal: to characterize the current, unmanaged operation of a representative electric vehicle charging station in Colombia and establish baseline metrics (waiting times/service level, unserved energy, revenue, and demand profile) before any control strategy is introduced (Reyes Cortes, 2026, approved proposal, Section 4.2).</w:t>
      </w:r>
    </w:p>
    <w:p>
      <w:r>
        <w:t>Concretely, Week 1 uses the EV2Gym simulator (Orfanoudakis et al., 2025) to run one representative day of operation under two algorithms, AFAP and Round Robin, over the same station configuration. The goal is a first quantitative picture of whether the station's local transformer is at risk of overload under today's uncoordinated charging pattern, and how much of that risk a simple, easily deployable heuristic can remove without any advanced control infrastructure.</w:t>
      </w:r>
    </w:p>
    <w:p>
      <w:pPr>
        <w:pStyle w:val="Heading3"/>
      </w:pPr>
      <w:r>
        <w:t>8.1.3. Why ChargeAsFastAsPossible (AFAP) and Round Robin Were Chosen</w:t>
      </w:r>
    </w:p>
    <w:p>
      <w:r>
        <w:t>AFAP and Round Robin are not an arbitrary pair. They are the two heuristic baselines that Orfanoudakis et al. (2025) themselves use, in the original EV2Gym paper, as the reference points for the Public/Power-Setpoint-Tracking (PST) problem, which is the same problem class this thesis addresses (confirmed against the approved proposal in a previous working session).</w:t>
      </w:r>
    </w:p>
    <w:p>
      <w:r>
        <w:t>Using the same pair the simulator's own paper uses for its Public-scenario benchmark keeps Week 1's results directly comparable to a peer-reviewed reference point, instead of to an ad hoc baseline invented only for this project.</w:t>
      </w:r>
    </w:p>
    <w:p>
      <w:r>
        <w:t>AFAP was chosen specifically because it is the closest available proxy, inside EV2Gym, for what the approved proposal itself describes as the current real-world condition of Colombian public stations: suboptimal power allocation among chargers and operation below their real potential (Reyes Cortes, 2026, approved proposal, Section 2.1).</w:t>
      </w:r>
    </w:p>
    <w:p>
      <w:r>
        <w:t>AFAP charges every connected vehicle at the maximum power the charger and vehicle allow, with no coordination between chargers and no awareness of the transformer's limit, which is precisely the uncoordinated, first-come-first-served behavior the proposal identifies as today's operating pattern, rather than a synthetic worst case invented for the simulation.</w:t>
      </w:r>
    </w:p>
    <w:p>
      <w:r>
        <w:t>Round Robin was chosen as the second Week 1 algorithm because it is the simplest possible corrective step: a heuristic that needs no forecasting, no optimization solver, and no machine-learning training, only a rule for sharing available power across connected vehicles in turns.</w:t>
      </w:r>
    </w:p>
    <w:p>
      <w:r>
        <w:t>Orfanoudakis et al. (2025) report that, on the same Public/PST problem class, Round Robin reduced the unserved-energy error from 313 kWh under AFAP to 57 kWh, while keeping user satisfaction at 99%. That is exactly the comparison Week 1 needs: it shows, using a method any station operator could deploy without new hardware or software investment, how much of the transformer-overload problem is solvable through organization alone, before Phase 2 introduces MPC and reinforcement learning to test how much further improvement requires more sophisticated control.</w:t>
      </w:r>
    </w:p>
    <w:p>
      <w:pPr>
        <w:spacing w:before="80" w:after="80"/>
        <w:ind w:left="432"/>
      </w:pPr>
      <w:r>
        <w:rPr>
          <w:i/>
          <w:color w:val="8A3000"/>
          <w:sz w:val="20"/>
        </w:rPr>
        <w:t>[Corrected 2026-09-09] "Phase 2 (Weeks 3-5) introduces MPC and reinforcement learning" describes the original roadmap. In practice, Week 3 implemented vanilla TD3 (MPC deferred), Week 4 built the perfect-information oracle plus a reward ablation (a physics-informed reward adaptation was falsified before training), and MPC was implemented in Week 5. Each week's entry records its own roadmap deviation.</w:t>
      </w:r>
    </w:p>
    <w:p>
      <w:pPr>
        <w:pStyle w:val="Heading3"/>
      </w:pPr>
      <w:r>
        <w:t>8.1.4. Justification of the Simulation Parameters Used in station_v0_bogota.yaml</w:t>
      </w:r>
    </w:p>
    <w:p>
      <w:r>
        <w:t>Problem type: Public / unidirectional charging, no V2G. The approved proposal characterizes public Colombian charging stations, not private fleets or workplace charging, and bidirectional (Vehicle-to-Grid) discharge is not part of the commercially deployed public DC charging infrastructure in Colombia today.</w:t>
      </w:r>
    </w:p>
    <w:p>
      <w:r>
        <w:t>This was confirmed directly against the proposal's own text: the problem statement, design section, and Objective 3 all describe power allocation, queue management, and voltage/transformer limits under one-directional charging, and never describe selling energy back to the grid (Reyes Cortes, 2026, approved proposal, Sections 2.1, 2.2, 4.2). This also matches the Public/PST benchmark used in Orfanoudakis et al. (2025), as distinct from that same paper's separate V2G profit-maximization benchmark.</w:t>
      </w:r>
    </w:p>
    <w:p>
      <w:r>
        <w:t>The corresponding configuration is:</w:t>
      </w:r>
    </w:p>
    <w:p>
      <w:pPr>
        <w:ind w:left="432"/>
      </w:pPr>
      <w:r>
        <w:rPr>
          <w:rFonts w:ascii="Consolas" w:hAnsi="Consolas"/>
          <w:sz w:val="18"/>
        </w:rPr>
        <w:t>scenario: public</w:t>
        <w:br/>
        <w:t>v2g_enabled: False</w:t>
      </w:r>
    </w:p>
    <w:p>
      <w:r>
        <w:t>Connector standard and charging power: CCS Combo 2, 50 kW DC -- a declared simplification on market-practice grounds, not a regulatory-floor claim.</w:t>
      </w:r>
    </w:p>
    <w:p>
      <w:pPr>
        <w:spacing w:before="80" w:after="80"/>
        <w:ind w:left="432"/>
      </w:pPr>
      <w:r>
        <w:rPr>
          <w:i/>
          <w:color w:val="8A3000"/>
          <w:sz w:val="20"/>
        </w:rPr>
        <w:t>[Corrected 2026-09-09, Week 5 Part A] The original text of this paragraph asserted that Resolucion 40223 de 2021 sets CCS Combo 2 as the minimum required DC fast-charging connector for publicly accessible stations. That is wrong. Reading Articulo 4 of the resolution directly (thesis_docs/references/regulatory/res_40223_2021.html): the minimum mandated connector standard is Tipo 1 (SAE J1772) for AC and CCS Combo 1 (SAE J1772-based) for DC. The string "CCS Combo 2" does not appear anywhere in the resolution. A DC station equipped only with CCS Combo 2 would not, by itself, satisfy Article 4's minimum, which requires Combo 1 to be present. Article 4 is explicit that this is a minimum only (operators may add other connector types), and Paragrafo 3 makes it enforceable only for stations installed from 12 months after the resolution's entry into force. This project keeps CCS Combo 2 in the config because Enel Colombia's own August 2025 public fast-charging network reports CCS1, CCS2 and GBT connectors in active use -- CCS2 is a real, currently deployed standard in Bogota, at the higher-capability end of what is installed -- not because any regulation requires it. Because EV2Gym has no connector-type state, this assumption has zero effect on any simulation result; the correction concerns only what regulatory alignment the thesis may claim.</w:t>
      </w:r>
    </w:p>
    <w:p>
      <w:r>
        <w:t>Number of charging stations: 8. The Week 1 configuration uses eight charging ports.</w:t>
      </w:r>
    </w:p>
    <w:p>
      <w:r>
        <w:t>Enel X Colombia, the e-mobility business line of Enel Colombia S.A. E.S.P. and the operator of the largest publicly accessible EV charging network in the country, publishes its public charge-point inventory site by site, including the number of chargers, connector type, and rated power installed at each location.</w:t>
      </w:r>
    </w:p>
    <w:p>
      <w:r>
        <w:t>As consulted on 11 August 2026, that inventory reports 67 publicly installed chargers in Bogota across 21 sites, plus 34 chargers across 17 sites in other Colombian cities. The distribution of ports per site is strongly bimodal rather than centered on a single typical size.</w:t>
      </w:r>
    </w:p>
    <w:p>
      <w:r>
        <w:t>The median site has two chargers and corresponds to low-power AC destination charging at dealerships, clubs, and hotels, while a small number of genuine public hubs concentrates most of the installed capacity. These include Unicentro 2 with 16 chargers, Salitre with 10 chargers, CC Retiro with 8 chargers, and Unicentro 1 with 3 chargers.</w:t>
      </w:r>
    </w:p>
    <w:p>
      <w:r>
        <w:t>Eight ports therefore corresponds to an operator-reported, currently operating public hub in Bogota. It sits between the network median of two chargers and the network maximum of sixteen chargers, and matches the approved proposal's description of a station that is already built but operating below its real potential (Reyes Cortes, 2026, Section 2.1).</w:t>
      </w:r>
    </w:p>
    <w:p>
      <w:r>
        <w:t>The Week 1 value of eight is retained unchanged; what changes is its status, from a labelled assumption to a figure anchored in operator-published data.</w:t>
      </w:r>
    </w:p>
    <w:p>
      <w:r>
        <w:t>Two limitations of this anchoring are declared explicitly.</w:t>
      </w:r>
    </w:p>
    <w:p>
      <w:r>
        <w:t>First, no single Enel X site in Bogota currently combines eight ports with CCS Combo 2 at 50 kW DC. The eight-port sites are AC, including 43 kW at Salitre and 7.2 kW at CC Retiro, while DC fast charging appears only in units of one or two per site.</w:t>
      </w:r>
    </w:p>
    <w:p>
      <w:r>
        <w:t>The Week 1 configuration therefore represents an eight-port hub built to the DC fast-charging floor. It should be interpreted as a plausible near-term upgrade of an existing Bogota hub (a single upgraded site, such as CC Retiro, not an aggregate of several separately-constrained sites), and not as a literal snapshot of any site as installed today.</w:t>
      </w:r>
    </w:p>
    <w:p>
      <w:r>
        <w:t>Second, the Enel X inventory covers only that operator's public network and excludes other charge-point operators active in Colombia as well as private and workplace charging. It therefore represents a lower bound on national installed capacity rather than a complete census.</w:t>
      </w:r>
    </w:p>
    <w:p>
      <w:r>
        <w:t>Because the published distribution is bimodal, the number of ports is treated from Week 2 onward as a sensitivity dimension rather than a fixed constant. The same configuration is evaluated at 2, 8, and 16 chargers, each anchored to an observed site class in the Enel X inventory: median destination site, mid-size public hub, and largest Bogota hub. The Week 1 results already obtained at eight chargers remain valid as the reference case and do not need to be re-run.</w:t>
      </w:r>
    </w:p>
    <w:p>
      <w:r>
        <w:t>Transformer capacity: 100 kW. Unlike the previous parameter, this value is not a literature citation. It is an empirical result obtained inside this project by sweeping the transformer's max_power field across 250, 150, 100, 75, and 50 kW against the same simulated demand.</w:t>
      </w:r>
    </w:p>
    <w:p>
      <w:r>
        <w:t>250 kW and 150 kW never reached their limit under any tested demand level, meaning the transformer was permanently under-utilized and no charging-management algorithm could show any benefit against it.</w:t>
      </w:r>
    </w:p>
    <w:p>
      <w:r>
        <w:t>100 kW was the highest capacity at which a real, moderate overload appeared under uncoordinated (AFAP) charging.</w:t>
      </w:r>
    </w:p>
    <w:p>
      <w:r>
        <w:t>This sweep and its raw output are recorded in this project's own lab log (thesis_docs/chapters/00_lab_log.md) rather than attributed to an external source, per the project's rule against presenting empirically derived numbers as if they came from the literature.</w:t>
      </w:r>
    </w:p>
    <w:p>
      <w:r>
        <w:t>EV arrival intensity, spawn_multiplier: 30. This is also an empirical result, not a literature value.</w:t>
      </w:r>
    </w:p>
    <w:p>
      <w:r>
        <w:t>EV2Gym's own documented default (spawn_multiplier: 5) produced only 5 to 6 EV arrivals per simulated day in this station's configuration, too few for any queueing or power-sharing contention to occur.</w:t>
      </w:r>
    </w:p>
    <w:p>
      <w:r>
        <w:t>The value 30, within the tested range of 5, 15, 30, and 50, was the point that produced a daily EV count in a plausible range for a real but currently under-utilized public station, consistent with the demand pattern the approved proposal itself describes (Reyes Cortes, 2026, Section 2.1).</w:t>
      </w:r>
    </w:p>
    <w:p>
      <w:r>
        <w:t>The corresponding configuration is:</w:t>
      </w:r>
    </w:p>
    <w:p>
      <w:pPr>
        <w:ind w:left="432"/>
      </w:pPr>
      <w:r>
        <w:rPr>
          <w:rFonts w:ascii="Consolas" w:hAnsi="Consolas"/>
          <w:sz w:val="18"/>
        </w:rPr>
        <w:t>spawn_multiplier: 30</w:t>
      </w:r>
    </w:p>
    <w:p>
      <w:r>
        <w:t>Single local transformer: number_of_transformers: 1, simulate_grid: False. This reflects the project's Phase 1-3 design decision, established from reading EV2Gym's own loader code (ev2gym/utilities/loaders.py).</w:t>
      </w:r>
    </w:p>
    <w:p>
      <w:r>
        <w:t>When simulate_grid is True, EV2Gym auto-distributes charging stations across every bus of a full distribution feeder, as used in the IEEE 34-bus and 123-bus experiments of Orfanoudakis et al. (2025, arXiv:2510.12335v2, the PI-TD3 paper), rather than concentrating them behind one local transformer.</w:t>
      </w:r>
    </w:p>
    <w:p>
      <w:r>
        <w:t>Because Objectives 1 to 3 of the approved proposal concern a single station's own transformer, not a city-wide feeder, simulate_grid is set to False here and reserved for True only in the Phase 3 infrastructure and voltage-compliance work (Objectives 4 and 5), which is exactly where the PI-TD3 paper's own feeder-scale experiments apply.</w:t>
      </w:r>
    </w:p>
    <w:p>
      <w:r>
        <w:t>The corresponding configuration is:</w:t>
      </w:r>
    </w:p>
    <w:p>
      <w:pPr>
        <w:ind w:left="432"/>
      </w:pPr>
      <w:r>
        <w:rPr>
          <w:rFonts w:ascii="Consolas" w:hAnsi="Consolas"/>
          <w:sz w:val="18"/>
        </w:rPr>
        <w:t>number_of_transformers: 1</w:t>
        <w:br/>
        <w:t>simulate_grid: False</w:t>
      </w:r>
    </w:p>
    <w:p>
      <w:r>
        <w:t>EV charging-power fields: max_ac_charge_power equals max_dc_charge_power, 50 kW. This is a defensive workaround, applied as a harmless safeguard.</w:t>
      </w:r>
    </w:p>
    <w:p>
      <w:pPr>
        <w:spacing w:before="80" w:after="80"/>
        <w:ind w:left="432"/>
      </w:pPr>
      <w:r>
        <w:rPr>
          <w:i/>
          <w:color w:val="8A3000"/>
          <w:sz w:val="20"/>
        </w:rPr>
        <w:t>[Corrected 2026-09-09] The original text of this paragraph stated that leaving max_ac_charge_power at its conceptually correct value of 0 for a DC-only station raises a ZeroDivisionError in ev2gym/models/ev.py (function _charge), because that variable is used as a normalization denominator. That specific failure mode could not be reproduced against the current EV2Gym code (checked 2026-09-09): in ev.py, max_ac_charge_power appears as a numerator (ev.py:297) and as a power cap (ev.py:415-416), not as a normalization denominator, so a value of 0 does not by itself divide by zero. Setting max_ac_charge_power = max_dc_charge_power = 50 is kept anyway because it is numerically harmless and the station's real power ceiling is enforced independently through charging_station.max_charge_current. It is a code-mechanic safeguard, not a modeling assumption.</w:t>
      </w:r>
    </w:p>
    <w:p>
      <w:r>
        <w:t>The corresponding configuration is:</w:t>
      </w:r>
    </w:p>
    <w:p>
      <w:pPr>
        <w:ind w:left="432"/>
      </w:pPr>
      <w:r>
        <w:rPr>
          <w:rFonts w:ascii="Consolas" w:hAnsi="Consolas"/>
          <w:sz w:val="18"/>
        </w:rPr>
        <w:t>max_ac_charge_power: 50</w:t>
        <w:br/>
        <w:t>max_dc_charge_power: 50</w:t>
      </w:r>
    </w:p>
    <w:p>
      <w:r>
        <w:t>Homogeneous EV fleet: heterogeneous_ev_specs: False. All simulated vehicles share one 60 kWh battery profile for Week 1.</w:t>
      </w:r>
    </w:p>
    <w:p>
      <w:r>
        <w:t>This is an explicit simplification, flagged as a limitation rather than hidden: Colombia's real EV fleet mixes brands with materially different battery sizes and charging curves, such as BYD, Toyota, Kia, Volvo, and Tesla, as the approved proposal itself notes (Reyes Cortes, 2026, Section 2.1).</w:t>
      </w:r>
    </w:p>
    <w:p>
      <w:r>
        <w:t>Modeling that real heterogeneity would require adapting EV2Gym's RVO-NL-based specification file to Colombian vehicle data, which is out of scope for the compressed 8-week timeline and is listed as a stretch goal, not a Week 1 requirement.</w:t>
      </w:r>
    </w:p>
    <w:p>
      <w:r>
        <w:t>The corresponding configuration is:</w:t>
      </w:r>
    </w:p>
    <w:p>
      <w:pPr>
        <w:ind w:left="432"/>
      </w:pPr>
      <w:r>
        <w:rPr>
          <w:rFonts w:ascii="Consolas" w:hAnsi="Consolas"/>
          <w:sz w:val="18"/>
        </w:rPr>
        <w:t>heterogeneous_ev_specs: False</w:t>
      </w:r>
    </w:p>
    <w:p>
      <w:r>
        <w:t>Fixed reference day: random_day: False, a specified weekday. Week 1 is meant to produce one deterministic, reproducible baseline day rather than a stochastic average; stochastic, multi-seed comparison begins in Weeks 2 to 3 once the algorithm set expands.</w:t>
      </w:r>
    </w:p>
    <w:p>
      <w:r>
        <w:t>The specific calendar date used (2022-01-17, a Monday) is an explicit, labeled assumption, documented in thesis_docs/chapters/00_lab_log.md, and is not a value derived from any external source, since the approved proposal does not specify a reference date.</w:t>
      </w:r>
    </w:p>
    <w:p>
      <w:r>
        <w:t>The corresponding configuration is:</w:t>
      </w:r>
    </w:p>
    <w:p>
      <w:pPr>
        <w:ind w:left="432"/>
      </w:pPr>
      <w:r>
        <w:rPr>
          <w:rFonts w:ascii="Consolas" w:hAnsi="Consolas"/>
          <w:sz w:val="18"/>
        </w:rPr>
        <w:t>random_day: False</w:t>
      </w:r>
    </w:p>
    <w:p>
      <w:pPr>
        <w:pStyle w:val="Heading3"/>
      </w:pPr>
      <w:r>
        <w:t>8.1.5. References</w:t>
      </w:r>
    </w:p>
    <w:p>
      <w:pPr>
        <w:pStyle w:val="ListBullet"/>
      </w:pPr>
      <w:r>
        <w:t>Reyes Cortes, S. (2026). Propuesta de Proyecto de Grado, Ingenieria Industrial, Universidad de los Andes. Approved thesis proposal, unpublished.</w:t>
      </w:r>
    </w:p>
    <w:p>
      <w:pPr>
        <w:pStyle w:val="ListBullet"/>
      </w:pPr>
      <w:r>
        <w:t>Orfanoudakis, S., Diaz-Londono, C., Yilmaz, Y. E., Palensky, P., &amp; Vergara, P. P. (2025). EV2Gym: A flexible V2G simulator for EV smart charging research and benchmarking. IEEE Transactions on Intelligent Transportation Systems, 26(2), 2410-2421.</w:t>
      </w:r>
    </w:p>
    <w:p>
      <w:pPr>
        <w:pStyle w:val="ListBullet"/>
      </w:pPr>
      <w:r>
        <w:t>Orfanoudakis, S., Oliehoek, F. A., Palensky, P., &amp; Vergara, P. P. (2025). Physics-informed reinforcement learning for large-scale EV smart charging considering distribution network voltage constraints. arXiv preprint arXiv:2510.12335v2.</w:t>
      </w:r>
    </w:p>
    <w:p>
      <w:pPr>
        <w:pStyle w:val="ListBullet"/>
      </w:pPr>
      <w:r>
        <w:t>Mahmoud, M. S. (2017). Microgrid control problems and related issues. In M. S. Mahmoud (Ed.), Microgrid (pp. 1-42). Elsevier.</w:t>
      </w:r>
    </w:p>
    <w:p>
      <w:pPr>
        <w:pStyle w:val="ListBullet"/>
      </w:pPr>
      <w:r>
        <w:t>Ley 1964 de 2019. Congreso de la Republica de Colombia.</w:t>
      </w:r>
    </w:p>
    <w:p>
      <w:pPr>
        <w:pStyle w:val="ListBullet"/>
      </w:pPr>
      <w:r>
        <w:t>Resolucion 40223 de 2021. Ministerio de Minas y Energia de Colombia. Referenced in section 8.1.4 as the basis for the Article 4 minimum connector standard: Tipo 1 (SAE J1772) for AC and CCS Combo 1 for DC. [Corrected 2026-09-09: the original entry described this as a "CCS Combo 2 mandate", which the resolution's text does not support.]</w:t>
      </w:r>
    </w:p>
    <w:p>
      <w:pPr>
        <w:pStyle w:val="ListBullet"/>
      </w:pPr>
      <w:r>
        <w:t>Resolucion 40117 de 2024, RETIE. Ministerio de Minas y Energia de Colombia.</w:t>
      </w:r>
    </w:p>
    <w:p>
      <w:pPr>
        <w:pStyle w:val="ListBullet"/>
      </w:pPr>
      <w:r>
        <w:t>Resolucion 40123 de 2024. Ministerio de Minas y Energia de Colombia.</w:t>
      </w:r>
    </w:p>
    <w:p>
      <w:pPr>
        <w:pStyle w:val="ListBullet"/>
      </w:pPr>
      <w:r>
        <w:t>Enel X. (2026). Puntos de recarga de vehiculos electricos. Retrieved August 11, 2026, from https://www.enelx.com/co/es/personas/puntos-de-recarga</w:t>
      </w:r>
    </w:p>
    <w:p>
      <w:pPr>
        <w:pStyle w:val="Heading2"/>
      </w:pPr>
      <w:r>
        <w:t>8.2. Week 2 -- Evaluation Protocol, Experimental Infrastructure, and Battery Degradation Calibration</w:t>
      </w:r>
    </w:p>
    <w:p>
      <w:pPr>
        <w:pStyle w:val="Heading3"/>
      </w:pPr>
      <w:r>
        <w:t>8.2.1. Week 2 Objective</w:t>
      </w:r>
    </w:p>
    <w:p>
      <w:r>
        <w:t>Week 2 focused on extending the baseline established in Week 1 into a reproducible experimental framework that could support the comparison of charging-management strategies in the subsequent stages of the project. While Week 1 established the initial station configuration and baseline comparison between ChargeAsFastAsPossible (AFAP) and Round Robin, Week 2 introduced a common evaluation protocol, a station-size sensitivity analysis, a centralized results registry, and a temperature-dependent battery degradation model adapted to Bogota.</w:t>
      </w:r>
    </w:p>
    <w:p>
      <w:r>
        <w:t>The objective of this stage was therefore not to introduce a new charging algorithm, but to ensure that future algorithmic comparisons are performed under controlled and reproducible conditions. In particular, the experimental framework was designed to maintain identical evaluation conditions across algorithms, avoid overlap between training and evaluation data, facilitate the execution of multiple configurations and random seeds, and preserve sufficient information to reproduce the results and figures generated during the project.</w:t>
      </w:r>
    </w:p>
    <w:p>
      <w:r>
        <w:t>The parameters introduced during this week correspond primarily to the evaluation protocol, station-size sensitivity analysis, and battery degradation calibration. The station-level parameters established during Week 1 are therefore not repeated here.</w:t>
      </w:r>
    </w:p>
    <w:p>
      <w:pPr>
        <w:spacing w:before="80" w:after="80"/>
        <w:ind w:left="432"/>
      </w:pPr>
      <w:r>
        <w:rPr>
          <w:i/>
          <w:color w:val="8A3000"/>
          <w:sz w:val="20"/>
        </w:rPr>
        <w:t>[Corrected 2026-09-09] The "5 seeds x 10 evaluation days = 50-cell" grid described throughout section 8.2 was superseded in Week 5 (see section 10.8): Week 5 Gate 3/Gate 4 showed the day axis was not statistically independent for a fixed scenario seed, and the grid was rebuilt as 50 seeds x 2 day-types = 100 cells. Every registry row generated under the old grid is retained but flagged superseded=True and is excluded from every current figure and table. The Week 2 protocol design below is described as it stood at the time.</w:t>
      </w:r>
    </w:p>
    <w:p>
      <w:pPr>
        <w:pStyle w:val="Heading3"/>
      </w:pPr>
      <w:r>
        <w:t>8.2.2. Reproducible Evaluation Protocol</w:t>
      </w:r>
    </w:p>
    <w:p>
      <w:r>
        <w:t>A common evaluation protocol was implemented to ensure that all charging algorithms are evaluated using the same experimental conditions. The protocol defines five random seeds, ten fixed evaluation dates, and twenty additional dates reserved for future reinforcement-learning training.</w:t>
      </w:r>
    </w:p>
    <w:p>
      <w:r>
        <w:t>The five seeds were selected as small deterministic integers: SEEDS = [0, 1, 2, 3, 4]. These values were not optimized or selected based on preliminary performance. Their purpose is to provide multiple deterministic realizations of the simulation while allowing the paired statistical analysis to be reproduced.</w:t>
      </w:r>
    </w:p>
    <w:p>
      <w:r>
        <w:t>The evaluation set consists of ten fixed dates from 2022, including six weekdays and four weekend days. The dates are distributed approximately throughout the year to avoid concentrating the evaluation in a particular season. The day of the week was verified programmatically rather than assumed from the selected dates. Twenty additional dates were reserved for future reinforcement-learning training and were explicitly defined to be disjoint from the evaluation set.</w:t>
      </w:r>
    </w:p>
    <w:p>
      <w:r>
        <w:t>The protocol was implemented in the new module ev2gym_thesis/eval_protocol.py. Rather than placing these values independently in each station configuration, they were centralized in a single Python module so that every experiment uses exactly the same evaluation grid. This avoids inconsistencies that could arise if the dates or seeds were manually replicated across multiple configuration files.</w:t>
      </w:r>
    </w:p>
    <w:p>
      <w:r>
        <w:t>An important methodological decision was to enforce the separation between training and evaluation programmatically. The assertion set(EVAL_DAYS).isdisjoint(set(TRAIN_DAYS)) is executed when the module is imported. Consequently, any experiment that imports the evaluation protocol automatically verifies that no training date is also used for evaluation. This converts the prevention of training/evaluation leakage from a procedural convention into an explicit constraint of the experimental infrastructure.</w:t>
      </w:r>
    </w:p>
    <w:p>
      <w:r>
        <w:t>The resulting protocol establishes a grid of 5 seeds x 10 evaluation days = 50 observations per algorithm and station configuration. This common grid is subsequently used by the results registry, degradation analysis, statistical analysis, and figure-generation modules.</w:t>
      </w:r>
    </w:p>
    <w:p>
      <w:pPr>
        <w:pStyle w:val="Heading3"/>
      </w:pPr>
      <w:r>
        <w:t>8.2.3. Station-Size Sensitivity Analysis</w:t>
      </w:r>
    </w:p>
    <w:p>
      <w:r>
        <w:t>The eight-port station established in Week 1 was retained as the reference configuration. However, the analysis of publicly available charging infrastructure indicated that station size should not be treated as a fixed characteristic of the problem. Therefore, Week 2 introduced a sensitivity analysis using stations with 2, 8, and 16 charging ports.</w:t>
      </w:r>
    </w:p>
    <w:p>
      <w:r>
        <w:t>The three values were selected to cover a broad range around the eight-port reference. The two-port configuration corresponds to the median site size observed in the Enel X inventory, while sixteen ports represents the largest observed site in Bogota. The eight-port configuration remains the reference scenario used in Week 1. These values are therefore intended to provide sensitivity coverage rather than to represent a probability distribution of Colombian charging stations.</w:t>
      </w:r>
    </w:p>
    <w:p>
      <w:r>
        <w:t>Two transformer-capacity policies were defined. Policy A uses 100 kW for all configurations, to isolate the effect of the number of charging ports under a fixed electrical constraint. Policy B scales the transformer to maintain a 4:1 port-to-transformer relationship, to evaluate whether the relative relationship between station size and transformer capacity is more important than the absolute capacity.</w:t>
      </w:r>
    </w:p>
    <w:p>
      <w:r>
        <w:t>These policies address two complementary questions. Policy A determines whether increasing the number of charging ports changes the results when the electrical bottleneck remains constant. Policy B evaluates the same station sizes while maintaining a constant relationship between the number of ports and transformer capacity. Neither policy is presented as a literature-derived standard; both are experimental configurations defined within the project.</w:t>
      </w:r>
    </w:p>
    <w:p>
      <w:r>
        <w:t>This sensitivity analysis expands the experimental framework beyond the single reference configuration used in Week 1 and provides the basis for evaluating whether the conclusions obtained from the eight-port station remain valid when the infrastructure scale changes.</w:t>
      </w:r>
    </w:p>
    <w:p>
      <w:pPr>
        <w:pStyle w:val="Heading3"/>
      </w:pPr>
      <w:r>
        <w:t>8.2.4. Bogota Ambient Temperature Calibration</w:t>
      </w:r>
    </w:p>
    <w:p>
      <w:r>
        <w:t>A second methodological extension introduced in Week 2 concerned battery degradation. The original EV2Gym implementation uses a fixed temperature value in its battery-degradation calculation. Because the project focuses on a charging station located in Bogota, this assumption was replaced by a temperature profile representative of the city.</w:t>
      </w:r>
    </w:p>
    <w:p>
      <w:r>
        <w:t>The annual mean ambient temperature was established at 13.68 C, replacing the previous unverified assumption of 13.3 C. The daily maximum and minimum temperatures were established at 19.31 C and 7.88 C, respectively. These values were obtained from IDEAM climatological normals for the El Dorado station.</w:t>
      </w:r>
    </w:p>
    <w:p>
      <w:r>
        <w:t>Not all parameters of the temperature profile were directly obtained from the source. The daily minimum and maximum were assigned to 06:00 and 14:30, respectively, because the available IDEAM data provide monthly and annual statistics rather than an hourly temperature curve. Similarly, an additional +/-0.75 C variation was introduced to represent the conditions of a covered or underground charging location. Both choices are therefore explicitly classified as modeling simplifications rather than measured values.</w:t>
      </w:r>
    </w:p>
    <w:p>
      <w:r>
        <w:t>The effect of charging itself was incorporated through a sensitivity parameter delta_t_charging_c, taking values 0 C and +5 C (additional temperature increase during DC charging). The two values constitute a sensitivity bracket rather than a calibrated thermal prediction. No validated thermal model for a 50 kW DC charger operating at Bogota's approximately 2600 m elevation was available within the scope of the project. Consequently, the additional temperature is treated as an explicit uncertainty rather than as an experimentally verified value.</w:t>
      </w:r>
    </w:p>
    <w:p>
      <w:pPr>
        <w:pStyle w:val="Heading3"/>
      </w:pPr>
      <w:r>
        <w:t>8.2.5. Temperature-Dependent Battery Degradation Model</w:t>
      </w:r>
    </w:p>
    <w:p>
      <w:r>
        <w:t>The temperature calibration was implemented through two new modules, ambient_bogota.py and degradation_bogota.py, without modifying the original EV2Gym ev.py implementation. Inspection of the simulator confirmed that battery degradation is not used as part of the reward function and is not configurable through the YAML station configuration. This allowed the degradation metric to be recalculated after the simulation using the recorded vehicle trajectory without changing the charging-control behavior.</w:t>
      </w:r>
    </w:p>
    <w:p>
      <w:r>
        <w:t>The main change consists of replacing the simulator's fixed temperature with a temperature that varies throughout each vehicle's charging session. The Arrhenius component of the degradation model was implemented as arrhenius_factor(theta_kelvin) = exp(-E2 / theta_kelvin). The function was independently verified against four closed-form reference values before being incorporated into the corresponding unit tests.</w:t>
      </w:r>
    </w:p>
    <w:p>
      <w:r>
        <w:t>More importantly, the model does not simply calculate degradation using the average temperature of a charging session. Instead, the Arrhenius term is evaluated at each simulation step and then averaged: for each hour and charging flag, the ambient temperature is read from the Bogota profile, a bump of delta_t_charging_c is added when charging, theta_t = 273.15 + ambient_c + bump, and the per-step Arrhenius factors are averaged into A_eff. The resulting effective Arrhenius factor is subsequently incorporated into the calendar-aging calculation: alpha_eff = (E0 * v_avg - E1) * A_eff; d_cal = alpha_eff * 0.75 * T_sim_days / (T_acc_days ** 0.25).</w:t>
      </w:r>
    </w:p>
    <w:p>
      <w:r>
        <w:t>This implementation approximates the temperature-dependent degradation over the complete charging session at the temporal resolution of the simulation. The calculation also retains a second estimate based on the mean session temperature, allowing the difference between the two approaches to be quantified rather than hidden.</w:t>
      </w:r>
    </w:p>
    <w:p>
      <w:r>
        <w:t>The comparison showed a 1.01% difference between the session-integrated calculation and the point estimate, with a 95% confidence interval of [0.97%, 1.06%] over 100 observations. This result provides an empirical measure of the effect of preserving the temperature variation throughout the session.</w:t>
      </w:r>
    </w:p>
    <w:p>
      <w:r>
        <w:t>Cycling degradation was not recalculated because its implemented formulation does not contain a temperature-dependent term. Recomputing it would therefore duplicate the simulator's existing calculation without adding information.</w:t>
      </w:r>
    </w:p>
    <w:p>
      <w:r>
        <w:t>Reference-vehicle parameters. The degradation implementation also exposed several parameters that were previously hard-coded in EV2Gym: T_acc_days = 730 days (assumed reference battery age), b_cap_kwh = 78 kWh (reference battery capacity), d_dist_km_year = 15,000 km/year (reference annual distance), G_kwh_per_km = 0.186 kWh/km (reference energy consumption).</w:t>
      </w:r>
    </w:p>
    <w:p>
      <w:r>
        <w:t>These values were not recalibrated to a Colombian vehicle fleet. They correspond to the generic reference vehicle assumptions inherited from the simulator and are used to construct the normalization term for cycling aging. They were exposed explicitly as parameters so that future experiments can vary them without modifying buried constants in the simulator.</w:t>
      </w:r>
    </w:p>
    <w:p>
      <w:r>
        <w:t>This distinction is important because the temperature calibration is specific to Bogota, whereas these reference-vehicle parameters remain a limitation inherited from the underlying EV2Gym model.</w:t>
      </w:r>
    </w:p>
    <w:p>
      <w:pPr>
        <w:pStyle w:val="Heading3"/>
      </w:pPr>
      <w:r>
        <w:t>8.2.6. Centralized Experimental Results Registry</w:t>
      </w:r>
    </w:p>
    <w:p>
      <w:r>
        <w:t>As the number of experiments increased, storing results in separate files for individual simulations became unsuitable for the subsequent analysis. Week 2 therefore introduced ev2gym_thesis/registry.py, which implements an append-only master registry in results/master_results.csv.</w:t>
      </w:r>
    </w:p>
    <w:p>
      <w:r>
        <w:t>The registry stores both metadata and simulation metrics for every run. Each experiment is uniquely identified by the combination of configuration, algorithm, seed, and evaluation day (DEDUP_KEY_COLUMNS = config_name, algorithm, seed, eval_day).</w:t>
      </w:r>
    </w:p>
    <w:p>
      <w:r>
        <w:t>This key allows the infrastructure to determine whether an experiment has already been executed and prevents the same configuration from being added twice. The registry also records the Git commit associated with each run, allowing a result to be traced to the version of the code that generated it.</w:t>
      </w:r>
    </w:p>
    <w:p>
      <w:r>
        <w:t>Before a result is written, its schema is validated: the set of expected columns is compared against the row's keys, and any missing or unexpected column raises a ValueError identifying the offending run. The registry also validates the algorithm family and performs deduplication before appending the result. This prevents changes in column names or incomplete records from silently corrupting the experimental dataset.</w:t>
      </w:r>
    </w:p>
    <w:p>
      <w:r>
        <w:t>The decision to use a single append-only registry instead of one file per experiment was motivated by the needs of the subsequent analysis. All figures and tables can read the same experimental history without requiring each script to maintain a manually updated list of result files. Per-run time-series data, such as station power and transformer load, are stored separately in .npz files to preserve their native numerical-array representation.</w:t>
      </w:r>
    </w:p>
    <w:p>
      <w:pPr>
        <w:pStyle w:val="Heading3"/>
      </w:pPr>
      <w:r>
        <w:t>8.2.7. Execution of the Experimental Grid</w:t>
      </w:r>
    </w:p>
    <w:p>
      <w:r>
        <w:t>The new script scripts/backfill_registry.py was used to execute the evaluation grid and populate the master registry. The complete grid generated 500 new simulation results, corresponding to 5 configurations x 2 algorithms x 5 seeds x 10 evaluation days = 500.</w:t>
      </w:r>
    </w:p>
    <w:p>
      <w:r>
        <w:t>The two previously generated Week 1 observations were retained and incorporated into the registry without rerunning their simulations.</w:t>
      </w:r>
    </w:p>
    <w:p>
      <w:r>
        <w:t>An implementation issue was identified during this process. Initially, the script checked whether a result was duplicated only when attempting to write it to the registry. Consequently, resuming an interrupted experiment could cause completed simulations to be executed again before being discarded as duplicates. This resulted in approximately 35 minutes of unnecessary computation during one execution.</w:t>
      </w:r>
    </w:p>
    <w:p>
      <w:r>
        <w:t>The implementation was therefore modified so that existing registry keys are loaded before launching the simulation. The run list is filtered first, ensuring that already-completed experiments are not simulated again. This change illustrates how the experimental infrastructure was refined based on actual execution behavior rather than solely on the initial design.</w:t>
      </w:r>
    </w:p>
    <w:p>
      <w:pPr>
        <w:pStyle w:val="Heading3"/>
      </w:pPr>
      <w:r>
        <w:t>8.2.8. Automated Figure Generation and Validation</w:t>
      </w:r>
    </w:p>
    <w:p>
      <w:r>
        <w:t>The increasing number of experiments also required a reproducible mechanism for generating the figures used in the thesis. The modules ev2gym_thesis/figures.py and scripts/make_figures.py were introduced for this purpose.</w:t>
      </w:r>
    </w:p>
    <w:p>
      <w:r>
        <w:t>The figure-generation process reads the complete results registry and regenerates the implemented figures from the available data rather than incrementally modifying previously generated plots. Captions are also generated automatically and include the number of runs, configurations, algorithms, Git commit, and generation timestamp. This approach ensures that a figure can be traced to the data and code version that generated it, reducing the possibility of using a stale or manually modified visualization in the final document.</w:t>
      </w:r>
    </w:p>
    <w:p>
      <w:r>
        <w:t>The visual validation of the generated figures identified two issues that were not detectable through code execution alone. First, the f05_vs_baseline figure was too narrow, causing axis information to be cut off. Second, the heatmap normalization in f07_metric_heatmap treated all metrics as if higher values were preferable, which resulted in an incorrect interpretation of the total_transformer_overload metric, for which lower values are preferable. Both issues were corrected after inspecting the rendered figures.</w:t>
      </w:r>
    </w:p>
    <w:p>
      <w:r>
        <w:t>This validation step was therefore treated as part of the experimental process rather than assuming that successful script execution implied a correct visualization.</w:t>
      </w:r>
    </w:p>
    <w:p>
      <w:pPr>
        <w:pStyle w:val="Heading3"/>
      </w:pPr>
      <w:r>
        <w:t>8.2.9. Statistical Comparison Through Paired Bootstrap</w:t>
      </w:r>
    </w:p>
    <w:p>
      <w:r>
        <w:t>To compare algorithm performance while preserving the experimental pairing, Week 2 introduced a paired bootstrap implementation in ev2gym_thesis/stats_utils.py.</w:t>
      </w:r>
    </w:p>
    <w:p>
      <w:r>
        <w:t>Because AFAP and Round Robin are evaluated using the same seed and evaluation day, each observation from one algorithm has a corresponding observation from the other algorithm under identical simulated conditions. Consequently, treating the two algorithms as independent samples would discard information contained in the experimental design.</w:t>
      </w:r>
    </w:p>
    <w:p>
      <w:r>
        <w:t>The implemented method resamples the paired observations using a shared index. The default configuration uses 10,000 bootstrap samples and a 95% confidence interval. The implementation supports both absolute differences and percentage differences between paired observations.</w:t>
      </w:r>
    </w:p>
    <w:p>
      <w:r>
        <w:t>The statistical implementation was verified using synthetic test cases with analytically known results. In particular, a test was constructed in which one series was equal to the other plus a constant. Because the correct pairing must preserve that constant difference across every resample, a correctly implemented paired bootstrap should produce a zero-width confidence interval around the known difference. The tests produced this expected behavior, providing evidence that the pairing mechanism was implemented correctly.</w:t>
      </w:r>
    </w:p>
    <w:p>
      <w:pPr>
        <w:spacing w:before="80" w:after="80"/>
        <w:ind w:left="432"/>
      </w:pPr>
      <w:r>
        <w:rPr>
          <w:i/>
          <w:color w:val="8A3000"/>
          <w:sz w:val="20"/>
        </w:rPr>
        <w:t>[Corrected 2026-09-09] Week 5 replaced this paired bootstrap with a paired cluster bootstrap (paired_cluster_bootstrap_ci in stats_utils.py) that resamples the scenario seed, not the individual row, because the project's evaluation design is clustered (multiple day-type rows per seed). The Week 2 paired_bootstrap_ci still exists but understates uncertainty on the clustered grid and is not used for any current cross-cell comparison.</w:t>
      </w:r>
    </w:p>
    <w:p>
      <w:pPr>
        <w:pStyle w:val="Heading3"/>
      </w:pPr>
      <w:r>
        <w:t>8.2.10. Preparation for Multi-City Analysis</w:t>
      </w:r>
    </w:p>
    <w:p>
      <w:r>
        <w:t>Week 2 also established the data structure required for the later replicability analysis across Colombian cities. A new data/ambient_profiles.yaml file was created containing ambient-temperature information for Bogota and other cities classified as categoria especial.</w:t>
      </w:r>
    </w:p>
    <w:p>
      <w:r>
        <w:t>The file stores the annual mean, daily maximum and minimum temperatures, elevation, source, and source-quality classification for each city. The information was intentionally separated from the simulation code so that future multi-city experiments can be performed by changing the input data rather than modifying the implementation.</w:t>
      </w:r>
    </w:p>
    <w:p>
      <w:r>
        <w:t>The available values were: Bogota 13.68 C (verified with IDEAM), Medellin 22.53 C (verified with IDEAM), Cali 24.48 C (verified with IDEAM), Cartagena 27.78 C (verified with IDEAM), Bucaramanga 23.01 C (temperature verified; elevation pending verification), Barranquilla 27.0 C (secondary source; pending primary-source verification).</w:t>
      </w:r>
    </w:p>
    <w:p>
      <w:r>
        <w:t>No multi-city simulation was performed during Week 2. The objective was to prepare the data structure so that this analysis can subsequently be performed through configuration changes. Barranquilla was explicitly flagged because no corresponding station was found in the IDEAM workbook used during this week, while Bucaramanga's elevation information requires additional verification.</w:t>
      </w:r>
    </w:p>
    <w:p>
      <w:pPr>
        <w:pStyle w:val="Heading3"/>
      </w:pPr>
      <w:r>
        <w:t>8.2.11. Gurobi and Optimal Reference Preparation</w:t>
      </w:r>
    </w:p>
    <w:p>
      <w:r>
        <w:t>Week 2 also established the infrastructure necessary for a future optimization-based reference without incorporating the solver into the current simulation pipeline.</w:t>
      </w:r>
    </w:p>
    <w:p>
      <w:r>
        <w:t>The project adopted an explicit policy under which no module imports gurobipy at the module level and the library is not included as a project dependency. Instead, scripts/run_optimal_reference.py provides an isolated entry point for a future solver-based experiment. The results registry reserves the optimal algorithm family, but no experiment was classified as optimal during this week because no solver-based result had yet been generated.</w:t>
      </w:r>
    </w:p>
    <w:p>
      <w:r>
        <w:t>A capability check confirmed that gurobipy could start in the development environment, but the available license was a restricted non-production license. This was recorded explicitly so that successful package execution would not be incorrectly interpreted as confirmation that an academic license had been obtained.</w:t>
      </w:r>
    </w:p>
    <w:p>
      <w:r>
        <w:t>This distinction is important for the experimental methodology: an optimization benchmark is not described as optimal until an actual solver-based experiment has been executed and its results incorporated into the evaluation registry.</w:t>
      </w:r>
    </w:p>
    <w:p>
      <w:pPr>
        <w:spacing w:before="80" w:after="80"/>
        <w:ind w:left="432"/>
      </w:pPr>
      <w:r>
        <w:rPr>
          <w:i/>
          <w:color w:val="8A3000"/>
          <w:sz w:val="20"/>
        </w:rPr>
        <w:t>[Added 2026-09-09] An academic Gurobi license became available in Week 4, which allowed the perfect-information oracle (section 9) to be built by directly reusing EV2Gym's own Gurobi optimization models. The "optimal" vocabulary restriction was lifted at that point.</w:t>
      </w:r>
    </w:p>
    <w:p>
      <w:pPr>
        <w:pStyle w:val="Heading3"/>
      </w:pPr>
      <w:r>
        <w:t>8.2.12. Main Outcomes and Limitations</w:t>
      </w:r>
    </w:p>
    <w:p>
      <w:r>
        <w:t>Week 2 established the experimental infrastructure required for the next stages of the project. The main outcomes were: (1) a common evaluation protocol based on five deterministic seeds and ten evaluation days; (2) a separate set of twenty training days to support future reinforcement-learning experiments without evaluation-data leakage; (3) a sensitivity analysis covering stations with 2, 8, and 16 charging ports under two transformer-capacity policies; (4) a Bogota-specific ambient-temperature profile based primarily on IDEAM data; (5) a temperature-dependent battery-degradation calculation that integrates the Arrhenius factor over each vehicle's charging session; (6) a centralized results registry containing 500 new simulation results; (7) automated generation and provenance tracking of experimental figures; (8) a paired-bootstrap methodology for statistical comparison; (9) a structured dataset for future multi-city analysis; (10) a deferred and explicitly isolated optimization reference based on Gurobi.</w:t>
      </w:r>
    </w:p>
    <w:p>
      <w:r>
        <w:t>The main limitations identified during this stage concern the battery degradation and ambient-temperature models. Although Bogota's principal temperature parameters were validated using IDEAM data, the hourly timing of the temperature minimum and maximum and the +/-0.75 C underground temperature variation are modeling assumptions. Similarly, the 0 C and +5 C charging-temperature increments constitute a sensitivity bracket rather than a validated thermal model.</w:t>
      </w:r>
    </w:p>
    <w:p>
      <w:r>
        <w:t>The degradation model also retains reference-vehicle parameters inherited from EV2Gym rather than parameters calibrated specifically to the Colombian EV fleet. These parameters were therefore exposed explicitly and identified as limitations rather than being presented as Colombian empirical values.</w:t>
      </w:r>
    </w:p>
    <w:p>
      <w:r>
        <w:t>Finally, although the infrastructure for multi-city analysis and an optimization-based reference was established, neither the multi-city comparison nor the Gurobi optimization experiment was executed during Week 2. These components remain prepared for subsequent stages and are not presented as completed experimental results.</w:t>
      </w:r>
    </w:p>
    <w:p>
      <w:r>
        <w:t>Overall, Week 2 transformed the initial baseline established in Week 1 into a reproducible experimental framework, providing the protocol, data organization, statistical methodology, and computational infrastructure required to evaluate more advanced charging-management strategies in the following weeks.</w:t>
      </w:r>
    </w:p>
    <w:p>
      <w:pPr>
        <w:pStyle w:val="Heading3"/>
      </w:pPr>
      <w:r>
        <w:t>8.2.13. References</w:t>
      </w:r>
    </w:p>
    <w:p>
      <w:pPr>
        <w:pStyle w:val="ListBullet"/>
      </w:pPr>
      <w:r>
        <w:t>Enel X Colombia. (2026). Puntos de recarga de vehiculos electricos. Retrieved August 11, 2026, from https://www.enelx.com/co/es/personas/puntos-de-recarga</w:t>
      </w:r>
    </w:p>
    <w:p>
      <w:pPr>
        <w:pStyle w:val="ListBullet"/>
      </w:pPr>
      <w:r>
        <w:t>Instituto de Hidrologia, Meteorologia y Estudios Ambientales (IDEAM). (2018). Normales climatologicas estandar 1981-2010. Retrieved August 12, 2026.</w:t>
      </w:r>
    </w:p>
    <w:p>
      <w:pPr>
        <w:pStyle w:val="ListBullet"/>
      </w:pPr>
      <w:r>
        <w:t>Orfanoudakis, S., Diaz-Londono, C., Yilmaz, Y. E., Palensky, P., &amp; Vergara, P. P. (2025). EV2Gym: A flexible V2G simulator for EV smart charging research and benchmarking. IEEE Transactions on Intelligent Transportation Systems, 26(2), 2410-2421.</w:t>
      </w:r>
    </w:p>
    <w:p>
      <w:pPr>
        <w:pStyle w:val="ListBullet"/>
      </w:pPr>
      <w:r>
        <w:t>StavrosOrf. (2026). EV2Gym: Electric Vehicle to Grid simulator. GitHub. Retrieved August 12, 2026, from https://github.com/StavrosOrf/EV2Gym</w:t>
      </w:r>
    </w:p>
    <w:p>
      <w:pPr>
        <w:pStyle w:val="ListBullet"/>
      </w:pPr>
      <w:r>
        <w:t>Ministerio de Minas y Energia de Colombia. (2021). Resolucion 40223 de 2021.</w:t>
      </w:r>
    </w:p>
    <w:p>
      <w:pPr>
        <w:pStyle w:val="ListBullet"/>
      </w:pPr>
      <w:r>
        <w:t>Ministerio de Minas y Energia de Colombia. (2024). Resolucion 40117 de 2024 - Reglamento Tecnico de Instalaciones Electricas (RETIE).</w:t>
      </w:r>
    </w:p>
    <w:p>
      <w:pPr>
        <w:pStyle w:val="ListBullet"/>
      </w:pPr>
      <w:r>
        <w:t>Ministerio de Minas y Energia de Colombia. (2024). Resolucion 40123 de 2024.</w:t>
      </w:r>
    </w:p>
    <w:p>
      <w:pPr>
        <w:pStyle w:val="ListBullet"/>
      </w:pPr>
      <w:r>
        <w:t>Congreso de Colombia. (2019). Ley 1964 de 2019.</w:t>
      </w:r>
    </w:p>
    <w:p>
      <w:pPr>
        <w:pStyle w:val="ListBullet"/>
      </w:pPr>
      <w:r>
        <w:t>Infobae. (2026, April 25). Cual es la temperatura promedio en Barranquilla.</w:t>
      </w:r>
    </w:p>
    <w:p>
      <w:pPr>
        <w:pStyle w:val="Heading2"/>
      </w:pPr>
      <w:r>
        <w:t>8.3. Week 3 -- Vanilla Reinforcement Learning Baseline</w:t>
      </w:r>
    </w:p>
    <w:p>
      <w:r>
        <w:t>Week 3 introduced the first reinforcement learning baseline of the project through a vanilla Twin Delayed Deep Deterministic Policy Gradient (TD3) agent. The objective was not yet to incorporate the physics-informed mechanisms planned for the subsequent week, but to establish a reproducible conventional RL baseline that could be evaluated under the same experimental protocol used for the heuristic methods developed in Weeks 1 and 2.</w:t>
      </w:r>
    </w:p>
    <w:p>
      <w:r>
        <w:t>A change was made to the original project roadmap before implementation. Although the initial roadmap assigned Week 3 to a Gurobi/MPC baseline, the project instead prioritized the vanilla TD3 implementation. This ordering allows the physics-informed TD3 variant planned for Week 4 to be constructed directly on top of an already validated RL pipeline. The Gurobi/MPC approach was therefore superseded rather than implemented as part of this week's work.</w:t>
      </w:r>
    </w:p>
    <w:p>
      <w:r>
        <w:t>The implementation was built around Stable-Baselines3 (SB3) version 2.9.0. TD3 was selected because its formulation incorporates twin critics, delayed policy updates, and target policy smoothing (Fujimoto et al., 2018). Rather than reimplementing these mechanisms, the project uses the established SB3 implementation (Raffin et al., 2021) and concentrates the project-specific development on environment construction, experimental control, evaluation, reproducibility, and analysis.</w:t>
      </w:r>
    </w:p>
    <w:p>
      <w:pPr>
        <w:spacing w:before="80" w:after="80"/>
        <w:ind w:left="432"/>
      </w:pPr>
      <w:r>
        <w:rPr>
          <w:i/>
          <w:color w:val="8A3000"/>
          <w:sz w:val="20"/>
        </w:rPr>
        <w:t>[Corrected 2026-09-09] The compiled PDF had two unresolved "[?]" citation markers in the paragraph above; they are bound here to Fujimoto, van Hoof &amp; Meger (2018) for TD3 and Raffin et al. (2021) for Stable-Baselines3. A reference list has been added at the end of this Week 3 section.</w:t>
      </w:r>
    </w:p>
    <w:p>
      <w:pPr>
        <w:pStyle w:val="Heading3"/>
      </w:pPr>
      <w:r>
        <w:t>8.3.1. Experimental Design and Parameter Selection</w:t>
      </w:r>
    </w:p>
    <w:p>
      <w:r>
        <w:t>The Week 3 experiment preserved the evaluation structure established in the previous weeks. Scenario seeds determine the stochastic EV arrival profiles, while training seeds determine randomness associated with the learning process, including network initialization and exploration. These two sources of randomness were explicitly separated using three training seeds, {100, 101, 102}, which are disjoint from the scenario seed set.</w:t>
      </w:r>
    </w:p>
    <w:p>
      <w:r>
        <w:t>This distinction is important because the two seed types answer different experimental questions. Scenario seeds allow performance to be compared under different EV realizations, whereas training seeds measure the sensitivity of the learned policy to independent training runs. Reusing the same seed pool for both purposes would make these sources of variability difficult to distinguish. The separation was enforced directly in the evaluation protocol through an assertion that set(SEEDS).isdisjoint(set(TRAIN_SEEDS)).</w:t>
      </w:r>
    </w:p>
    <w:p>
      <w:r>
        <w:t>The TD3 agent uses the SqTrError_TrPenalty_UserIncentives reward function. This was preferred over EV2Gym's default SquaredTrackingErrorReward because the selected reward considers not only tracking error but also transformer overload and user dissatisfaction. These components correspond directly to important performance dimensions of the project.</w:t>
      </w:r>
    </w:p>
    <w:p>
      <w:r>
        <w:t>The state representation is PublicPST. This choice was driven primarily by compatibility with the selected Public/PST configuration: the other available state functions introduce variables such as price forecasts or grid/voltage information that are not part of the experimental configuration.</w:t>
      </w:r>
    </w:p>
    <w:p>
      <w:r>
        <w:t>The main TD3 parameters were: training seeds 100/101/102; reward function SqTrError_TrPenalty_UserIncentives; state function PublicPST; policy MlpPolicy; network architecture [64, 64] (reduced from the [400, 300] SB3/TD3 configuration to accommodate the CPU budget and the smaller 27-dimensional observation and 8-dimensional action spaces); learning rate 1e-3 (SB3 default); gamma 0.99; tau 0.005; policy delay 2; target policy noise 0.2; target noise clip 0.5; batch size 256; replay buffer 50,000 (reduced from the 1,000,000 SB3 default because the available training horizon would leave most of the larger buffer unused); learning starts 500; action noise N(0, 0.1); total timesteps 60,000 per seed (selected after an explicit timing calibration under the CPU budget).</w:t>
      </w:r>
    </w:p>
    <w:p>
      <w:r>
        <w:t>The most significant deviations from the standard SB3 configuration were the network size and replay-buffer capacity. These changes were not introduced as algorithmic improvements; they are declared computational simplifications. The original [400, 300] network was designed for the benchmark environments used in the TD3 literature, whereas the current environment has a substantially smaller observation and action space. Similarly, a million-transition buffer was considered disproportionate to the number of transitions generated during the project's training budget.</w:t>
      </w:r>
    </w:p>
    <w:p>
      <w:pPr>
        <w:pStyle w:val="Heading3"/>
      </w:pPr>
      <w:r>
        <w:t>8.3.2. Training Budget and Calibration</w:t>
      </w:r>
    </w:p>
    <w:p>
      <w:r>
        <w:t>Before executing the three complete training runs, a calibration experiment was performed using 5,000 timesteps and the exact TD3 configuration intended for the final experiment. The measured throughput was 18.09 environment steps per second.</w:t>
      </w:r>
    </w:p>
    <w:p>
      <w:r>
        <w:t>Four candidate training budgets were considered: 15,000, 30,000, 60,000, and 90,000 timesteps. The selected value was 60,000 timesteps per seed, as it was the largest candidate compatible with both the approximately 75-minute per-seed limit and the approximately four-hour total CPU budget. The resulting estimate was approximately 55.3 minutes per seed, or 2.8 hours for the three runs.</w:t>
      </w:r>
    </w:p>
    <w:p>
      <w:r>
        <w:t>The final training process required 167.6 minutes, equivalent to approximately 2.79 hours, closely matching the calibration estimate. This agreement provides evidence that the training budget was correctly estimated before the long runs were executed.</w:t>
      </w:r>
    </w:p>
    <w:p>
      <w:r>
        <w:t>The reduced training budget must nevertheless be treated as an experimental limitation. The TD3 and PI-TD3 studies used for reference report substantially larger HPC training budgets. Therefore, the 60,000-timestep configuration is not interpreted as an equivalent training regime, and the absence of clear convergence is not attributed to the algorithm alone.</w:t>
      </w:r>
    </w:p>
    <w:p>
      <w:pPr>
        <w:pStyle w:val="Heading3"/>
      </w:pPr>
      <w:r>
        <w:t>8.3.3. Environment Construction and Training-Day Sampling</w:t>
      </w:r>
    </w:p>
    <w:p>
      <w:r>
        <w:t>The RL implementation was organized under a new ev2gym_thesis/rl/ package while reusing the evaluation protocol and configuration mechanisms established during the previous weeks. This avoided modifying the underlying EV2Gym implementation and kept the project-specific code separated from the external library.</w:t>
      </w:r>
    </w:p>
    <w:p>
      <w:r>
        <w:t>Training uses the same pool of 20 training days defined in the project protocol. Rather than selecting a day randomly, the training environment uses round-robin sampling. At the relatively short training horizon of this project, unrestricted random sampling could over-represent some dates and leave others unseen. Round-robin sampling guarantees that the training pool is visited systematically. An explicit assertion protects the separation between training and evaluation dates, since allowing an evaluation day into the training process would introduce temporal leakage.</w:t>
      </w:r>
    </w:p>
    <w:p>
      <w:r>
        <w:t>A new EV2Gym instance is reconstructed for each training episode. This design was retained despite the additional configuration-loading cost because it provides a clean mapping between each episode and its selected day. The calibration experiment confirmed that environment reconstruction contributes substantially to the measured training time, which is therefore interpreted as an end-to-end pipeline throughput rather than as a measurement of TD3's gradient computation alone.</w:t>
      </w:r>
    </w:p>
    <w:p>
      <w:pPr>
        <w:pStyle w:val="Heading3"/>
      </w:pPr>
      <w:r>
        <w:t>8.3.4. Observation Normalization and Evaluation</w:t>
      </w:r>
    </w:p>
    <w:p>
      <w:r>
        <w:t>The training environment uses SB3's VecNormalize to normalize observations and rewards. This is necessary because the observation vector combines variables with substantially different scales, including energy, dwell time, power, and discrete indicators. Without normalization, high-magnitude variables could dominate the learning process.</w:t>
      </w:r>
    </w:p>
    <w:p>
      <w:r>
        <w:t>The normalization statistics are saved together with the trained model. During evaluation, these statistics are reloaded with training=False and reward normalization disabled. Consequently, normalization is used to provide the model with observations in the scale it encountered during training, but normalized rewards are never used as the reported evaluation metric.</w:t>
      </w:r>
    </w:p>
    <w:p>
      <w:r>
        <w:t>The evaluation model is loaded using a fail-loudly mechanism: if the VecNormalize statistics file does not exist, a FileNotFoundError is raised, preventing a trained policy from being evaluated with observations that are normalized using incorrect or missing statistics. Evaluation actions are deterministic (model.predict(..., deterministic=True)), so training-time exploration noise is excluded from the reported performance, allowing the evaluation to measure the learned policy itself.</w:t>
      </w:r>
    </w:p>
    <w:p>
      <w:pPr>
        <w:pStyle w:val="Heading3"/>
      </w:pPr>
      <w:r>
        <w:t>8.3.5. Training Artifacts and Reproducibility</w:t>
      </w:r>
    </w:p>
    <w:p>
      <w:r>
        <w:t>Because each training run required approximately one hour of CPU time, the training pipeline was designed to be resumable and self-describing. SB3's CheckpointCallback was reused to periodically save the model and the associated VecNormalize statistics rather than implementing an independent checkpoint mechanism.</w:t>
      </w:r>
    </w:p>
    <w:p>
      <w:r>
        <w:t>A custom learning-curve callback was added because the standard SB3 monitoring output does not directly provide the project's desired timesteps-to-mean-reward representation. The callback reads SB3's own rolling episode buffer and writes the results incrementally to a CSV file. Incremental flushing was intentional: if a training process is interrupted, the learning curve generated up to that point remains available.</w:t>
      </w:r>
    </w:p>
    <w:p>
      <w:r>
        <w:t>Each training run also generates a manifest containing the training seed, Git commit, configuration, reward and state functions, training duration, number of timesteps, and other relevant metadata. The manifest makes the resulting checkpoint self-describing rather than requiring the experiment to be reconstructed from console output.</w:t>
      </w:r>
    </w:p>
    <w:p>
      <w:r>
        <w:t>Although the training script supports resuming from a checkpoint, none of the three final runs required this mechanism. All three seeds completed successfully within the measured 167.6-minute total runtime.</w:t>
      </w:r>
    </w:p>
    <w:p>
      <w:pPr>
        <w:pStyle w:val="Heading3"/>
      </w:pPr>
      <w:r>
        <w:t>8.3.6. Evaluation Grid and Random Policy Control</w:t>
      </w:r>
    </w:p>
    <w:p>
      <w:r>
        <w:t>The three TD3 models were evaluated on the same 50-cell evaluation grid used by AFAP and Round Robin. Each cell is defined by the combination of station configuration, scenario seed, and evaluation day. This preserves the paired structure established in Week 2.</w:t>
      </w:r>
    </w:p>
    <w:p>
      <w:r>
        <w:t>The three training seeds were represented in the registry as separate algorithm identifiers (TD3_vanilla_ts100, TD3_vanilla_ts101, TD3_vanilla_ts102), plus a RandomPolicy control. This naming decision was necessary because the registry's existing deduplication key contains the scenario seed, not the training seed. Using a single algorithm name for the three models would therefore have caused their rows to collide. Adding a new registry column for the training seed was avoided in order to preserve the schema established in the previous weeks. The training seed is instead retained as metadata.</w:t>
      </w:r>
    </w:p>
    <w:p>
      <w:r>
        <w:t>A RandomPolicy control was also introduced. Its purpose was not to serve as a competitive algorithm but as a negative control. Without it, an improvement over AFAP could potentially be attributed simply to the fact that distributing power differently reduces overload in the oversubscribed station. The control therefore provides a reference for the amount of improvement obtainable without learning.</w:t>
      </w:r>
    </w:p>
    <w:p>
      <w:pPr>
        <w:pStyle w:val="Heading3"/>
      </w:pPr>
      <w:r>
        <w:t>8.3.7. Evaluation Errors and Experimental Correction</w:t>
      </w:r>
    </w:p>
    <w:p>
      <w:r>
        <w:t>The most important part of Week 3 was the validation and correction of the evaluation pipeline. Two different problems were identified, and they affected different types of outputs.</w:t>
      </w:r>
    </w:p>
    <w:p>
      <w:r>
        <w:t>The first problem concerned the saved power timeseries. The initial TD3 evaluation stepped the environment through DummyVecEnv and VecNormalize. When an episode reached a terminal state, DummyVecEnv automatically reset the underlying environment. Consequently, when the evaluator subsequently accessed current_power_usage, it was reading the newly reset environment rather than the completed episode.</w:t>
      </w:r>
    </w:p>
    <w:p>
      <w:r>
        <w:t>The problem was identified through visual quality assurance. The generated TD3 power profile was completely flat at zero even though the corresponding registry row reported 13 EVs served. Direct inspection confirmed that the environment had already returned to step zero. Importantly, this first problem affected the saved timeseries but not the scalar registry statistics, because the terminal information dictionary preserved the episode statistics.</w:t>
      </w:r>
    </w:p>
    <w:p>
      <w:r>
        <w:t>The solution was to stop stepping the environment through the VecEnv wrapper during evaluation. Instead, the raw EV2Gym environment is stepped directly, while the saved VecNormalize object is retained only for applying the correct observation normalization. This change preserved the live environment state needed for timeseries capture while maintaining exactly the same normalization and deterministic policy behavior.</w:t>
      </w:r>
    </w:p>
    <w:p>
      <w:r>
        <w:t>A second and more serious problem was discovered during the subsequent Week 4 preflight. Although the environment was constructed with the correct scenario seed, the evaluation stepper called env.reset() without explicitly passing that seed. EV2Gym's behavior in this case is to generate a new random seed and regenerate the EV population rather than reusing the seed supplied during construction.</w:t>
      </w:r>
    </w:p>
    <w:p>
      <w:r>
        <w:t>The discrepancy was reproduced directly. For a representative configuration and day, the environment constructed with a fixed seed generated one EV population, whereas a subsequent unseeded reset generated a different population with different arrival and departure times. An explicit reset(seed=scenario_seed) reproduced the original population.</w:t>
      </w:r>
    </w:p>
    <w:p>
      <w:r>
        <w:t>Therefore, all 200 TD3 and RandomPolicy evaluation episodes from the first evaluation pass were invalid: although their registry rows contained the intended scenario identifiers, the episodes themselves were executed on re-randomized scenarios. This time the error affected the scalar metrics as well as the timeseries.</w:t>
      </w:r>
    </w:p>
    <w:p>
      <w:r>
        <w:t>The AFAP and Round Robin evaluations were checked independently and were not affected because their existing evaluation procedure already passed the scenario seed explicitly.</w:t>
      </w:r>
    </w:p>
    <w:p>
      <w:r>
        <w:t>Rather than patching the reset operation independently in the TD3 and RandomPolicy steppers, a single shared function reset_for_evaluation(env, scenario_seed) was introduced. This decision was important because Week 4 would introduce another evaluation stepper, creating another opportunity for the same error. The function compares the EV population before and after the reset using arrival time, departure time, battery capacity, and desired capacity, and asserts they match. It therefore transforms a previously implicit assumption into an explicit runtime invariant: if a future evaluation path attempts to reset the environment incorrectly, the experiment fails immediately instead of silently producing invalid registry rows.</w:t>
      </w:r>
    </w:p>
    <w:p>
      <w:r>
        <w:t>All 200 affected episodes were subsequently re-evaluated, and the bootstrap analyses, figures, and downstream documents were regenerated from the corrected data. The trained model weights were not changed and no retraining was required.</w:t>
      </w:r>
    </w:p>
    <w:p>
      <w:pPr>
        <w:pStyle w:val="Heading3"/>
      </w:pPr>
      <w:r>
        <w:t>8.3.8. Testing and Validation</w:t>
      </w:r>
    </w:p>
    <w:p>
      <w:r>
        <w:t>The evaluation correction also led to a change in the philosophy of the RL infrastructure tests. Initially, the reproducibility test used a hand-written evaluation loop that correctly passed the scenario seed. Although that test passed, it did not exercise the actual production stepper and therefore failed to detect the real bug.</w:t>
      </w:r>
    </w:p>
    <w:p>
      <w:r>
        <w:t>This exposed an important methodological lesson: a test that validates a similar implementation is not sufficient when the production path is different. The test was consequently rewritten to instantiate and call the actual _TD3Stepper and evaluation functions used by the production script.</w:t>
      </w:r>
    </w:p>
    <w:p>
      <w:r>
        <w:t>Additional tests were added to verify the corrected reset_for_evaluation behavior and explicitly reproduce the failure that would occur under a bare unseeded reset. This increased the RL infrastructure suite from eight to ten tests. The tests also cover the separation of training and scenario seeds, training-day leakage, missing VecNormalize statistics, and deterministic evaluation. Importantly, the infrastructure tests do not depend on the final trained checkpoints. Small untrained TD3 models are sufficient to validate these properties, allowing the tests to be executed before the expensive training stage.</w:t>
      </w:r>
    </w:p>
    <w:p>
      <w:pPr>
        <w:pStyle w:val="Heading3"/>
      </w:pPr>
      <w:r>
        <w:t>8.3.9. Registry and Analysis Integration</w:t>
      </w:r>
    </w:p>
    <w:p>
      <w:r>
        <w:t>The addition of RL results required extending the registry logic from Week 2. The previous implementation identified main-grid rows by checking whether the notes field was empty. This had worked for Weeks 1 and 2 because the field was only populated for special rows.</w:t>
      </w:r>
    </w:p>
    <w:p>
      <w:r>
        <w:t>Week 3 changed that assumption. RL rows legitimately store metadata such as reward function, state function, and training seed in notes. Therefore, filtering on an empty field would have silently removed all RL rows from the main analysis. The filtering rule was changed to explicitly exclude only the known non-grid markers (week1_reference_day, pipeline_smoke_test_grid).</w:t>
      </w:r>
    </w:p>
    <w:p>
      <w:r>
        <w:t>The corrected registry contains 300 main-grid rows: 50 evaluation cells for each of the six algorithms consisting of AFAP, Round Robin, three TD3 training seeds, and RandomPolicy. This change preserves the registry schema while allowing RL-specific metadata to coexist with the evaluation grid.</w:t>
      </w:r>
    </w:p>
    <w:p>
      <w:r>
        <w:t>A second compatibility issue concerned the total_reward metric. AFAP and Round Robin use EV2Gym's default reward, whereas TD3 and RandomPolicy use SqTrError_TrPenalty_UserIncentives. Consequently, total_reward is not directly comparable across the heuristic and RL rows. Instead of relying on the researcher to remember this restriction, an explicit guardrail (assert_total_reward_comparable) was added to the plotting utilities: it raises if a figure attempts to compare total_reward across rows with different reward functions.</w:t>
      </w:r>
    </w:p>
    <w:p>
      <w:pPr>
        <w:spacing w:before="80" w:after="80"/>
        <w:ind w:left="432"/>
      </w:pPr>
      <w:r>
        <w:rPr>
          <w:i/>
          <w:color w:val="8A3000"/>
          <w:sz w:val="20"/>
        </w:rPr>
        <w:t>[Corrected 2026-09-09] "300 main-grid rows / six algorithms" is the Week 3 snapshot. Week 4 added the two oracle variants and TD3_TrackingOnly (11 algorithms x 50 cells = 550 rows); Week 5 rebuilt the grid and added the two MPC arms (13 algorithms x 100 cells = 1,300 rows flagged analysis_row=True). All pre-Week-5 rows are retained with superseded=True and are excluded from every current figure and table.</w:t>
      </w:r>
    </w:p>
    <w:p>
      <w:pPr>
        <w:pStyle w:val="Heading3"/>
      </w:pPr>
      <w:r>
        <w:t>8.3.10. Statistical Analysis and Visualization</w:t>
      </w:r>
    </w:p>
    <w:p>
      <w:r>
        <w:t>The statistical analysis follows the paired structure introduced in Week 2. The existing paired_bootstrap_ci implementation was reused rather than creating a second bootstrap procedure. Evaluation cells are therefore resampled as matched (scenario seed, evaluation day) pairs.</w:t>
      </w:r>
    </w:p>
    <w:p>
      <w:r>
        <w:t>In addition to scenario-level bootstrap confidence intervals, Week 3 reports dispersion across the three independent training seeds. These two analyses are intentionally kept separate. The bootstrap interval answers how much performance varies across evaluation scenarios for one training run, while the training-seed analysis measures how the average performance itself changes between independent training runs.</w:t>
      </w:r>
    </w:p>
    <w:p>
      <w:r>
        <w:t>For each metric, the three per-seed means are therefore calculated and their spread and standard deviation reported. A large relative spread for transformer overload in one case is interpreted cautiously because two seeds have exactly zero overload, making a percentage relative to the mean unstable. It is therefore treated as a near-zero denominator artifact rather than as a substantive claim of extreme training instability.</w:t>
      </w:r>
    </w:p>
    <w:p>
      <w:r>
        <w:t>The activation of the learning-curve figure also required additional visual validation. Since the registry contains final evaluation rows rather than a reward trajectory, the learning curves are read directly from each training run's learning_curve.csv artifact. Visual inspection identified several presentation problems, including overlapping algorithm labels, clipped titles, excessive figure margins, and the appearance of TD3 and RandomPolicy as isolated points in the station-size sensitivity figure. The latter was particularly important: TD3 and RandomPolicy were not trained across the station-size sweep due to the CPU budget. Showing their single reference-point values as a trend would therefore imply evidence that did not exist. The size-sensitivity figure was consequently restricted to algorithms with actual non-reference sweep data.</w:t>
      </w:r>
    </w:p>
    <w:p>
      <w:pPr>
        <w:pStyle w:val="Heading3"/>
      </w:pPr>
      <w:r>
        <w:t>8.3.11. Results of the Corrected Experiment</w:t>
      </w:r>
    </w:p>
    <w:p>
      <w:pPr>
        <w:spacing w:before="80" w:after="80"/>
        <w:ind w:left="432"/>
      </w:pPr>
      <w:r>
        <w:rPr>
          <w:i/>
          <w:color w:val="8A3000"/>
          <w:sz w:val="20"/>
        </w:rPr>
        <w:t>[Corrected 2026-09-09] The figures in this section are computed on the original 5-seed x 10-day grid, which Week 5 Gate 3/Gate 4 showed was not statistically independent across the day axis. On the regenerated 50-seed x 2-day grid (section 10.8, section 10.12), AFAP's mean transformer overload is 14.22 kWh/day (not 5.33) and 28 of 50 independent arrival scenarios (56%) show overload -- a majority-case outcome, not a 1-in-5 tail. Round Robin's overload advantage over AFAP, whose 5-seed 95% CI touched zero ([-12.26, 0.00]), becomes decisive on the 50-seed cluster bootstrap ([-19.25, -9.62]). The corrected numbers are the ones carried into the Objective 4 comparison; the 5-seed figures below are retained to show the state of evidence at the time.</w:t>
      </w:r>
    </w:p>
    <w:p>
      <w:r>
        <w:t>The corrected evaluation changes the interpretation of the vanilla TD3 baseline substantially compared with the first evaluation pass. Because the evaluation scenarios themselves were incorrect in the first pass, all downstream statistics from that pass were discarded and regenerated from the 200 corrected episodes.</w:t>
      </w:r>
    </w:p>
    <w:p>
      <w:r>
        <w:t>The first relevant metric is transformer overload. TD3 reduces overload relative to unmanaged AFAP, with the improvement being statistically significant for two of the three training seeds. However, TD3 is significantly worse than Round Robin on transformer overload for all three seeds. Therefore, the corrected experiment does not support the earlier conclusion that TD3 matches Round Robin's near-elimination of overload.</w:t>
      </w:r>
    </w:p>
    <w:p>
      <w:r>
        <w:t>The RandomPolicy control provides an additional and important result. Under the corrected evaluation, RandomPolicy achieves approximately 0.22 kWh of transformer overload, compared with 5.33 kWh for AFAP. For training seed 100, RandomPolicy is also statistically indistinguishable from TD3. Consequently, the experiment cannot support the stronger claim that TD3 learned a specific overload-avoidance behavior that is superior to naive action selection. The random control demonstrates that low overload alone is not sufficient evidence of the specific benefit of the learned policy.</w:t>
      </w:r>
    </w:p>
    <w:p>
      <w:r>
        <w:t>The corrected results also change the interpretation of total_ev_served. The metric is now identical across the algorithms, meaning that the lower and seed-dependent values previously attributed to TD3 were themselves artifacts of the incorrect evaluation scenarios. This correction is important because it prevents a false claim that the RL policy sacrifices the number of served EVs to obtain its grid-related performance.</w:t>
      </w:r>
    </w:p>
    <w:p>
      <w:r>
        <w:t>In contrast, the reduction in min_energy_user_satisfaction remains a genuine effect. The worst TD3 seed reaches approximately 78.3%, indicating that the policy can achieve its observed grid behavior at the expense of user-level energy satisfaction. This trade-off therefore remains relevant for the subsequent comparison with the physics-informed method.</w:t>
      </w:r>
    </w:p>
    <w:p>
      <w:r>
        <w:t>The learning curves show a weak but consistent positive trend across the three training seeds, but no clear convergence is observed within the 60,000-timestep budget. Given the deliberately reduced training horizon, this result is treated as a limitation of the experiment rather than as evidence that TD3 cannot converge on the problem.</w:t>
      </w:r>
    </w:p>
    <w:p>
      <w:r>
        <w:t>Finally, the total training time of 2.79 hours for the three seeds closely matches the pre-training calibration. This confirms that the selected budget was respected while still allowing three independent training runs to be retained rather than reporting only a single seed.</w:t>
      </w:r>
    </w:p>
    <w:p>
      <w:pPr>
        <w:pStyle w:val="Heading3"/>
      </w:pPr>
      <w:r>
        <w:t>8.3.12. Week 3 Summary</w:t>
      </w:r>
    </w:p>
    <w:p>
      <w:r>
        <w:t>Week 3 established the first reproducible RL baseline for the project and extended the experimental infrastructure created in the previous weeks to support learned policies. The main contribution was therefore not only the TD3 model itself, but the complete chain connecting training, normalization, checkpointing, deterministic evaluation, registry integration, statistical analysis, and visual validation.</w:t>
      </w:r>
    </w:p>
    <w:p>
      <w:r>
        <w:t>The evaluation correction was particularly important for the validity of the results. The first issue demonstrated that vectorized-environment auto-reset behavior can invalidate timeseries without affecting scalar metrics. The second, more serious issue showed that failing to pass the scenario seed during environment reset can invalidate the experimental cell itself. The introduction of the shared reset_for_evaluation function and production-path tests converted these assumptions into explicit, testable guarantees.</w:t>
      </w:r>
    </w:p>
    <w:p>
      <w:r>
        <w:t>With the corrected results, vanilla TD3 provides a useful but non-dominant baseline. It can reduce transformer overload relative to AFAP, but remains worse than Round Robin on this metric and does not demonstrate an advantage over the RandomPolicy control in the corrected experiment. At the same time, its lower user-energy satisfaction and lack of clear convergence under the constrained training budget expose the trade-offs that the Week 4 physics-informed formulation must address.</w:t>
      </w:r>
    </w:p>
    <w:p>
      <w:r>
        <w:t>Consequently, Week 3 establishes a controlled baseline against which the physics-informed TD3 approach can be evaluated. Because the training pipeline, evaluation grid, deterministic reset mechanism, artifact structure, and statistical procedures are now shared, the Week 4 method can be introduced as a controlled modification of the RL baseline rather than as an independent experimental framework.</w:t>
      </w:r>
    </w:p>
    <w:p>
      <w:pPr>
        <w:pStyle w:val="Heading3"/>
      </w:pPr>
      <w:r>
        <w:t>8.3.13. References</w:t>
      </w:r>
    </w:p>
    <w:p>
      <w:pPr>
        <w:spacing w:before="80" w:after="80"/>
        <w:ind w:left="432"/>
      </w:pPr>
      <w:r>
        <w:rPr>
          <w:i/>
          <w:color w:val="8A3000"/>
          <w:sz w:val="20"/>
        </w:rPr>
        <w:t>[Added 2026-09-09] The compiled PDF's Week 3 section had no reference list and two unresolved "[?]" citation markers. Added:</w:t>
      </w:r>
    </w:p>
    <w:p>
      <w:pPr>
        <w:pStyle w:val="ListBullet"/>
      </w:pPr>
      <w:r>
        <w:t>Fujimoto, S., van Hoof, H., &amp; Meger, D. (2018). Addressing Function Approximation Error in Actor-Critic Methods. Proceedings of the 35th International Conference on Machine Learning (ICML), PMLR 80, 1587-1596. (TD3)</w:t>
      </w:r>
    </w:p>
    <w:p>
      <w:pPr>
        <w:pStyle w:val="ListBullet"/>
      </w:pPr>
      <w:r>
        <w:t>Raffin, A., Hill, A., Gleave, A., Kanervisto, A., Ernestus, M., &amp; Dormann, N. (2021). Stable-Baselines3: Reliable Reinforcement Learning Implementations. Journal of Machine Learning Research, 22(268), 1-8.</w:t>
      </w:r>
    </w:p>
    <w:p>
      <w:pPr>
        <w:pStyle w:val="ListBullet"/>
      </w:pPr>
      <w:r>
        <w:t>Orfanoudakis, S., Diaz-Londono, C., Yilmaz, Y. E., Palensky, P., &amp; Vergara, P. P. (2025). EV2Gym: A flexible V2G simulator for EV smart charging research and benchmarking. IEEE Transactions on Intelligent Transportation Systems, 26(2), 2410-2421.</w:t>
      </w:r>
    </w:p>
    <w:p>
      <w:pPr>
        <w:pStyle w:val="Heading1"/>
      </w:pPr>
      <w:r>
        <w:t>9. Week 4 -- Oracle Benchmark and Implementation Justification</w:t>
      </w:r>
    </w:p>
    <w:p>
      <w:pPr>
        <w:pStyle w:val="Heading2"/>
      </w:pPr>
      <w:r>
        <w:t>9.1. Week Objective</w:t>
      </w:r>
    </w:p>
    <w:p>
      <w:r>
        <w:t>The objective of Week 4 was to introduce a perfect-information Oracle benchmark capable of establishing the best achievable solution for every charging scenario evaluated throughout this thesis. Unlike the heuristic baselines (Charge As Fast As Possible and Round Robin) and the TD3 agent implemented during Week 3, the Oracle has complete knowledge of the simulation episode before optimization begins. This includes the arrival and departure time of every electric vehicle, each user's desired energy demand, the initial battery state of charge, charging power limits, and the complete transformer capacity profile across the simulation horizon.</w:t>
      </w:r>
    </w:p>
    <w:p>
      <w:r>
        <w:t>The Oracle therefore solves an offline optimization problem under perfect information, producing an upper performance bound for the Public-PST charging problem considered in this work. Rather than proposing another online charging strategy, its role is to quantify the remaining optimality gap of every online algorithm evaluated in the thesis.</w:t>
      </w:r>
    </w:p>
    <w:p>
      <w:r>
        <w:t>Originally, the project roadmap proposed implementing this benchmark using an open-source optimization solver because earlier stages of the project assumed Gurobi licensing limitations. During this week, however, an academic Gurobi license became available, allowing the implementation to directly reuse EV2Gym's official optimization models. This reduced implementation drift, avoided modifying upstream library code, and ensured consistency with the optimization framework already provided by EV2Gym.</w:t>
      </w:r>
    </w:p>
    <w:p>
      <w:r>
        <w:t>In parallel, this week explored whether the recently proposed PI-TD3 method could be adapted to EV2Gym's public charging setting. Two different reward adaptations inspired by the paper were implemented and validated analytically before training. Both designs were rejected after controlled verification experiments identified structural problems unrelated to hyperparameter tuning. Instead of investing computational resources into training an invalid reward, the implementation was preserved as documented negative evidence within the repository.</w:t>
      </w:r>
    </w:p>
    <w:p>
      <w:r>
        <w:t>Finally, a controlled reinforcement-learning ablation named TD3_TrackingOnly was incorporated into the training and evaluation pipeline. This experiment isolates the contribution of the reward shaping introduced during Week 3 and evaluates whether minimizing only tracking error produces different behavior than the composite reward previously adopted.</w:t>
      </w:r>
    </w:p>
    <w:p>
      <w:pPr>
        <w:pStyle w:val="Heading2"/>
      </w:pPr>
      <w:r>
        <w:t>9.2. Perfect-Information Oracle Benchmark</w:t>
      </w:r>
    </w:p>
    <w:p>
      <w:r>
        <w:t>The Oracle implementation followed one of the architectural rules established for the project: the EV2Gym source code should remain untouched. Instead of modifying the optimization models distributed with the simulator, a new package named ev2gym_thesis/oracle/ was created. This package is responsible for generating replay files, validating scenario consistency, enforcing Grid-to-Vehicle constraints, and executing EV2Gym's original Gurobi optimization models. This separation keeps the thesis implementation reproducible while making future EV2Gym updates compatible without merge conflicts.</w:t>
      </w:r>
    </w:p>
    <w:p>
      <w:pPr>
        <w:pStyle w:val="Heading3"/>
      </w:pPr>
      <w:r>
        <w:t>9.2.1. Oracle evaluation workflow</w:t>
      </w:r>
    </w:p>
    <w:p>
      <w:r>
        <w:t>The complete Oracle pipeline consists of four deterministic stages: (1) generate the exact daily charging scenario using the same configuration employed during heuristic and RL evaluation; (2) produce a replay of the episode containing every EV event and transformer state; (3) transform the replay into a G2V-only version so that the Oracle solves the same optimization problem as the online algorithms; (4) execute the selected Oracle model with Gurobi and register the resulting metrics inside the experiment registry.</w:t>
      </w:r>
    </w:p>
    <w:p>
      <w:r>
        <w:t>This workflow guarantees that every algorithm evaluated in the thesis observes exactly the same underlying charging scenario. Consequently, any performance difference is produced by the charging policy itself rather than by differences in the simulated environment.</w:t>
      </w:r>
    </w:p>
    <w:p>
      <w:pPr>
        <w:pStyle w:val="Heading3"/>
      </w:pPr>
      <w:r>
        <w:t>9.2.2. Deterministic replay generation</w:t>
      </w:r>
    </w:p>
    <w:p>
      <w:r>
        <w:t>The first implementation challenge was generating replay files that perfectly matched the scenarios used by the evaluation pipeline introduced during Week 3. EV2Gym internally stores a serialized EvCityReplay object containing all information required by its optimization models. However, replay generation still requires executing one complete simulation episode.</w:t>
      </w:r>
    </w:p>
    <w:p>
      <w:r>
        <w:t>A utility function was created to automate this process. The function first creates the day-specific configuration file using the same helper employed by the RL environment factory, initializes EV2Gym with replay recording enabled, executes one complete episode using Round Robin, and stores the resulting replay on disk.</w:t>
      </w:r>
    </w:p>
    <w:p>
      <w:r>
        <w:t>Round Robin was deliberately selected because it is deterministic and inexpensive to execute. Nevertheless, the important question was whether replay contents depended on the algorithm traversing the environment. This assumption was not accepted without verification. Replays generated using Round Robin and Charge As Fast As Possible were compared field by field over identical (configuration, day, seed) combinations. The comparison confirmed that every field consumed by EV2Gym's Oracle models remains identical across algorithms, including arrival times, departure indicators, desired energy, charging power limits, and initial battery energy. The only differing field is loaded by the optimization model but never referenced inside its constraints or objective function, making it effectively inactive within EV2Gym's implementation.</w:t>
      </w:r>
    </w:p>
    <w:p>
      <w:r>
        <w:t>Another important design decision inherited from Week 3 was avoiding any additional call to env.reset() after constructing the environment. During Week 3, uncontrolled reset calls were discovered to silently regenerate scenarios during evaluation, invalidating comparisons across algorithms. Replay generation therefore relies exclusively on EV2Gym's seeded initialization, preserving deterministic scenario construction.</w:t>
      </w:r>
    </w:p>
    <w:p>
      <w:pPr>
        <w:pStyle w:val="Heading3"/>
      </w:pPr>
      <w:r>
        <w:t>9.2.3. Forcing Grid-to-Vehicle consistency</w:t>
      </w:r>
    </w:p>
    <w:p>
      <w:r>
        <w:t>A second implementation issue emerged while inspecting EV2Gym's replay generation process. Although the configuration file specifies v2g_enabled=False, this flag only restricts the action space exposed to reinforcement-learning and heuristic agents. The replay itself still stores non-zero discharge-current limits copied directly from the charging station configuration.</w:t>
      </w:r>
    </w:p>
    <w:p>
      <w:r>
        <w:t>As a consequence, the Oracle would be allowed to discharge vehicles back into the grid while AFAP, Round Robin, and TD3 solve a strictly charging-only problem. Under this inconsistency, the Oracle would no longer represent an upper bound for the same optimization problem.</w:t>
      </w:r>
    </w:p>
    <w:p>
      <w:r>
        <w:t>To eliminate this mismatch, every replay is post-processed before optimization. The discharge-current limits of every charging port are replaced by zero while preserving every remaining replay field. Rather than modifying EV2Gym's configuration or optimization code, the transformation is applied to a copy of the replay. This decision preserves both the original replay and the G2V version, simplifying debugging and maintaining compatibility with EV2Gym's upstream implementation.</w:t>
      </w:r>
    </w:p>
    <w:p>
      <w:pPr>
        <w:pStyle w:val="Heading3"/>
      </w:pPr>
      <w:r>
        <w:t>9.2.4. Replay-scenario parity verification</w:t>
      </w:r>
    </w:p>
    <w:p>
      <w:r>
        <w:t>Generating replay files is insufficient if there is no guarantee that the replay corresponds to the scenario currently being evaluated. For this reason, an automatic parity verification stage was introduced before every Oracle execution.</w:t>
      </w:r>
    </w:p>
    <w:p>
      <w:r>
        <w:t>The verification compares the replay against the live EV2Gym environment using three independent consistency checks: the total number of occupancy time steps, EV arrival and departure schedules, and the multiset of desired battery energies for all vehicles present in the episode.</w:t>
      </w:r>
    </w:p>
    <w:p>
      <w:r>
        <w:t>Unlike the manual sanity check performed during the calibration notebook, this verification executes automatically for every evaluation cell. If any assertion fails, the Oracle evaluation stops immediately and the corresponding result is discarded. This mechanism extends the deterministic evaluation protocol introduced during Week 3 and guarantees that the Oracle optimizes exactly the same charging scenario experienced by the online algorithms.</w:t>
      </w:r>
    </w:p>
    <w:p>
      <w:pPr>
        <w:pStyle w:val="Heading2"/>
      </w:pPr>
      <w:r>
        <w:t>9.3. Balanced Oracle Implementation</w:t>
      </w:r>
    </w:p>
    <w:p>
      <w:r>
        <w:t>The optimization model provided by EV2Gym minimizes transformer tracking error only. However, this thesis evaluates charging strategies using multiple performance dimensions, including user satisfaction at departure. To study the relationship between these objectives, a second Oracle variant named Optimal Oracle Balanced was implemented.</w:t>
      </w:r>
    </w:p>
    <w:p>
      <w:r>
        <w:t>Instead of modifying EV2Gym's original model, a new optimization class was created by reproducing the original constraint structure and extending only the objective function. This preserves compatibility with the original implementation while making the modification explicit inside the thesis codebase.</w:t>
      </w:r>
    </w:p>
    <w:p>
      <w:pPr>
        <w:pStyle w:val="Heading3"/>
      </w:pPr>
      <w:r>
        <w:t>9.3.1. Motivation for a second Oracle variant</w:t>
      </w:r>
    </w:p>
    <w:p>
      <w:r>
        <w:t>Using a single Oracle with a composite objective would create ambiguity when computing optimality gaps. An algorithm could appear farther from the Oracle because of user satisfaction improvements even if it already minimizes tracking error nearly optimally.</w:t>
      </w:r>
    </w:p>
    <w:p>
      <w:r>
        <w:t>To avoid mixing objectives, two Oracle variants were defined: Optimal Oracle Tracking, which minimizes tracking error only; and Optimal Oracle Balanced, which minimizes tracking error while penalizing unmet energy demand at departure. Each variant therefore answers a different research question and provides a different benchmark depending on the metric being analyzed.</w:t>
      </w:r>
    </w:p>
    <w:p>
      <w:pPr>
        <w:pStyle w:val="Heading3"/>
      </w:pPr>
      <w:r>
        <w:t>9.3.2. Departure satisfaction penalty</w:t>
      </w:r>
    </w:p>
    <w:p>
      <w:r>
        <w:t>The balanced Oracle introduces a quadratic penalty representing the remaining energy gap when a vehicle leaves the charging station: user_satisfaction == (ev_des_energy - energy)**2. This formulation directly measures the squared energy deficit in kWh, producing a physically meaningful penalty proportional to unmet charging demand.</w:t>
      </w:r>
    </w:p>
    <w:p>
      <w:r>
        <w:t>The optimization objective combines transformer tracking error and departure dissatisfaction: minimize power_error.sum() + satisfaction_weight * user_satisfaction.sum(). Because both terms are minimized simultaneously, the model searches for charging schedules that satisfy users without sacrificing transformer tracking performance whenever both objectives are compatible.</w:t>
      </w:r>
    </w:p>
    <w:p>
      <w:pPr>
        <w:pStyle w:val="Heading3"/>
      </w:pPr>
      <w:r>
        <w:t>9.3.3. Penalty-weight justification</w:t>
      </w:r>
    </w:p>
    <w:p>
      <w:r>
        <w:t>The parameter SATISFACTION_PENALTY_WEIGHT was initialized with a value of 1.0. This value was intentionally not copied from EV2Gym's profit-maximization model because the objectives operate on different physical quantities and different numerical scales.</w:t>
      </w:r>
    </w:p>
    <w:p>
      <w:r>
        <w:t>During implementation, the original formulation in profit_max.py was inspected and a dimensional inconsistency was identified. The upstream implementation multiplies two quantities expressed in kWh before comparing them against an energy variable, producing an expression whose units are inconsistent. For this thesis, the penalty was reformulated using the squared difference between desired energy and delivered energy, ensuring that both operands share identical units. This produces a penalty whose interpretation is independent of profit scaling and directly measures charging dissatisfaction.</w:t>
      </w:r>
    </w:p>
    <w:p>
      <w:r>
        <w:t>A sensitivity experiment was performed using penalty weights of 0.5x, 1x, and 2x the default value. The objective value changed consistently across configurations, confirming that the new term actively participates in optimization rather than remaining disconnected from the model.</w:t>
      </w:r>
    </w:p>
    <w:p>
      <w:r>
        <w:t>Interestingly, evaluation over the complete experimental grid showed nearly identical user satisfaction for both Oracle variants. This result indicates that, under the Bogota charging scenarios considered in this work, minimizing transformer tracking error is already sufficient to satisfy virtually all charging demand, making the additional satisfaction penalty effectively free on the evaluated scenarios.</w:t>
      </w:r>
    </w:p>
    <w:p>
      <w:pPr>
        <w:pStyle w:val="Heading2"/>
      </w:pPr>
      <w:r>
        <w:t>9.4. Oracle Evaluation Pipeline</w:t>
      </w:r>
    </w:p>
    <w:p>
      <w:r>
        <w:t>Once both Oracle models were implemented, a dedicated evaluation script was incorporated into the experimental pipeline. The script mirrors the evaluation workflow introduced during Week 3 but replaces policy interaction with offline optimization.</w:t>
      </w:r>
    </w:p>
    <w:p>
      <w:r>
        <w:t>The evaluation loop performs the following sequence for each evaluation cell: generate the deterministic replay for the requested day and seed; create its G2V-only copy; validate replay parity; execute the selected Oracle variant through Gurobi; record the resulting metrics inside master_results.csv.</w:t>
      </w:r>
    </w:p>
    <w:p>
      <w:r>
        <w:t>Rather than creating separate scripts for each Oracle, a single implementation accepts a --variant argument selecting between the tracking-only and balanced models. This keeps replay generation, validation, registry insertion, and experiment bookkeeping identical for both variants while changing only the optimization model being executed.</w:t>
      </w:r>
    </w:p>
    <w:p>
      <w:r>
        <w:t>An additional design decision concerns reward handling. Unlike reinforcement-learning agents, the Oracle never interacts with EV2Gym's reward function or state representation. Consequently, Oracle entries in the experiment registry explicitly record reward=None and leave total_reward undefined. This prevents Oracle rows from being mistakenly included in reward-based comparisons alongside RL agents whose rewards depend on the environment's reward function.</w:t>
      </w:r>
    </w:p>
    <w:p>
      <w:pPr>
        <w:pStyle w:val="Heading2"/>
      </w:pPr>
      <w:r>
        <w:t>9.5. Physics-Informed Reward: Falsified Before Training</w:t>
      </w:r>
    </w:p>
    <w:p>
      <w:pPr>
        <w:spacing w:before="80" w:after="80"/>
        <w:ind w:left="432"/>
      </w:pPr>
      <w:r>
        <w:rPr>
          <w:i/>
          <w:color w:val="8A3000"/>
          <w:sz w:val="20"/>
        </w:rPr>
        <w:t>[Added 2026-09-09] This section and sections 9.6-9.9 were missing from the compiled PDF; they reproduce thesis_docs/chapters/04_oracle_and_pitd3.md S4.3-S4.10, already present in the Week 4 Word document.</w:t>
      </w:r>
    </w:p>
    <w:p>
      <w:r>
        <w:t>Two reward-only adaptations inspired by the PI-TD3 paper were implemented, verified analytically, and rejected before any training compute was spent, for two independent, well-diagnosed structural reasons. A genuine ambiguity in the paper's reward Eq. 14 was recorded rather than resolved either way. No PI_TD3 arm exists anywhere in this thesis's registry, code, or results. Week 4's second training arm is instead TD3_TrackingOnly, a controlled reward ablation.</w:t>
      </w:r>
    </w:p>
    <w:p>
      <w:r>
        <w:t>The physics-informed reward, as adapted, could not be given a defensible meaning in EV2Gym's Public-PST configuration without either (a) reintroducing information the PublicPST state deliberately withholds (which would break parity with the causal online arms and mirror the reason a faithful PI-TD3 port was closed off), or (b) collapsing to a term that is numerically inert under this project's configuration. Both failure modes were demonstrated with controlled verification scripts (verify_pi_reward_differs.py, verify_headroom_term.py) rather than argued from first principles. The rejected implementations are kept in the repository as documented negative evidence.</w:t>
      </w:r>
    </w:p>
    <w:p>
      <w:pPr>
        <w:pStyle w:val="Heading2"/>
      </w:pPr>
      <w:r>
        <w:t>9.6. TD3_TrackingOnly Reward Ablation: Training and Evaluation</w:t>
      </w:r>
    </w:p>
    <w:p>
      <w:r>
        <w:t>All three TRAIN_SEEDS were trained at the identical 60,000-timestep/seed budget confirmed for TD3_vanilla. Per-seed wall-clock: 55.72, 54.61 and 58.10 minutes; total 168.43 minutes (2.807 h), 1.4% under the pre-training calibration estimate.</w:t>
      </w:r>
    </w:p>
    <w:p>
      <w:r>
        <w:t>The three checkpoints were evaluated on the identical 50-cell grid (5 SEEDS x 10 EVAL_DAYS) used for every other arm. The evaluation appended exactly 150 rows (3 seeds x 50 cells), correctly skipped the 200 already-present TD3_vanilla/RandomPolicy rows, and reported 0 errors. The main-grid registry at the end of Week 4 contained 550 rows = 11 algorithms x 50 cells, confirmed by an automated TestRegistryCount test.</w:t>
      </w:r>
    </w:p>
    <w:p>
      <w:pPr>
        <w:pStyle w:val="Heading2"/>
      </w:pPr>
      <w:r>
        <w:t>9.7. Week 4 Analysis</w:t>
      </w:r>
    </w:p>
    <w:p>
      <w:r>
        <w:t>(a) Reward ablation -- a mixed result, not a validation. Pooled over n=150 matched cells (paired bootstrap), TD3_vanilla (composite reward) is better on tracking error (+12.95%), energy tracking error (+5.30%), transformer overload (+1.75 kWh absolute) and battery degradation (+2.65%); TD3_TrackingOnly is better on ENTSO-E-priced energy cost (+5.02%) and on both satisfaction metrics (average +0.41%, min_energy_user_satisfaction +7.59%). Every confidence interval excludes zero except total_ev_served (both arms serve 13.44 EVs/day, tied by construction). Neither arm dominates.</w:t>
      </w:r>
    </w:p>
    <w:p>
      <w:r>
        <w:t>An earlier draft of this section stated that the ablation "retroactively validates" Week 3's composite-reward choice. That was corrected on 2026-08-20: the evidence partially supports Week 3's reasoning (real, if modest, gains on the axes the composite reward targeted) but at a real, non-trivial cost on two of the thesis's three declared objective axes (satisfaction, cost). Evidence obtained later that partially supports an earlier reasoned choice is a different thing from that choice being validated, and the distinction is kept rather than collapsed.</w:t>
      </w:r>
    </w:p>
    <w:p>
      <w:r>
        <w:t>The counterintuitive part -- optimizing tracking error alone produces a worse realized tracking error than a reward that also spends capacity on overload and satisfaction penalties -- is recorded as a hypothesis, not an established fact: the composite reward's extra terms may act as implicit shaping/regularization that helps credit assignment under the severely reduced training budget (60,000 timesteps vs. the source papers' HPC-scale runs). Under this hypothesis the effect would be an artifact of the reduced budget, and a matched-budget comparison at 300,000-500,000 timesteps on a single seed per arm would test it. This is explicitly out of scope for Week 4.</w:t>
      </w:r>
    </w:p>
    <w:p>
      <w:r>
        <w:t>(b) TD3_TrackingOnly vs. AFAP/Round Robin. Against Round Robin, TD3_TrackingOnly's tracking error is 158.6%-191.1% worse across all three seeds, despite Round Robin being a zero-learning heuristic and TD3_TrackingOnly training solely to minimize tracking error. This rules out "the other reward terms distract the agent from tracking" as an explanation for TD3's underperformance vs. Round Robin on this axis -- the same underperformance persists with every other term removed.</w:t>
      </w:r>
    </w:p>
    <w:p>
      <w:r>
        <w:t>(c) Optimality gap vs. the tracking-error oracle (restricted to metrics the oracle actually optimizes):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Algorithm</w:t>
            </w:r>
          </w:p>
        </w:tc>
        <w:tc>
          <w:tcPr>
            <w:tcW w:type="dxa" w:w="2880"/>
          </w:tcPr>
          <w:p>
            <w:r>
              <w:rPr>
                <w:b/>
              </w:rPr>
              <w:t>tracking_error gap (% of oracle)</w:t>
            </w:r>
          </w:p>
        </w:tc>
        <w:tc>
          <w:tcPr>
            <w:tcW w:type="dxa" w:w="2880"/>
          </w:tcPr>
          <w:p>
            <w:r>
              <w:rPr>
                <w:b/>
              </w:rPr>
              <w:t>min_energy_user_satisfaction gap</w:t>
            </w:r>
          </w:p>
        </w:tc>
      </w:tr>
      <w:tr>
        <w:tc>
          <w:tcPr>
            <w:tcW w:type="dxa" w:w="2880"/>
          </w:tcPr>
          <w:p>
            <w:r>
              <w:t>Round Robin</w:t>
            </w:r>
          </w:p>
        </w:tc>
        <w:tc>
          <w:tcPr>
            <w:tcW w:type="dxa" w:w="2880"/>
          </w:tcPr>
          <w:p>
            <w:r>
              <w:t>136.3% (closest online algorithm)</w:t>
            </w:r>
          </w:p>
        </w:tc>
        <w:tc>
          <w:tcPr>
            <w:tcW w:type="dxa" w:w="2880"/>
          </w:tcPr>
          <w:p>
            <w:r>
              <w:t>0.05%</w:t>
            </w:r>
          </w:p>
        </w:tc>
      </w:tr>
      <w:tr>
        <w:tc>
          <w:tcPr>
            <w:tcW w:type="dxa" w:w="2880"/>
          </w:tcPr>
          <w:p>
            <w:r>
              <w:t>TD3_vanilla (best seed, ts100)</w:t>
            </w:r>
          </w:p>
        </w:tc>
        <w:tc>
          <w:tcPr>
            <w:tcW w:type="dxa" w:w="2880"/>
          </w:tcPr>
          <w:p>
            <w:r>
              <w:t>421.9%</w:t>
            </w:r>
          </w:p>
        </w:tc>
        <w:tc>
          <w:tcPr>
            <w:tcW w:type="dxa" w:w="2880"/>
          </w:tcPr>
          <w:p>
            <w:r>
              <w:t>21.75%</w:t>
            </w:r>
          </w:p>
        </w:tc>
      </w:tr>
      <w:tr>
        <w:tc>
          <w:tcPr>
            <w:tcW w:type="dxa" w:w="2880"/>
          </w:tcPr>
          <w:p>
            <w:r>
              <w:t>TD3_TrackingOnly (best seed, ts101)</w:t>
            </w:r>
          </w:p>
        </w:tc>
        <w:tc>
          <w:tcPr>
            <w:tcW w:type="dxa" w:w="2880"/>
          </w:tcPr>
          <w:p>
            <w:r>
              <w:t>482.0%</w:t>
            </w:r>
          </w:p>
        </w:tc>
        <w:tc>
          <w:tcPr>
            <w:tcW w:type="dxa" w:w="2880"/>
          </w:tcPr>
          <w:p>
            <w:r>
              <w:t>16.61%</w:t>
            </w:r>
          </w:p>
        </w:tc>
      </w:tr>
      <w:tr>
        <w:tc>
          <w:tcPr>
            <w:tcW w:type="dxa" w:w="2880"/>
          </w:tcPr>
          <w:p>
            <w:r>
              <w:t>RandomPolicy</w:t>
            </w:r>
          </w:p>
        </w:tc>
        <w:tc>
          <w:tcPr>
            <w:tcW w:type="dxa" w:w="2880"/>
          </w:tcPr>
          <w:p>
            <w:r>
              <w:t>612.0%</w:t>
            </w:r>
          </w:p>
        </w:tc>
        <w:tc>
          <w:tcPr>
            <w:tcW w:type="dxa" w:w="2880"/>
          </w:tcPr>
          <w:p>
            <w:r>
              <w:t>0.00%</w:t>
            </w:r>
          </w:p>
        </w:tc>
      </w:tr>
      <w:tr>
        <w:tc>
          <w:tcPr>
            <w:tcW w:type="dxa" w:w="2880"/>
          </w:tcPr>
          <w:p>
            <w:r>
              <w:t>AFAP</w:t>
            </w:r>
          </w:p>
        </w:tc>
        <w:tc>
          <w:tcPr>
            <w:tcW w:type="dxa" w:w="2880"/>
          </w:tcPr>
          <w:p>
            <w:r>
              <w:t>894.0% (worst)</w:t>
            </w:r>
          </w:p>
        </w:tc>
        <w:tc>
          <w:tcPr>
            <w:tcW w:type="dxa" w:w="2880"/>
          </w:tcPr>
          <w:p>
            <w:r>
              <w:t>0.00%</w:t>
            </w:r>
          </w:p>
        </w:tc>
      </w:tr>
    </w:tbl>
    <w:p/>
    <w:p>
      <w:r>
        <w:t>This is the week's headline result, stated plainly: under this training budget, reinforcement learning does not beat a trivial round-robin heuristic on tracking error -- by a wide margin, consistently across two reward functions and six independent training seeds. Every TD3 variant is farther from the tracking-error oracle than Round Robin; the closest RL checkpoint (TD3_vanilla_ts100) is still 3.1x farther from the bound than a heuristic with no learning, no training cost, and no seed-to-seed variance. The claim is bounded explicitly to the 60,000-timestep CPU budget actually used, not stated as a general property of RL vs. heuristics; whether the papers' original HPC budget would close, keep, or reverse this gap is not established by this project.</w:t>
      </w:r>
    </w:p>
    <w:p>
      <w:r>
        <w:t>Consequence for Objective 4: on the evidence gathered through Week 4, the strategy that best approaches the perfect-information bound on tracking error is Round Robin, not either trained RL variant.</w:t>
      </w:r>
    </w:p>
    <w:p>
      <w:r>
        <w:t>(d) Oracle tie-break noise floor, redone per metric (2026-08-20). A single global "gaps are 79x the floor" statement does not transfer across metrics, since each has its own tie-break spread and its own gap magnitudes. For tracking_error the floor is 60.93 / 89.35 (mean / max) against a smallest reported gap of 7,080.11 (Round Robin) -- 79x the max floor, real and far outside it. For average_user_satisfaction and min_energy_user_satisfaction the floor is an exact zero (both oracle variants tie exactly), so any nonzero gap is real by construction; Round Robin's own gaps on those two metrics are real but tiny, and every RL arm's gap (0.8-21.75 percentage points) is unambiguously real. No metric in this chapter has a ratio anywhere near 1.</w:t>
      </w:r>
    </w:p>
    <w:p>
      <w:r>
        <w:t>(e) Cross-training-seed dispersion. TD3_TrackingOnly's total_transformer_overload relative spread is 63.8% (the largest, echoing Week 3's TD3_vanilla dispersion finding), min_energy_user_satisfaction 11.8%, tracking_error 13.7%. Real, substantial training-seed variability persists for this second reward arm too, at the same declared, reduced training budget -- not a property of the vanilla reward specifically.</w:t>
      </w:r>
    </w:p>
    <w:p>
      <w:r>
        <w:t>(f) Success targets. average_user_satisfaction &gt; 90% is met by every algorithm and arm tested this week (worst observed 97.6%, TD3_vanilla_ts100, mean over the 50-cell grid). The proposal's "&lt;15% energy not served vs. the unmanaged baseline" target was still un-operationalized at the end of Week 4; a candidate definition, (1 - average_user_satisfaction) x 100, was proposed for Week 5 to adopt or revise (worst arm 2.57%, over 5x under the threshold, cross-checked against a second candidate definition). Voltage band: not applicable this week -- simulate_grid=False through Week 4.</w:t>
      </w:r>
    </w:p>
    <w:p>
      <w:pPr>
        <w:pStyle w:val="Heading2"/>
      </w:pPr>
      <w:r>
        <w:t>9.8. Week 4 Verdict</w:t>
      </w:r>
    </w:p>
    <w:p>
      <w:r>
        <w:t>1. Oracle: a real, dominant, verified upper bound on tracking_error (2x-11x gap over every online algorithm) with a well-understood, quantified tie-break noise floor separating real gaps from measurement resolution.</w:t>
      </w:r>
    </w:p>
    <w:p>
      <w:r>
        <w:t>2. Physics-informed reward adaptation: genuinely falsified, not abandoned -- two structurally different designs, both built, verified, and rejected before training compute was spent, for two independent, well-diagnosed mechanisms. No PI_TD3 arm exists anywhere in this thesis's registry, code, or results.</w:t>
      </w:r>
    </w:p>
    <w:p>
      <w:r>
        <w:t>3. Reward ablation answers Week 3's open question with a mixed result, not a validation: TD3_vanilla's composite reward wins on tracking error, energy tracking error, overload, and degradation; TD3_TrackingOnly wins on cost and both satisfaction metrics -- two of this thesis's three declared objective axes. Week 3's reasoning is partially, not fully, supported. The counterintuitive direction is recorded as a hypothesis (reduced-budget shaping/regularization) with an explicit out-of-scope test proposed.</w:t>
      </w:r>
    </w:p>
    <w:p>
      <w:r>
        <w:t>4. The week's real headline, stated without softening: under this training budget, RL does not beat Round Robin on tracking error, by a wide margin, across two reward functions and six training seeds -- Round Robin's 136.3% gap to the tracking-error oracle vs. 422-612% for every RL checkpoint. Bounded explicitly to the 60,000-timestep CPU budget. This evidence points Objective 4's recommended-strategy question toward Round Robin, not RL.</w:t>
      </w:r>
    </w:p>
    <w:p>
      <w:r>
        <w:t>5. Both TD3 reward arms show substantial cross-training-seed dispersion (up to 63.8% relative spread on individual metrics) at the declared, reduced training budget -- a real limitation of the scope, not resolved this week.</w:t>
      </w:r>
    </w:p>
    <w:p>
      <w:r>
        <w:t>6. Energy-not-served target: proposed operationalization, not yet adopted. Every algorithm/arm tested this week clears the &lt;15% threshold with a wide margin (worst case 2.57%).</w:t>
      </w:r>
    </w:p>
    <w:p>
      <w:pPr>
        <w:pStyle w:val="Heading2"/>
      </w:pPr>
      <w:r>
        <w:t>9.9. Week 4 Summary</w:t>
      </w:r>
    </w:p>
    <w:p>
      <w:r>
        <w:t>Week 4 established a perfect-information benchmark and closed Week 3's open reward question. It did not produce a deployable new controller; its contribution is the bound (oracle) and the negative/mixed results (PI-TD3 falsification, reward ablation) that together move the Objective 4 recommendation toward the simplest causal heuristic. All Week 4 work was done on the semana-4 branch, from the corrected semana-3/main tip.</w:t>
      </w:r>
    </w:p>
    <w:p>
      <w:pPr>
        <w:pStyle w:val="Heading1"/>
      </w:pPr>
      <w:r>
        <w:t>10. Week 5 -- Colombian Economic Recalibration and MPC Baseline Implementation</w:t>
      </w:r>
    </w:p>
    <w:p>
      <w:pPr>
        <w:pStyle w:val="Heading2"/>
      </w:pPr>
      <w:r>
        <w:t>10.1. Week Objective</w:t>
      </w:r>
    </w:p>
    <w:p>
      <w:r>
        <w:t>The objective of Week 5 was divided into two complementary milestones. The first consisted of replacing the European electricity pricing model used during Weeks 1-4 with a Colombian economic model based on real public EV charging tariffs. This required validating official electricity tariffs, redesigning the post-processing economic pipeline, and retroactively recomputing every experiment performed so far.</w:t>
      </w:r>
    </w:p>
    <w:p>
      <w:r>
        <w:t>The second milestone introduced an online Model Predictive Control (MPC) baseline into the evaluation framework. Unlike the Oracle, which optimizes the entire day with complete future information, the MPC controller makes sequential decisions using only the information available at each timestep. This addition completed the set of algorithmic baselines required for the final comparison in Objective 4.</w:t>
      </w:r>
    </w:p>
    <w:p>
      <w:r>
        <w:t>Rather than introducing a new learning algorithm, this week focused on improving the realism and methodological validity of the thesis evaluation pipeline.</w:t>
      </w:r>
    </w:p>
    <w:p>
      <w:pPr>
        <w:pStyle w:val="Heading2"/>
      </w:pPr>
      <w:r>
        <w:t>10.2. Reframing the Economic Model: From ENTSO-E Prices to Colombian Pesos</w:t>
      </w:r>
    </w:p>
    <w:p>
      <w:r>
        <w:t>One of the most significant findings of this thesis emerged during Week 5. Previous experiments evaluated every charging strategy using hourly Dutch ENTSO-E day-ahead electricity prices. Although this pricing signal was useful during the development of the simulator, it does not represent the economic conditions of a Colombian commercial charging station.</w:t>
      </w:r>
    </w:p>
    <w:p>
      <w:r>
        <w:t>After reviewing the pricing structure of Enel Colombia, the economic model was completely recalibrated using two official values: a public EV charging retail tariff in Bogota of 1450 COP/kWh, and a commercial electricity purchase cost (Nivel de Tension 2) of 865.7615 COP/kWh.</w:t>
      </w:r>
    </w:p>
    <w:p>
      <w:pPr>
        <w:spacing w:before="80" w:after="80"/>
        <w:ind w:left="432"/>
      </w:pPr>
      <w:r>
        <w:rPr>
          <w:i/>
          <w:color w:val="8A3000"/>
          <w:sz w:val="20"/>
        </w:rPr>
        <w:t>[Corrected 2026-09-09] The two constants are not same-year figures, and this must be stated so no reader treats the resulting margins as point estimates. The retail tariff, 1,450 COP/kWh, is a single published point from an Enel Colombia article of August 2025 (exact quote: "La recarga tendra un valor de 1.450 pesos por kilovatio, que puede variar segun el costo de la energia"). A recency search on 2026-09-08 restricted to Enel X and Enel Colombia found no more recent published EV retail price. The energy purchase cost, 865.7615 COP/kWh, is Enel Colombia's regulated August 2026 Nivel de Tension 2 tariff sheet, with the solidarity contribution (x1.20). Pairing a 2025 revenue figure with a 2026 cost figure is deliberate and its direction is known: Colombian retail prices trend upward (the Nivel 2 CU rose +19.2% January-August 2026), so this pairing understates the operator's margin. Every profitability number in this thesis computed from these constants is therefore a lower bound on the operator's margin, not a central estimate, and is reported as such (ev2gym_thesis/prices/colombia.py). A +/-20% sensitivity band on the retail price was run; the algorithm ranking on gross margin is invariant for any retail price above the purchase cost (formal proposition, Chapter 5 S5.1), so the ranking conclusions do not depend on the exact 1,450 figure.</w:t>
      </w:r>
    </w:p>
    <w:p>
      <w:r>
        <w:t>This modification was intentionally implemented as a post-processing economics layer instead of modifying EV2Gym itself. The simulator continues producing energy and operational metrics exactly as before, while all monetary quantities are recomputed afterwards using Colombian electricity prices.</w:t>
      </w:r>
    </w:p>
    <w:p>
      <w:r>
        <w:t>More importantly, this was not simply a currency conversion from euros to Colombian pesos. The thesis moved from a market with hourly dynamic prices to a market with an essentially flat commercial tariff, fundamentally changing the interpretation of profitability throughout the project.</w:t>
      </w:r>
    </w:p>
    <w:p>
      <w:pPr>
        <w:pStyle w:val="Heading3"/>
      </w:pPr>
      <w:r>
        <w:t>10.2.1. Why this change matters</w:t>
      </w:r>
    </w:p>
    <w:p>
      <w:r>
        <w:t>The European pricing model implicitly rewarded algorithms capable of shifting charging demand toward cheaper hours. Under the Colombian tariff structure, however, the charging station purchases electricity at a nearly constant regulated price and sells electricity to customers at a fixed retail tariff.</w:t>
      </w:r>
    </w:p>
    <w:p>
      <w:r>
        <w:t>Therefore, the gross margin becomes Gross Margin = E_charged x (P_retail - P_purchase), meaning that every additional kilowatt-hour produces the same unit margin regardless of the charging hour.</w:t>
      </w:r>
    </w:p>
    <w:p>
      <w:r>
        <w:t>This completely changes the economic interpretation of smart charging. Instead of maximizing revenue through price arbitrage, intelligent scheduling becomes valuable because it reduces transformer overloads while maintaining energy delivery. This insight also explains why AFAP can produce the largest nominal revenue while simultaneously being one of the worst strategies from a grid-management perspective.</w:t>
      </w:r>
    </w:p>
    <w:p>
      <w:pPr>
        <w:pStyle w:val="Heading2"/>
      </w:pPr>
      <w:r>
        <w:t>10.3. Implementation of the Colombian Pricing Module</w:t>
      </w:r>
    </w:p>
    <w:p>
      <w:r>
        <w:t>To keep EV2Gym unchanged, a new pricing package was created inside the thesis repository.</w:t>
      </w:r>
    </w:p>
    <w:p>
      <w:pPr>
        <w:pStyle w:val="Heading3"/>
      </w:pPr>
      <w:r>
        <w:t>10.3.1. New pricing package</w:t>
      </w:r>
    </w:p>
    <w:p>
      <w:r>
        <w:t>The new module stores the validated Colombian tariff constants together with a pure function that converts delivered energy into Colombian economic metrics: revenue = total_energy_charged_kwh x RETAIL_TARIFF_COP_PER_KWH; cost = total_energy_charged_kwh x ENERGY_PURCHASE_COST_COP_PER_KWH; and it returns retail_revenue_cop, energy_purchase_cost_cop, and gross_margin_cop = revenue - cost.</w:t>
      </w:r>
    </w:p>
    <w:p>
      <w:r>
        <w:t>Separating this functionality into its own module guarantees that simulator outputs remain reproducible while economic assumptions can evolve independently.</w:t>
      </w:r>
    </w:p>
    <w:p>
      <w:pPr>
        <w:pStyle w:val="Heading3"/>
      </w:pPr>
      <w:r>
        <w:t>10.3.2. Avoiding semantic ambiguity</w:t>
      </w:r>
    </w:p>
    <w:p>
      <w:r>
        <w:t>A design decision taken during implementation was avoiding the word profit. During previous weeks, EV2Gym's total_profits column actually represented electricity purchase costs (a negated ENTSO-E-priced purchase cost), which created an important semantic ambiguity. The new implementation explicitly distinguishes retail_revenue_cop, energy_purchase_cost_cop, and gross_margin_cop. This makes every economic quantity dimensionally explicit throughout the thesis.</w:t>
      </w:r>
    </w:p>
    <w:p>
      <w:pPr>
        <w:spacing w:before="80" w:after="80"/>
        <w:ind w:left="432"/>
      </w:pPr>
      <w:r>
        <w:rPr>
          <w:i/>
          <w:color w:val="8A3000"/>
          <w:sz w:val="20"/>
        </w:rPr>
        <w:t>[Added 2026-09-09] The correction of EV2Gym's total_profits column was applied retroactively to Chapters 1, 3 and 4: every place those chapters read total_profits as a "profit" or "revenue" figure now carries a note that it is a negated ENTSO-E-priced purchase cost, and points to results/economics_cop.csv for the Colombian-peso operator margin.</w:t>
      </w:r>
    </w:p>
    <w:p>
      <w:pPr>
        <w:pStyle w:val="Heading2"/>
      </w:pPr>
      <w:r>
        <w:t>10.4. Validating Official Colombian Electricity Tariffs</w:t>
      </w:r>
    </w:p>
    <w:p>
      <w:r>
        <w:t>Replacing the pricing model required validating official tariff sheets published by Enel Colombia instead of relying on manually entered constants. A new extraction script downloads every published 2026 tariff sheet, parses the commercial tariff tables, validates internal consistency, and exports a monthly dataset used throughout the thesis.</w:t>
      </w:r>
    </w:p>
    <w:p>
      <w:pPr>
        <w:pStyle w:val="Heading3"/>
      </w:pPr>
      <w:r>
        <w:t>10.4.1. Automatic tariff extraction</w:t>
      </w:r>
    </w:p>
    <w:p>
      <w:r>
        <w:t>The extraction pipeline processes every monthly tariff published during 2026 and validates two independent regulatory invariants before accepting the values. The parser extracts the generation, transmission, distribution, and commercialization components, plus losses, restrictions, and the final CU value. After extraction, the CU components must sum exactly to the official CU reported in the document. A second validation independently verifies that the tariff including the solidarity contribution equals exactly 1.20 x CU_without. These validations guarantee that the parser selected the correct tariff row instead of matching a visually similar table.</w:t>
      </w:r>
    </w:p>
    <w:p>
      <w:pPr>
        <w:pStyle w:val="Heading3"/>
      </w:pPr>
      <w:r>
        <w:t>10.4.2. Monthly tariff evolution</w:t>
      </w:r>
    </w:p>
    <w:p>
      <w:r>
        <w:t>The extraction process also revealed that the regulated purchase cost increased consistently during 2026 instead of fluctuating around a stable average (the CU sin contribucion rose from 605.4596 COP/kWh in January to 721.4679 in August, +19.2%, driven mainly by the generation component). Because of this upward trend, August 2026 was selected as the reference month rather than averaging several months together. This decision keeps the thesis aligned with the most recent officially published tariff available during development. The average across the monthly series is never used as a model parameter.</w:t>
      </w:r>
    </w:p>
    <w:p>
      <w:pPr>
        <w:pStyle w:val="Heading2"/>
      </w:pPr>
      <w:r>
        <w:t>10.5. Retroactive Economic Recalculation</w:t>
      </w:r>
    </w:p>
    <w:p>
      <w:r>
        <w:t>Once the Colombian pricing module was completed, every experimental result generated during Weeks 1-4 was recomputed. Instead of running new simulations, the recalculation uses the already stored delivered energy for each registry entry and computes Colombian revenues, purchase costs, and gross margins. The recomputation covers the complete experimental registry, including historical evaluation rows and sensitivity analyses. This post-hoc recompute is valid because every arm's control decision in this project is price-independent (verified by reading every reward, state, and oracle-objective function, not assumed), so no re-simulation is required.</w:t>
      </w:r>
    </w:p>
    <w:p>
      <w:pPr>
        <w:pStyle w:val="Heading3"/>
      </w:pPr>
      <w:r>
        <w:t>10.5.1. Consistency verification</w:t>
      </w:r>
    </w:p>
    <w:p>
      <w:r>
        <w:t>A reconciliation procedure was implemented before writing any Colombian results. Rather than comparing calculations against themselves, the script computes the implied electricity price from each simulation, P_implied = |total_profits| / E_charged, and verifies that this value falls inside the hourly ENTSO-E price interval corresponding to the simulated day. This consistency test confirms that every registry row stores coherent energy and economic quantities before Colombian economics are applied. The validation successfully passed for the entire experimental registry.</w:t>
      </w:r>
    </w:p>
    <w:p>
      <w:pPr>
        <w:pStyle w:val="Heading2"/>
      </w:pPr>
      <w:r>
        <w:t>10.6. Economic Interpretation After the Recalibration</w:t>
      </w:r>
    </w:p>
    <w:p>
      <w:r>
        <w:t>Recomputing the economics produced an important methodological conclusion. Because every algorithm sells electricity at the same retail tariff and purchases electricity at the same commercial tariff, algorithm rankings become almost entirely determined by delivered energy rather than charging time.</w:t>
      </w:r>
    </w:p>
    <w:p>
      <w:r>
        <w:t>Consequently: AFAP produces the highest gross margin because it maximizes delivered energy; smart charging algorithms cannot create additional revenue through temporal price arbitrage; and their value must instead be measured through infrastructure protection metrics such as overload avoidance.</w:t>
      </w:r>
    </w:p>
    <w:p>
      <w:r>
        <w:t>This finding changes the argument of Objective 4. The thesis no longer asks which algorithm earns the most money by exploiting electricity prices; instead, it evaluates which strategy best balances energy delivery with transformer capacity constraints. This became one of the key conceptual contributions introduced during Week 5.</w:t>
      </w:r>
    </w:p>
    <w:p>
      <w:pPr>
        <w:pStyle w:val="Heading2"/>
      </w:pPr>
      <w:r>
        <w:t>10.7. Development of the MPC Baseline</w:t>
      </w:r>
    </w:p>
    <w:p>
      <w:r>
        <w:t>The second major contribution of this week was incorporating an online MPC baseline into the evaluation framework. Unlike the offline Oracle implemented previously, MPC observes only the current system state and optimizes over a finite prediction horizon before repeating the optimization at the next timestep.</w:t>
      </w:r>
    </w:p>
    <w:p>
      <w:pPr>
        <w:pStyle w:val="Heading3"/>
      </w:pPr>
      <w:r>
        <w:t>10.7.1. Reviewing existing MPC implementations</w:t>
      </w:r>
    </w:p>
    <w:p>
      <w:r>
        <w:t>Before implementing a new controller, every MPC-based baseline included in EV2Gym was audited. ev2gym/baselines/mpc/ ships 8 controller classes, all inheriting the same abstract MPC base. Several existing classes were discarded because they optimize using complete future information, they support vehicle-to-grid discharging, or they directly optimize dynamic electricity prices. None of these assumptions are compatible with the Colombian G2V-only charging station considered in this thesis. In addition, under the flat Colombian tariff, "minimize sum(price x power)" is algebraically equivalent to "maximize energy delivered", so the shipped price objective does not represent a distinct control philosophy on this thesis's tracking axis.</w:t>
      </w:r>
    </w:p>
    <w:p>
      <w:pPr>
        <w:pStyle w:val="Heading3"/>
      </w:pPr>
      <w:r>
        <w:t>10.7.2. MPC_TrackingG2V</w:t>
      </w:r>
    </w:p>
    <w:p>
      <w:r>
        <w:t>A new controller was implemented by extending EV2Gym's MPC base class while preserving all causal state reconstruction mechanisms. Instead of maximizing economic profit, the optimization objective minimizes tracking error between transformer power and the station power target over the prediction horizon: minimize sum_t (P_station(t) - P_target(t))**2, a convex quadratic optimization problem solved directly with Gurobi. This implementation provides a fair online counterpart to the tracking Oracle introduced during previous weeks (it matches Optimal_Oracle_Tracking's exact objective).</w:t>
      </w:r>
    </w:p>
    <w:p>
      <w:pPr>
        <w:pStyle w:val="Heading3"/>
      </w:pPr>
      <w:r>
        <w:t>10.7.3. MPC_EnergyMaxG2V</w:t>
      </w:r>
    </w:p>
    <w:p>
      <w:r>
        <w:t>A second MPC controller was created for energy maximization. The implementation wraps EV2Gym's existing energy MPC controller (eMPC_G2V) while replacing every hourly electricity price with a constant value. Because Colombian prices are flat, charging time no longer changes the optimization objective, so the MPC focuses entirely on satisfying battery energy requirements within the available charging horizon. Under the flat Colombian tariff this is a real, distinct question -- "maximize energy delivered subject to the transformer's hard capacity constraint" -- that AFAP does not answer, since AFAP ignores the transformer entirely.</w:t>
      </w:r>
    </w:p>
    <w:p>
      <w:pPr>
        <w:pStyle w:val="Heading3"/>
      </w:pPr>
      <w:r>
        <w:t>10.7.4. The causality caveat (central to how both MPC arms may be described)</w:t>
      </w:r>
    </w:p>
    <w:p>
      <w:pPr>
        <w:spacing w:before="80" w:after="80"/>
        <w:ind w:left="432"/>
      </w:pPr>
      <w:r>
        <w:rPr>
          <w:i/>
          <w:color w:val="8A3000"/>
          <w:sz w:val="20"/>
        </w:rPr>
        <w:t>[Added 2026-09-09] This subsection reproduces Chapter 5 S5.5's central audit finding, which the compiled PDF omitted.</w:t>
      </w:r>
    </w:p>
    <w:p>
      <w:r>
        <w:t>Every class inheriting MPC.__init__ -- including both arms above -- knows two things no other arm in this thesis knows: the exact departure time of every currently-connected EV, and the exact arrival time, location, and desired capacity of any EV that will arrive within the rolling control horizon. PublicPST withholds both by construction; AFAP and Round Robin use neither. Both MPC arms are therefore non-causal: they use information no real Bogota public-station operator has today. Their results are never described as deployable without this caveat. Reframed constructively, the gap between an MPC arm and the best causal arm is an upper bound on what the operator would gain by building that data channel (a declared-departure feature in the charging app, or a reservation system) -- a quantifiable input to Objective 4's infrastructure guidance, not a recommendation to deploy MPC. The direction of the claim stays disciplined: real declared departure times are noisier than perfect information, so the realizable gain is strictly smaller than the measured gap.</w:t>
      </w:r>
    </w:p>
    <w:p>
      <w:pPr>
        <w:pStyle w:val="Heading2"/>
      </w:pPr>
      <w:r>
        <w:t>10.8. Correcting the Evaluation Grid</w:t>
      </w:r>
    </w:p>
    <w:p>
      <w:r>
        <w:t>While integrating MPC, an evaluation issue discovered during Week 4 was permanently corrected. The previous evaluation grid contained redundant combinations of power setpoints and EV populations that produced identical operational scenarios for fixed seeds. Two independent causes were found: (1) for a fixed scenario seed, EV2Gym's arrival-distribution selection depends only on weekday-vs-weekend, not the specific calendar date, so the EV population was byte-identical across all six weekday EVAL_DAYS and across all four weekend EVAL_DAYS; (2) ev2gym/utilities/utils.py::generate_power_setpoints weighted the power setpoint's shape by that day's real ENTSO-E price curve -- a live Dutch-price dependency inside the control layer -- which was fixed at the source by making the setpoint's random spread price-neutral.</w:t>
      </w:r>
    </w:p>
    <w:p>
      <w:r>
        <w:t>The corrected design evaluates 50 random seeds, one weekday, and one weekend day. This produces 100 statistically independent operational scenarios while eliminating redundant experiments without losing scenario diversity. The registry schema was updated with an analysis_row column: only analysis_row=True rows are statistically valid; every pre-existing row is flagged superseded=True and kept as provenance, never used in a current figure or table. A paired cluster bootstrap (resampling the scenario seed, not the row) replaced the earlier paired bootstrap for every cross-cell comparison.</w:t>
      </w:r>
    </w:p>
    <w:p>
      <w:pPr>
        <w:pStyle w:val="Heading2"/>
      </w:pPr>
      <w:r>
        <w:t>10.9. Running the Complete Experimental Comparison</w:t>
      </w:r>
    </w:p>
    <w:p>
      <w:r>
        <w:t>With MPC integrated and Colombian economics available, Week 5 generated the first complete comparison across every algorithm implemented in the thesis. The final evaluation includes the heuristic baselines, random charging, the TD3 checkpoints (both reward families), the two Oracle baselines, and the two new MPC controllers -- 13 arms in total, evaluated over the corrected 100-cell scenario grid using the same operational conditions and Colombian economic model. This unified evaluation becomes the foundation for the final analysis presented in Objective 4.</w:t>
      </w:r>
    </w:p>
    <w:p>
      <w:pPr>
        <w:pStyle w:val="Heading2"/>
      </w:pPr>
      <w:r>
        <w:t>10.10. Verification and Testing</w:t>
      </w:r>
    </w:p>
    <w:p>
      <w:r>
        <w:t>Week 5 also expanded the automated testing suite to verify the new economics and MPC functionality. The tests validate the Colombian tariff constants, the tariff extraction invariants, the registry dimensions after the grid correction, the Colombian economic recomputation, the price-independence of generated charging scenarios, MPC information causality, and the energy-not-served compliance calculations. The complete Week 5 implementation passed every automated validation before being incorporated into the thesis evaluation pipeline.</w:t>
      </w:r>
    </w:p>
    <w:p>
      <w:pPr>
        <w:pStyle w:val="Heading2"/>
      </w:pPr>
      <w:r>
        <w:t>10.11. Week Summary</w:t>
      </w:r>
    </w:p>
    <w:p>
      <w:r>
        <w:t>Week 5 represents one of the most important methodological updates of the thesis because it bridges the gap between a simulator developed around European electricity markets and the operational reality of a Colombian commercial charging station.</w:t>
      </w:r>
    </w:p>
    <w:p>
      <w:r>
        <w:t>The project now evaluates every charging strategy using validated Colombian electricity prices, official commercial tariffs, and an economic model consistent with Bogota's EV charging infrastructure. This recalibration demonstrates that profitability in Colombia is driven primarily by delivered energy rather than time-dependent electricity prices, shifting the focus of smart charging toward transformer protection and capacity management.</w:t>
      </w:r>
    </w:p>
    <w:p>
      <w:r>
        <w:t>In parallel, the implementation of two online MPC controllers completes the family of optimization baselines used throughout the thesis. Together with the corrected evaluation grid and the expanded statistical validation framework, Week 5 establishes the final experimental pipeline used for the remaining weeks of the project.</w:t>
      </w:r>
    </w:p>
    <w:p>
      <w:pPr>
        <w:pStyle w:val="Heading2"/>
      </w:pPr>
      <w:r>
        <w:t>10.12. Consolidated 13-Arm Comparison (regenerated 50-seed x 2-day grid)</w:t>
      </w:r>
    </w:p>
    <w:p>
      <w:pPr>
        <w:spacing w:before="80" w:after="80"/>
        <w:ind w:left="432"/>
      </w:pPr>
      <w:r>
        <w:rPr>
          <w:i/>
          <w:color w:val="8A3000"/>
          <w:sz w:val="20"/>
        </w:rPr>
        <w:t>[Added 2026-09-09] Sections 10.12-10.17 were missing from the compiled PDF; they reproduce thesis_docs/chapters/05_algorithm_comparison.md S5.6-S5.10, already present in the Week 5 Word document.</w:t>
      </w:r>
    </w:p>
    <w:p>
      <w:r>
        <w:t>All 13 arms, 100 rows each (50 seeds x 2 day-types = 1,300 rows, analysis_row=True), on the Gate 4-corrected, price-neutral code. Cluster bootstrap (cluster = scenario seed) throughout. Every pre-Week-5 row is retained but flagged superseded=True and excluded from every current table and figure.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Algorithm</w:t>
            </w:r>
          </w:p>
        </w:tc>
        <w:tc>
          <w:tcPr>
            <w:tcW w:type="dxa" w:w="1440"/>
          </w:tcPr>
          <w:p>
            <w:r>
              <w:rPr>
                <w:b/>
              </w:rPr>
              <w:t>EVs served</w:t>
            </w:r>
          </w:p>
        </w:tc>
        <w:tc>
          <w:tcPr>
            <w:tcW w:type="dxa" w:w="1440"/>
          </w:tcPr>
          <w:p>
            <w:r>
              <w:rPr>
                <w:b/>
              </w:rPr>
              <w:t>Overload (kWh)</w:t>
            </w:r>
          </w:p>
        </w:tc>
        <w:tc>
          <w:tcPr>
            <w:tcW w:type="dxa" w:w="1440"/>
          </w:tcPr>
          <w:p>
            <w:r>
              <w:rPr>
                <w:b/>
              </w:rPr>
              <w:t>Avg. sat.</w:t>
            </w:r>
          </w:p>
        </w:tc>
        <w:tc>
          <w:tcPr>
            <w:tcW w:type="dxa" w:w="1440"/>
          </w:tcPr>
          <w:p>
            <w:r>
              <w:rPr>
                <w:b/>
              </w:rPr>
              <w:t>Min. sat.</w:t>
            </w:r>
          </w:p>
        </w:tc>
        <w:tc>
          <w:tcPr>
            <w:tcW w:type="dxa" w:w="1440"/>
          </w:tcPr>
          <w:p>
            <w:r>
              <w:rPr>
                <w:b/>
              </w:rPr>
              <w:t>Tracking error</w:t>
            </w:r>
          </w:p>
        </w:tc>
      </w:tr>
      <w:tr>
        <w:tc>
          <w:tcPr>
            <w:tcW w:type="dxa" w:w="1440"/>
          </w:tcPr>
          <w:p>
            <w:r>
              <w:t>AFAP</w:t>
            </w:r>
          </w:p>
        </w:tc>
        <w:tc>
          <w:tcPr>
            <w:tcW w:type="dxa" w:w="1440"/>
          </w:tcPr>
          <w:p>
            <w:r>
              <w:t>13.44</w:t>
            </w:r>
          </w:p>
        </w:tc>
        <w:tc>
          <w:tcPr>
            <w:tcW w:type="dxa" w:w="1440"/>
          </w:tcPr>
          <w:p>
            <w:r>
              <w:t>14.22</w:t>
            </w:r>
          </w:p>
        </w:tc>
        <w:tc>
          <w:tcPr>
            <w:tcW w:type="dxa" w:w="1440"/>
          </w:tcPr>
          <w:p>
            <w:r>
              <w:t>100.0%</w:t>
            </w:r>
          </w:p>
        </w:tc>
        <w:tc>
          <w:tcPr>
            <w:tcW w:type="dxa" w:w="1440"/>
          </w:tcPr>
          <w:p>
            <w:r>
              <w:t>100.00</w:t>
            </w:r>
          </w:p>
        </w:tc>
        <w:tc>
          <w:tcPr>
            <w:tcW w:type="dxa" w:w="1440"/>
          </w:tcPr>
          <w:p>
            <w:r>
              <w:t>56,257</w:t>
            </w:r>
          </w:p>
        </w:tc>
      </w:tr>
      <w:tr>
        <w:tc>
          <w:tcPr>
            <w:tcW w:type="dxa" w:w="1440"/>
          </w:tcPr>
          <w:p>
            <w:r>
              <w:t>Round Robin</w:t>
            </w:r>
          </w:p>
        </w:tc>
        <w:tc>
          <w:tcPr>
            <w:tcW w:type="dxa" w:w="1440"/>
          </w:tcPr>
          <w:p>
            <w:r>
              <w:t>13.44</w:t>
            </w:r>
          </w:p>
        </w:tc>
        <w:tc>
          <w:tcPr>
            <w:tcW w:type="dxa" w:w="1440"/>
          </w:tcPr>
          <w:p>
            <w:r>
              <w:t>0.00</w:t>
            </w:r>
          </w:p>
        </w:tc>
        <w:tc>
          <w:tcPr>
            <w:tcW w:type="dxa" w:w="1440"/>
          </w:tcPr>
          <w:p>
            <w:r>
              <w:t>99.91%</w:t>
            </w:r>
          </w:p>
        </w:tc>
        <w:tc>
          <w:tcPr>
            <w:tcW w:type="dxa" w:w="1440"/>
          </w:tcPr>
          <w:p>
            <w:r>
              <w:t>98.80</w:t>
            </w:r>
          </w:p>
        </w:tc>
        <w:tc>
          <w:tcPr>
            <w:tcW w:type="dxa" w:w="1440"/>
          </w:tcPr>
          <w:p>
            <w:r>
              <w:t>13,581</w:t>
            </w:r>
          </w:p>
        </w:tc>
      </w:tr>
      <w:tr>
        <w:tc>
          <w:tcPr>
            <w:tcW w:type="dxa" w:w="1440"/>
          </w:tcPr>
          <w:p>
            <w:r>
              <w:t>RandomPolicy</w:t>
            </w:r>
          </w:p>
        </w:tc>
        <w:tc>
          <w:tcPr>
            <w:tcW w:type="dxa" w:w="1440"/>
          </w:tcPr>
          <w:p>
            <w:r>
              <w:t>13.44</w:t>
            </w:r>
          </w:p>
        </w:tc>
        <w:tc>
          <w:tcPr>
            <w:tcW w:type="dxa" w:w="1440"/>
          </w:tcPr>
          <w:p>
            <w:r>
              <w:t>3.32</w:t>
            </w:r>
          </w:p>
        </w:tc>
        <w:tc>
          <w:tcPr>
            <w:tcW w:type="dxa" w:w="1440"/>
          </w:tcPr>
          <w:p>
            <w:r>
              <w:t>100.0%</w:t>
            </w:r>
          </w:p>
        </w:tc>
        <w:tc>
          <w:tcPr>
            <w:tcW w:type="dxa" w:w="1440"/>
          </w:tcPr>
          <w:p>
            <w:r>
              <w:t>100.00</w:t>
            </w:r>
          </w:p>
        </w:tc>
        <w:tc>
          <w:tcPr>
            <w:tcW w:type="dxa" w:w="1440"/>
          </w:tcPr>
          <w:p>
            <w:r>
              <w:t>39,858</w:t>
            </w:r>
          </w:p>
        </w:tc>
      </w:tr>
      <w:tr>
        <w:tc>
          <w:tcPr>
            <w:tcW w:type="dxa" w:w="1440"/>
          </w:tcPr>
          <w:p>
            <w:r>
              <w:t>Optimal_Oracle_Tracking</w:t>
            </w:r>
          </w:p>
        </w:tc>
        <w:tc>
          <w:tcPr>
            <w:tcW w:type="dxa" w:w="1440"/>
          </w:tcPr>
          <w:p>
            <w:r>
              <w:t>13.44</w:t>
            </w:r>
          </w:p>
        </w:tc>
        <w:tc>
          <w:tcPr>
            <w:tcW w:type="dxa" w:w="1440"/>
          </w:tcPr>
          <w:p>
            <w:r>
              <w:t>0.00</w:t>
            </w:r>
          </w:p>
        </w:tc>
        <w:tc>
          <w:tcPr>
            <w:tcW w:type="dxa" w:w="1440"/>
          </w:tcPr>
          <w:p>
            <w:r>
              <w:t>100.0%</w:t>
            </w:r>
          </w:p>
        </w:tc>
        <w:tc>
          <w:tcPr>
            <w:tcW w:type="dxa" w:w="1440"/>
          </w:tcPr>
          <w:p>
            <w:r>
              <w:t>100.00</w:t>
            </w:r>
          </w:p>
        </w:tc>
        <w:tc>
          <w:tcPr>
            <w:tcW w:type="dxa" w:w="1440"/>
          </w:tcPr>
          <w:p>
            <w:r>
              <w:t>5,937</w:t>
            </w:r>
          </w:p>
        </w:tc>
      </w:tr>
      <w:tr>
        <w:tc>
          <w:tcPr>
            <w:tcW w:type="dxa" w:w="1440"/>
          </w:tcPr>
          <w:p>
            <w:r>
              <w:t>Optimal_Oracle_Balanced</w:t>
            </w:r>
          </w:p>
        </w:tc>
        <w:tc>
          <w:tcPr>
            <w:tcW w:type="dxa" w:w="1440"/>
          </w:tcPr>
          <w:p>
            <w:r>
              <w:t>13.44</w:t>
            </w:r>
          </w:p>
        </w:tc>
        <w:tc>
          <w:tcPr>
            <w:tcW w:type="dxa" w:w="1440"/>
          </w:tcPr>
          <w:p>
            <w:r>
              <w:t>0.00</w:t>
            </w:r>
          </w:p>
        </w:tc>
        <w:tc>
          <w:tcPr>
            <w:tcW w:type="dxa" w:w="1440"/>
          </w:tcPr>
          <w:p>
            <w:r>
              <w:t>100.0%</w:t>
            </w:r>
          </w:p>
        </w:tc>
        <w:tc>
          <w:tcPr>
            <w:tcW w:type="dxa" w:w="1440"/>
          </w:tcPr>
          <w:p>
            <w:r>
              <w:t>100.00</w:t>
            </w:r>
          </w:p>
        </w:tc>
        <w:tc>
          <w:tcPr>
            <w:tcW w:type="dxa" w:w="1440"/>
          </w:tcPr>
          <w:p>
            <w:r>
              <w:t>5,869</w:t>
            </w:r>
          </w:p>
        </w:tc>
      </w:tr>
      <w:tr>
        <w:tc>
          <w:tcPr>
            <w:tcW w:type="dxa" w:w="1440"/>
          </w:tcPr>
          <w:p>
            <w:r>
              <w:t>MPC_TrackingG2V</w:t>
            </w:r>
          </w:p>
        </w:tc>
        <w:tc>
          <w:tcPr>
            <w:tcW w:type="dxa" w:w="1440"/>
          </w:tcPr>
          <w:p>
            <w:r>
              <w:t>13.44</w:t>
            </w:r>
          </w:p>
        </w:tc>
        <w:tc>
          <w:tcPr>
            <w:tcW w:type="dxa" w:w="1440"/>
          </w:tcPr>
          <w:p>
            <w:r>
              <w:t>0.00</w:t>
            </w:r>
          </w:p>
        </w:tc>
        <w:tc>
          <w:tcPr>
            <w:tcW w:type="dxa" w:w="1440"/>
          </w:tcPr>
          <w:p>
            <w:r>
              <w:t>100.0%</w:t>
            </w:r>
          </w:p>
        </w:tc>
        <w:tc>
          <w:tcPr>
            <w:tcW w:type="dxa" w:w="1440"/>
          </w:tcPr>
          <w:p>
            <w:r>
              <w:t>100.00</w:t>
            </w:r>
          </w:p>
        </w:tc>
        <w:tc>
          <w:tcPr>
            <w:tcW w:type="dxa" w:w="1440"/>
          </w:tcPr>
          <w:p>
            <w:r>
              <w:t>8,586</w:t>
            </w:r>
          </w:p>
        </w:tc>
      </w:tr>
      <w:tr>
        <w:tc>
          <w:tcPr>
            <w:tcW w:type="dxa" w:w="1440"/>
          </w:tcPr>
          <w:p>
            <w:r>
              <w:t>MPC_EnergyMaxG2V</w:t>
            </w:r>
          </w:p>
        </w:tc>
        <w:tc>
          <w:tcPr>
            <w:tcW w:type="dxa" w:w="1440"/>
          </w:tcPr>
          <w:p>
            <w:r>
              <w:t>13.44</w:t>
            </w:r>
          </w:p>
        </w:tc>
        <w:tc>
          <w:tcPr>
            <w:tcW w:type="dxa" w:w="1440"/>
          </w:tcPr>
          <w:p>
            <w:r>
              <w:t>~0.00</w:t>
            </w:r>
          </w:p>
        </w:tc>
        <w:tc>
          <w:tcPr>
            <w:tcW w:type="dxa" w:w="1440"/>
          </w:tcPr>
          <w:p>
            <w:r>
              <w:t>100.0%</w:t>
            </w:r>
          </w:p>
        </w:tc>
        <w:tc>
          <w:tcPr>
            <w:tcW w:type="dxa" w:w="1440"/>
          </w:tcPr>
          <w:p>
            <w:r>
              <w:t>100.00</w:t>
            </w:r>
          </w:p>
        </w:tc>
        <w:tc>
          <w:tcPr>
            <w:tcW w:type="dxa" w:w="1440"/>
          </w:tcPr>
          <w:p>
            <w:r>
              <w:t>43,135</w:t>
            </w:r>
          </w:p>
        </w:tc>
      </w:tr>
      <w:tr>
        <w:tc>
          <w:tcPr>
            <w:tcW w:type="dxa" w:w="1440"/>
          </w:tcPr>
          <w:p>
            <w:r>
              <w:t>TD3_vanilla_ts100</w:t>
            </w:r>
          </w:p>
        </w:tc>
        <w:tc>
          <w:tcPr>
            <w:tcW w:type="dxa" w:w="1440"/>
          </w:tcPr>
          <w:p>
            <w:r>
              <w:t>13.44</w:t>
            </w:r>
          </w:p>
        </w:tc>
        <w:tc>
          <w:tcPr>
            <w:tcW w:type="dxa" w:w="1440"/>
          </w:tcPr>
          <w:p>
            <w:r>
              <w:t>4.98</w:t>
            </w:r>
          </w:p>
        </w:tc>
        <w:tc>
          <w:tcPr>
            <w:tcW w:type="dxa" w:w="1440"/>
          </w:tcPr>
          <w:p>
            <w:r>
              <w:t>97.98%</w:t>
            </w:r>
          </w:p>
        </w:tc>
        <w:tc>
          <w:tcPr>
            <w:tcW w:type="dxa" w:w="1440"/>
          </w:tcPr>
          <w:p>
            <w:r>
              <w:t>82.94</w:t>
            </w:r>
          </w:p>
        </w:tc>
        <w:tc>
          <w:tcPr>
            <w:tcW w:type="dxa" w:w="1440"/>
          </w:tcPr>
          <w:p>
            <w:r>
              <w:t>30,888</w:t>
            </w:r>
          </w:p>
        </w:tc>
      </w:tr>
      <w:tr>
        <w:tc>
          <w:tcPr>
            <w:tcW w:type="dxa" w:w="1440"/>
          </w:tcPr>
          <w:p>
            <w:r>
              <w:t>TD3_vanilla_ts101</w:t>
            </w:r>
          </w:p>
        </w:tc>
        <w:tc>
          <w:tcPr>
            <w:tcW w:type="dxa" w:w="1440"/>
          </w:tcPr>
          <w:p>
            <w:r>
              <w:t>13.44</w:t>
            </w:r>
          </w:p>
        </w:tc>
        <w:tc>
          <w:tcPr>
            <w:tcW w:type="dxa" w:w="1440"/>
          </w:tcPr>
          <w:p>
            <w:r>
              <w:t>4.48</w:t>
            </w:r>
          </w:p>
        </w:tc>
        <w:tc>
          <w:tcPr>
            <w:tcW w:type="dxa" w:w="1440"/>
          </w:tcPr>
          <w:p>
            <w:r>
              <w:t>98.07%</w:t>
            </w:r>
          </w:p>
        </w:tc>
        <w:tc>
          <w:tcPr>
            <w:tcW w:type="dxa" w:w="1440"/>
          </w:tcPr>
          <w:p>
            <w:r>
              <w:t>83.26</w:t>
            </w:r>
          </w:p>
        </w:tc>
        <w:tc>
          <w:tcPr>
            <w:tcW w:type="dxa" w:w="1440"/>
          </w:tcPr>
          <w:p>
            <w:r>
              <w:t>34,999</w:t>
            </w:r>
          </w:p>
        </w:tc>
      </w:tr>
      <w:tr>
        <w:tc>
          <w:tcPr>
            <w:tcW w:type="dxa" w:w="1440"/>
          </w:tcPr>
          <w:p>
            <w:r>
              <w:t>TD3_vanilla_ts102</w:t>
            </w:r>
          </w:p>
        </w:tc>
        <w:tc>
          <w:tcPr>
            <w:tcW w:type="dxa" w:w="1440"/>
          </w:tcPr>
          <w:p>
            <w:r>
              <w:t>13.44</w:t>
            </w:r>
          </w:p>
        </w:tc>
        <w:tc>
          <w:tcPr>
            <w:tcW w:type="dxa" w:w="1440"/>
          </w:tcPr>
          <w:p>
            <w:r>
              <w:t>4.70</w:t>
            </w:r>
          </w:p>
        </w:tc>
        <w:tc>
          <w:tcPr>
            <w:tcW w:type="dxa" w:w="1440"/>
          </w:tcPr>
          <w:p>
            <w:r>
              <w:t>98.34%</w:t>
            </w:r>
          </w:p>
        </w:tc>
        <w:tc>
          <w:tcPr>
            <w:tcW w:type="dxa" w:w="1440"/>
          </w:tcPr>
          <w:p>
            <w:r>
              <w:t>83.94</w:t>
            </w:r>
          </w:p>
        </w:tc>
        <w:tc>
          <w:tcPr>
            <w:tcW w:type="dxa" w:w="1440"/>
          </w:tcPr>
          <w:p>
            <w:r>
              <w:t>34,453</w:t>
            </w:r>
          </w:p>
        </w:tc>
      </w:tr>
      <w:tr>
        <w:tc>
          <w:tcPr>
            <w:tcW w:type="dxa" w:w="1440"/>
          </w:tcPr>
          <w:p>
            <w:r>
              <w:t>TD3_TrackingOnly_ts100</w:t>
            </w:r>
          </w:p>
        </w:tc>
        <w:tc>
          <w:tcPr>
            <w:tcW w:type="dxa" w:w="1440"/>
          </w:tcPr>
          <w:p>
            <w:r>
              <w:t>13.44</w:t>
            </w:r>
          </w:p>
        </w:tc>
        <w:tc>
          <w:tcPr>
            <w:tcW w:type="dxa" w:w="1440"/>
          </w:tcPr>
          <w:p>
            <w:r>
              <w:t>10.88</w:t>
            </w:r>
          </w:p>
        </w:tc>
        <w:tc>
          <w:tcPr>
            <w:tcW w:type="dxa" w:w="1440"/>
          </w:tcPr>
          <w:p>
            <w:r>
              <w:t>99.09%</w:t>
            </w:r>
          </w:p>
        </w:tc>
        <w:tc>
          <w:tcPr>
            <w:tcW w:type="dxa" w:w="1440"/>
          </w:tcPr>
          <w:p>
            <w:r>
              <w:t>90.22</w:t>
            </w:r>
          </w:p>
        </w:tc>
        <w:tc>
          <w:tcPr>
            <w:tcW w:type="dxa" w:w="1440"/>
          </w:tcPr>
          <w:p>
            <w:r>
              <w:t>36,472</w:t>
            </w:r>
          </w:p>
        </w:tc>
      </w:tr>
      <w:tr>
        <w:tc>
          <w:tcPr>
            <w:tcW w:type="dxa" w:w="1440"/>
          </w:tcPr>
          <w:p>
            <w:r>
              <w:t>TD3_TrackingOnly_ts101</w:t>
            </w:r>
          </w:p>
        </w:tc>
        <w:tc>
          <w:tcPr>
            <w:tcW w:type="dxa" w:w="1440"/>
          </w:tcPr>
          <w:p>
            <w:r>
              <w:t>13.44</w:t>
            </w:r>
          </w:p>
        </w:tc>
        <w:tc>
          <w:tcPr>
            <w:tcW w:type="dxa" w:w="1440"/>
          </w:tcPr>
          <w:p>
            <w:r>
              <w:t>9.27</w:t>
            </w:r>
          </w:p>
        </w:tc>
        <w:tc>
          <w:tcPr>
            <w:tcW w:type="dxa" w:w="1440"/>
          </w:tcPr>
          <w:p>
            <w:r>
              <w:t>98.30%</w:t>
            </w:r>
          </w:p>
        </w:tc>
        <w:tc>
          <w:tcPr>
            <w:tcW w:type="dxa" w:w="1440"/>
          </w:tcPr>
          <w:p>
            <w:r>
              <w:t>85.68</w:t>
            </w:r>
          </w:p>
        </w:tc>
        <w:tc>
          <w:tcPr>
            <w:tcW w:type="dxa" w:w="1440"/>
          </w:tcPr>
          <w:p>
            <w:r>
              <w:t>33,865</w:t>
            </w:r>
          </w:p>
        </w:tc>
      </w:tr>
      <w:tr>
        <w:tc>
          <w:tcPr>
            <w:tcW w:type="dxa" w:w="1440"/>
          </w:tcPr>
          <w:p>
            <w:r>
              <w:t>TD3_TrackingOnly_ts102</w:t>
            </w:r>
          </w:p>
        </w:tc>
        <w:tc>
          <w:tcPr>
            <w:tcW w:type="dxa" w:w="1440"/>
          </w:tcPr>
          <w:p>
            <w:r>
              <w:t>13.44</w:t>
            </w:r>
          </w:p>
        </w:tc>
        <w:tc>
          <w:tcPr>
            <w:tcW w:type="dxa" w:w="1440"/>
          </w:tcPr>
          <w:p>
            <w:r>
              <w:t>4.64</w:t>
            </w:r>
          </w:p>
        </w:tc>
        <w:tc>
          <w:tcPr>
            <w:tcW w:type="dxa" w:w="1440"/>
          </w:tcPr>
          <w:p>
            <w:r>
              <w:t>98.74%</w:t>
            </w:r>
          </w:p>
        </w:tc>
        <w:tc>
          <w:tcPr>
            <w:tcW w:type="dxa" w:w="1440"/>
          </w:tcPr>
          <w:p>
            <w:r>
              <w:t>87.04</w:t>
            </w:r>
          </w:p>
        </w:tc>
        <w:tc>
          <w:tcPr>
            <w:tcW w:type="dxa" w:w="1440"/>
          </w:tcPr>
          <w:p>
            <w:r>
              <w:t>33,450</w:t>
            </w:r>
          </w:p>
        </w:tc>
      </w:tr>
    </w:tbl>
    <w:p/>
    <w:p>
      <w:r>
        <w:t>A genuinely new finding, only visible with 50 real seeds: every TD3 checkpoint (both reward families, all 6 seeds) now shows real, non-trivial transformer overload (4.5-10.9 kWh mean) -- not the near-elimination the 5-seed Week 3/4 sample suggested. TD3 was never trained with an explicit hard capacity constraint the way the oracle and MPC arms have one; it learns overload-avoidance only through a soft reward penalty, and at 50 seeds that soft penalty visibly does not generalize as reliably as the earlier, underpowered sample implied. This sharpens Week 4's finding: RL now also loses to Round Robin on the metric (overload) its reward explicitly penalizes.</w:t>
      </w:r>
    </w:p>
    <w:p>
      <w:r>
        <w:t>Old vs. new confidence interval, Round Robin vs. AFAP on transformer overload: the old naive bootstrap over 5 seeds x 10 days gave -4.80 kWh, 95% CI [-12.26, 0.00] (upper bound touched zero -- not statistically distinguishable from noise). The new cluster bootstrap over 50 seeds x 2 day-types gives -14.22 kWh, 95% CI [-19.25, -9.62], excluding zero decisively and narrower in absolute width despite the cluster correction, because the number of independent clusters grew 10x. The original finding was not wrong, it was underpowered.</w:t>
      </w:r>
    </w:p>
    <w:p>
      <w:pPr>
        <w:pStyle w:val="Heading2"/>
      </w:pPr>
      <w:r>
        <w:t>10.13. AFAP Transformer Overload -- Seed-Level Distribution (n=50)</w:t>
      </w:r>
    </w:p>
    <w:p>
      <w:r>
        <w:t>Mean 14.22 kWh; median 10.32 kWh; max 78.63 kWh (per-seed mean), 120.80 kWh (single-cell max); 28 of 50 seeds (56%) show some overload. This retires the earlier 5-seed framing ("1 of 5 seeds", "20%", "atypically quiet reference cell") entirely: with 50 independent scenario draws, transformer overload under AFAP is not a rare tail event, it is the majority-case outcome, at a mean magnitude roughly 2.7x larger than the 5-seed estimate (5.33 kWh) suggested.</w:t>
      </w:r>
    </w:p>
    <w:p>
      <w:pPr>
        <w:pStyle w:val="Heading2"/>
      </w:pPr>
      <w:r>
        <w:t>10.14. Optimality Gap vs. the Oracle</w:t>
      </w:r>
    </w:p>
    <w:tbl>
      <w:tblPr>
        <w:tblStyle w:val="LightGrid-Accent1"/>
        <w:tblW w:type="auto" w:w="0"/>
        <w:tblLook w:firstColumn="1" w:firstRow="1" w:lastColumn="0" w:lastRow="0" w:noHBand="0" w:noVBand="1" w:val="04A0"/>
      </w:tblPr>
      <w:tblGrid>
        <w:gridCol w:w="4320"/>
        <w:gridCol w:w="4320"/>
      </w:tblGrid>
      <w:tr>
        <w:tc>
          <w:tcPr>
            <w:tcW w:type="dxa" w:w="4320"/>
          </w:tcPr>
          <w:p>
            <w:r>
              <w:rPr>
                <w:b/>
              </w:rPr>
              <w:t>Algorithm</w:t>
            </w:r>
          </w:p>
        </w:tc>
        <w:tc>
          <w:tcPr>
            <w:tcW w:type="dxa" w:w="4320"/>
          </w:tcPr>
          <w:p>
            <w:r>
              <w:rPr>
                <w:b/>
              </w:rPr>
              <w:t>tracking_error gap (% of oracle)</w:t>
            </w:r>
          </w:p>
        </w:tc>
      </w:tr>
      <w:tr>
        <w:tc>
          <w:tcPr>
            <w:tcW w:type="dxa" w:w="4320"/>
          </w:tcPr>
          <w:p>
            <w:r>
              <w:t>MPC_TrackingG2V</w:t>
            </w:r>
          </w:p>
        </w:tc>
        <w:tc>
          <w:tcPr>
            <w:tcW w:type="dxa" w:w="4320"/>
          </w:tcPr>
          <w:p>
            <w:r>
              <w:t>44.6%</w:t>
            </w:r>
          </w:p>
        </w:tc>
      </w:tr>
      <w:tr>
        <w:tc>
          <w:tcPr>
            <w:tcW w:type="dxa" w:w="4320"/>
          </w:tcPr>
          <w:p>
            <w:r>
              <w:t>Round Robin</w:t>
            </w:r>
          </w:p>
        </w:tc>
        <w:tc>
          <w:tcPr>
            <w:tcW w:type="dxa" w:w="4320"/>
          </w:tcPr>
          <w:p>
            <w:r>
              <w:t>128.8%</w:t>
            </w:r>
          </w:p>
        </w:tc>
      </w:tr>
      <w:tr>
        <w:tc>
          <w:tcPr>
            <w:tcW w:type="dxa" w:w="4320"/>
          </w:tcPr>
          <w:p>
            <w:r>
              <w:t>TD3_vanilla_ts100</w:t>
            </w:r>
          </w:p>
        </w:tc>
        <w:tc>
          <w:tcPr>
            <w:tcW w:type="dxa" w:w="4320"/>
          </w:tcPr>
          <w:p>
            <w:r>
              <w:t>420.3%</w:t>
            </w:r>
          </w:p>
        </w:tc>
      </w:tr>
      <w:tr>
        <w:tc>
          <w:tcPr>
            <w:tcW w:type="dxa" w:w="4320"/>
          </w:tcPr>
          <w:p>
            <w:r>
              <w:t>TD3_TrackingOnly_ts102</w:t>
            </w:r>
          </w:p>
        </w:tc>
        <w:tc>
          <w:tcPr>
            <w:tcW w:type="dxa" w:w="4320"/>
          </w:tcPr>
          <w:p>
            <w:r>
              <w:t>463.4%</w:t>
            </w:r>
          </w:p>
        </w:tc>
      </w:tr>
      <w:tr>
        <w:tc>
          <w:tcPr>
            <w:tcW w:type="dxa" w:w="4320"/>
          </w:tcPr>
          <w:p>
            <w:r>
              <w:t>TD3_TrackingOnly_ts101</w:t>
            </w:r>
          </w:p>
        </w:tc>
        <w:tc>
          <w:tcPr>
            <w:tcW w:type="dxa" w:w="4320"/>
          </w:tcPr>
          <w:p>
            <w:r>
              <w:t>470.4%</w:t>
            </w:r>
          </w:p>
        </w:tc>
      </w:tr>
      <w:tr>
        <w:tc>
          <w:tcPr>
            <w:tcW w:type="dxa" w:w="4320"/>
          </w:tcPr>
          <w:p>
            <w:r>
              <w:t>TD3_vanilla_ts102</w:t>
            </w:r>
          </w:p>
        </w:tc>
        <w:tc>
          <w:tcPr>
            <w:tcW w:type="dxa" w:w="4320"/>
          </w:tcPr>
          <w:p>
            <w:r>
              <w:t>480.3%</w:t>
            </w:r>
          </w:p>
        </w:tc>
      </w:tr>
      <w:tr>
        <w:tc>
          <w:tcPr>
            <w:tcW w:type="dxa" w:w="4320"/>
          </w:tcPr>
          <w:p>
            <w:r>
              <w:t>TD3_vanilla_ts101</w:t>
            </w:r>
          </w:p>
        </w:tc>
        <w:tc>
          <w:tcPr>
            <w:tcW w:type="dxa" w:w="4320"/>
          </w:tcPr>
          <w:p>
            <w:r>
              <w:t>489.5%</w:t>
            </w:r>
          </w:p>
        </w:tc>
      </w:tr>
      <w:tr>
        <w:tc>
          <w:tcPr>
            <w:tcW w:type="dxa" w:w="4320"/>
          </w:tcPr>
          <w:p>
            <w:r>
              <w:t>TD3_TrackingOnly_ts100</w:t>
            </w:r>
          </w:p>
        </w:tc>
        <w:tc>
          <w:tcPr>
            <w:tcW w:type="dxa" w:w="4320"/>
          </w:tcPr>
          <w:p>
            <w:r>
              <w:t>514.3%</w:t>
            </w:r>
          </w:p>
        </w:tc>
      </w:tr>
      <w:tr>
        <w:tc>
          <w:tcPr>
            <w:tcW w:type="dxa" w:w="4320"/>
          </w:tcPr>
          <w:p>
            <w:r>
              <w:t>RandomPolicy</w:t>
            </w:r>
          </w:p>
        </w:tc>
        <w:tc>
          <w:tcPr>
            <w:tcW w:type="dxa" w:w="4320"/>
          </w:tcPr>
          <w:p>
            <w:r>
              <w:t>571.4%</w:t>
            </w:r>
          </w:p>
        </w:tc>
      </w:tr>
      <w:tr>
        <w:tc>
          <w:tcPr>
            <w:tcW w:type="dxa" w:w="4320"/>
          </w:tcPr>
          <w:p>
            <w:r>
              <w:t>MPC_EnergyMaxG2V</w:t>
            </w:r>
          </w:p>
        </w:tc>
        <w:tc>
          <w:tcPr>
            <w:tcW w:type="dxa" w:w="4320"/>
          </w:tcPr>
          <w:p>
            <w:r>
              <w:t>626.6%</w:t>
            </w:r>
          </w:p>
        </w:tc>
      </w:tr>
      <w:tr>
        <w:tc>
          <w:tcPr>
            <w:tcW w:type="dxa" w:w="4320"/>
          </w:tcPr>
          <w:p>
            <w:r>
              <w:t>AFAP</w:t>
            </w:r>
          </w:p>
        </w:tc>
        <w:tc>
          <w:tcPr>
            <w:tcW w:type="dxa" w:w="4320"/>
          </w:tcPr>
          <w:p>
            <w:r>
              <w:t>847.6%</w:t>
            </w:r>
          </w:p>
        </w:tc>
      </w:tr>
    </w:tbl>
    <w:p/>
    <w:p>
      <w:r>
        <w:t>Week 4's headline was "every online algorithm sits far from the oracle, Round Robin closest at 136.3%". MPC_TrackingG2V -- the arm this chapter built specifically to bound the value of departure/near-term-arrival information -- closes that gap to 44.6%, decisively ahead of every causal arm. Read correctly, per the value-of-information framing (section 10.7.4), this is not "the new best algorithm to deploy": MPC_TrackingG2V is not causal. Its gap to the oracle is the honest answer to "how much of Round Robin's remaining distance from perfect information is closeable at all, given perfect knowledge of user departure intent" -- a bound on the value of building a reservation / declared-departure system. Round Robin remains the best-performing arm among those that could actually be deployed with today's information.</w:t>
      </w:r>
    </w:p>
    <w:p>
      <w:pPr>
        <w:pStyle w:val="Heading2"/>
      </w:pPr>
      <w:r>
        <w:t>10.15. Target Compliance (full 50-seed grid)</w:t>
      </w:r>
    </w:p>
    <w:p>
      <w:r>
        <w:t>User satisfaction &gt; 90%: every arm passes, average_user_satisfaction ranging 97.98%-100.0% (worst: TD3_vanilla_ts100).</w:t>
      </w:r>
    </w:p>
    <w:p>
      <w:r>
        <w:t>Energy not served &lt; 15%, adopted formally this week (Week 4's proposal now adopted): ENS_rel(a, s) = (E_AFAP(s) - E_a(s)) / E_AFAP(s), net delivered energy, paired within seed. An arm passes only if the 95% cluster-bootstrap CI's upper bound is below 0.15.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Algorithm</w:t>
            </w:r>
          </w:p>
        </w:tc>
        <w:tc>
          <w:tcPr>
            <w:tcW w:type="dxa" w:w="2160"/>
          </w:tcPr>
          <w:p>
            <w:r>
              <w:rPr>
                <w:b/>
              </w:rPr>
              <w:t>ENS_rel point</w:t>
            </w:r>
          </w:p>
        </w:tc>
        <w:tc>
          <w:tcPr>
            <w:tcW w:type="dxa" w:w="2160"/>
          </w:tcPr>
          <w:p>
            <w:r>
              <w:rPr>
                <w:b/>
              </w:rPr>
              <w:t>95% CI</w:t>
            </w:r>
          </w:p>
        </w:tc>
        <w:tc>
          <w:tcPr>
            <w:tcW w:type="dxa" w:w="2160"/>
          </w:tcPr>
          <w:p>
            <w:r>
              <w:rPr>
                <w:b/>
              </w:rPr>
              <w:t>Passes?</w:t>
            </w:r>
          </w:p>
        </w:tc>
      </w:tr>
      <w:tr>
        <w:tc>
          <w:tcPr>
            <w:tcW w:type="dxa" w:w="2160"/>
          </w:tcPr>
          <w:p>
            <w:r>
              <w:t>AFAP</w:t>
            </w:r>
          </w:p>
        </w:tc>
        <w:tc>
          <w:tcPr>
            <w:tcW w:type="dxa" w:w="2160"/>
          </w:tcPr>
          <w:p>
            <w:r>
              <w:t>0.00%</w:t>
            </w:r>
          </w:p>
        </w:tc>
        <w:tc>
          <w:tcPr>
            <w:tcW w:type="dxa" w:w="2160"/>
          </w:tcPr>
          <w:p>
            <w:r>
              <w:t>[0.00, 0.00]</w:t>
            </w:r>
          </w:p>
        </w:tc>
        <w:tc>
          <w:tcPr>
            <w:tcW w:type="dxa" w:w="2160"/>
          </w:tcPr>
          <w:p>
            <w:r>
              <w:t>Yes</w:t>
            </w:r>
          </w:p>
        </w:tc>
      </w:tr>
      <w:tr>
        <w:tc>
          <w:tcPr>
            <w:tcW w:type="dxa" w:w="2160"/>
          </w:tcPr>
          <w:p>
            <w:r>
              <w:t>Round Robin</w:t>
            </w:r>
          </w:p>
        </w:tc>
        <w:tc>
          <w:tcPr>
            <w:tcW w:type="dxa" w:w="2160"/>
          </w:tcPr>
          <w:p>
            <w:r>
              <w:t>0.47%</w:t>
            </w:r>
          </w:p>
        </w:tc>
        <w:tc>
          <w:tcPr>
            <w:tcW w:type="dxa" w:w="2160"/>
          </w:tcPr>
          <w:p>
            <w:r>
              <w:t>[0.24, 0.75]</w:t>
            </w:r>
          </w:p>
        </w:tc>
        <w:tc>
          <w:tcPr>
            <w:tcW w:type="dxa" w:w="2160"/>
          </w:tcPr>
          <w:p>
            <w:r>
              <w:t>Yes</w:t>
            </w:r>
          </w:p>
        </w:tc>
      </w:tr>
      <w:tr>
        <w:tc>
          <w:tcPr>
            <w:tcW w:type="dxa" w:w="2160"/>
          </w:tcPr>
          <w:p>
            <w:r>
              <w:t>RandomPolicy</w:t>
            </w:r>
          </w:p>
        </w:tc>
        <w:tc>
          <w:tcPr>
            <w:tcW w:type="dxa" w:w="2160"/>
          </w:tcPr>
          <w:p>
            <w:r>
              <w:t>0.05%</w:t>
            </w:r>
          </w:p>
        </w:tc>
        <w:tc>
          <w:tcPr>
            <w:tcW w:type="dxa" w:w="2160"/>
          </w:tcPr>
          <w:p>
            <w:r>
              <w:t>[0.04, 0.05]</w:t>
            </w:r>
          </w:p>
        </w:tc>
        <w:tc>
          <w:tcPr>
            <w:tcW w:type="dxa" w:w="2160"/>
          </w:tcPr>
          <w:p>
            <w:r>
              <w:t>Yes</w:t>
            </w:r>
          </w:p>
        </w:tc>
      </w:tr>
      <w:tr>
        <w:tc>
          <w:tcPr>
            <w:tcW w:type="dxa" w:w="2160"/>
          </w:tcPr>
          <w:p>
            <w:r>
              <w:t>Optimal_Oracle_Tracking</w:t>
            </w:r>
          </w:p>
        </w:tc>
        <w:tc>
          <w:tcPr>
            <w:tcW w:type="dxa" w:w="2160"/>
          </w:tcPr>
          <w:p>
            <w:r>
              <w:t>0.50%</w:t>
            </w:r>
          </w:p>
        </w:tc>
        <w:tc>
          <w:tcPr>
            <w:tcW w:type="dxa" w:w="2160"/>
          </w:tcPr>
          <w:p>
            <w:r>
              <w:t>[0.47, 0.52]</w:t>
            </w:r>
          </w:p>
        </w:tc>
        <w:tc>
          <w:tcPr>
            <w:tcW w:type="dxa" w:w="2160"/>
          </w:tcPr>
          <w:p>
            <w:r>
              <w:t>Yes</w:t>
            </w:r>
          </w:p>
        </w:tc>
      </w:tr>
      <w:tr>
        <w:tc>
          <w:tcPr>
            <w:tcW w:type="dxa" w:w="2160"/>
          </w:tcPr>
          <w:p>
            <w:r>
              <w:t>Optimal_Oracle_Balanced</w:t>
            </w:r>
          </w:p>
        </w:tc>
        <w:tc>
          <w:tcPr>
            <w:tcW w:type="dxa" w:w="2160"/>
          </w:tcPr>
          <w:p>
            <w:r>
              <w:t>0.11%</w:t>
            </w:r>
          </w:p>
        </w:tc>
        <w:tc>
          <w:tcPr>
            <w:tcW w:type="dxa" w:w="2160"/>
          </w:tcPr>
          <w:p>
            <w:r>
              <w:t>[0.10, 0.11]</w:t>
            </w:r>
          </w:p>
        </w:tc>
        <w:tc>
          <w:tcPr>
            <w:tcW w:type="dxa" w:w="2160"/>
          </w:tcPr>
          <w:p>
            <w:r>
              <w:t>Yes</w:t>
            </w:r>
          </w:p>
        </w:tc>
      </w:tr>
      <w:tr>
        <w:tc>
          <w:tcPr>
            <w:tcW w:type="dxa" w:w="2160"/>
          </w:tcPr>
          <w:p>
            <w:r>
              <w:t>MPC_TrackingG2V</w:t>
            </w:r>
          </w:p>
        </w:tc>
        <w:tc>
          <w:tcPr>
            <w:tcW w:type="dxa" w:w="2160"/>
          </w:tcPr>
          <w:p>
            <w:r>
              <w:t>0.49%</w:t>
            </w:r>
          </w:p>
        </w:tc>
        <w:tc>
          <w:tcPr>
            <w:tcW w:type="dxa" w:w="2160"/>
          </w:tcPr>
          <w:p>
            <w:r>
              <w:t>[0.47, 0.52]</w:t>
            </w:r>
          </w:p>
        </w:tc>
        <w:tc>
          <w:tcPr>
            <w:tcW w:type="dxa" w:w="2160"/>
          </w:tcPr>
          <w:p>
            <w:r>
              <w:t>Yes</w:t>
            </w:r>
          </w:p>
        </w:tc>
      </w:tr>
      <w:tr>
        <w:tc>
          <w:tcPr>
            <w:tcW w:type="dxa" w:w="2160"/>
          </w:tcPr>
          <w:p>
            <w:r>
              <w:t>MPC_EnergyMaxG2V</w:t>
            </w:r>
          </w:p>
        </w:tc>
        <w:tc>
          <w:tcPr>
            <w:tcW w:type="dxa" w:w="2160"/>
          </w:tcPr>
          <w:p>
            <w:r>
              <w:t>-0.003%</w:t>
            </w:r>
          </w:p>
        </w:tc>
        <w:tc>
          <w:tcPr>
            <w:tcW w:type="dxa" w:w="2160"/>
          </w:tcPr>
          <w:p>
            <w:r>
              <w:t>[-0.003, -0.002]</w:t>
            </w:r>
          </w:p>
        </w:tc>
        <w:tc>
          <w:tcPr>
            <w:tcW w:type="dxa" w:w="2160"/>
          </w:tcPr>
          <w:p>
            <w:r>
              <w:t>Yes</w:t>
            </w:r>
          </w:p>
        </w:tc>
      </w:tr>
      <w:tr>
        <w:tc>
          <w:tcPr>
            <w:tcW w:type="dxa" w:w="2160"/>
          </w:tcPr>
          <w:p>
            <w:r>
              <w:t>TD3_vanilla_ts100</w:t>
            </w:r>
          </w:p>
        </w:tc>
        <w:tc>
          <w:tcPr>
            <w:tcW w:type="dxa" w:w="2160"/>
          </w:tcPr>
          <w:p>
            <w:r>
              <w:t>9.98%</w:t>
            </w:r>
          </w:p>
        </w:tc>
        <w:tc>
          <w:tcPr>
            <w:tcW w:type="dxa" w:w="2160"/>
          </w:tcPr>
          <w:p>
            <w:r>
              <w:t>[7.99, 12.12]</w:t>
            </w:r>
          </w:p>
        </w:tc>
        <w:tc>
          <w:tcPr>
            <w:tcW w:type="dxa" w:w="2160"/>
          </w:tcPr>
          <w:p>
            <w:r>
              <w:t>Yes</w:t>
            </w:r>
          </w:p>
        </w:tc>
      </w:tr>
      <w:tr>
        <w:tc>
          <w:tcPr>
            <w:tcW w:type="dxa" w:w="2160"/>
          </w:tcPr>
          <w:p>
            <w:r>
              <w:t>TD3_vanilla_ts101</w:t>
            </w:r>
          </w:p>
        </w:tc>
        <w:tc>
          <w:tcPr>
            <w:tcW w:type="dxa" w:w="2160"/>
          </w:tcPr>
          <w:p>
            <w:r>
              <w:t>9.97%</w:t>
            </w:r>
          </w:p>
        </w:tc>
        <w:tc>
          <w:tcPr>
            <w:tcW w:type="dxa" w:w="2160"/>
          </w:tcPr>
          <w:p>
            <w:r>
              <w:t>[8.04, 11.99]</w:t>
            </w:r>
          </w:p>
        </w:tc>
        <w:tc>
          <w:tcPr>
            <w:tcW w:type="dxa" w:w="2160"/>
          </w:tcPr>
          <w:p>
            <w:r>
              <w:t>Yes</w:t>
            </w:r>
          </w:p>
        </w:tc>
      </w:tr>
      <w:tr>
        <w:tc>
          <w:tcPr>
            <w:tcW w:type="dxa" w:w="2160"/>
          </w:tcPr>
          <w:p>
            <w:r>
              <w:t>TD3_vanilla_ts102</w:t>
            </w:r>
          </w:p>
        </w:tc>
        <w:tc>
          <w:tcPr>
            <w:tcW w:type="dxa" w:w="2160"/>
          </w:tcPr>
          <w:p>
            <w:r>
              <w:t>8.56%</w:t>
            </w:r>
          </w:p>
        </w:tc>
        <w:tc>
          <w:tcPr>
            <w:tcW w:type="dxa" w:w="2160"/>
          </w:tcPr>
          <w:p>
            <w:r>
              <w:t>[6.82, 10.32]</w:t>
            </w:r>
          </w:p>
        </w:tc>
        <w:tc>
          <w:tcPr>
            <w:tcW w:type="dxa" w:w="2160"/>
          </w:tcPr>
          <w:p>
            <w:r>
              <w:t>Yes</w:t>
            </w:r>
          </w:p>
        </w:tc>
      </w:tr>
      <w:tr>
        <w:tc>
          <w:tcPr>
            <w:tcW w:type="dxa" w:w="2160"/>
          </w:tcPr>
          <w:p>
            <w:r>
              <w:t>TD3_TrackingOnly_ts100</w:t>
            </w:r>
          </w:p>
        </w:tc>
        <w:tc>
          <w:tcPr>
            <w:tcW w:type="dxa" w:w="2160"/>
          </w:tcPr>
          <w:p>
            <w:r>
              <w:t>4.76%</w:t>
            </w:r>
          </w:p>
        </w:tc>
        <w:tc>
          <w:tcPr>
            <w:tcW w:type="dxa" w:w="2160"/>
          </w:tcPr>
          <w:p>
            <w:r>
              <w:t>[3.42, 6.23]</w:t>
            </w:r>
          </w:p>
        </w:tc>
        <w:tc>
          <w:tcPr>
            <w:tcW w:type="dxa" w:w="2160"/>
          </w:tcPr>
          <w:p>
            <w:r>
              <w:t>Yes</w:t>
            </w:r>
          </w:p>
        </w:tc>
      </w:tr>
      <w:tr>
        <w:tc>
          <w:tcPr>
            <w:tcW w:type="dxa" w:w="2160"/>
          </w:tcPr>
          <w:p>
            <w:r>
              <w:t>TD3_TrackingOnly_ts101</w:t>
            </w:r>
          </w:p>
        </w:tc>
        <w:tc>
          <w:tcPr>
            <w:tcW w:type="dxa" w:w="2160"/>
          </w:tcPr>
          <w:p>
            <w:r>
              <w:t>9.22%</w:t>
            </w:r>
          </w:p>
        </w:tc>
        <w:tc>
          <w:tcPr>
            <w:tcW w:type="dxa" w:w="2160"/>
          </w:tcPr>
          <w:p>
            <w:r>
              <w:t>[6.92, 11.87]</w:t>
            </w:r>
          </w:p>
        </w:tc>
        <w:tc>
          <w:tcPr>
            <w:tcW w:type="dxa" w:w="2160"/>
          </w:tcPr>
          <w:p>
            <w:r>
              <w:t>Yes</w:t>
            </w:r>
          </w:p>
        </w:tc>
      </w:tr>
      <w:tr>
        <w:tc>
          <w:tcPr>
            <w:tcW w:type="dxa" w:w="2160"/>
          </w:tcPr>
          <w:p>
            <w:r>
              <w:t>TD3_TrackingOnly_ts102</w:t>
            </w:r>
          </w:p>
        </w:tc>
        <w:tc>
          <w:tcPr>
            <w:tcW w:type="dxa" w:w="2160"/>
          </w:tcPr>
          <w:p>
            <w:r>
              <w:t>6.49%</w:t>
            </w:r>
          </w:p>
        </w:tc>
        <w:tc>
          <w:tcPr>
            <w:tcW w:type="dxa" w:w="2160"/>
          </w:tcPr>
          <w:p>
            <w:r>
              <w:t>[4.83, 8.26]</w:t>
            </w:r>
          </w:p>
        </w:tc>
        <w:tc>
          <w:tcPr>
            <w:tcW w:type="dxa" w:w="2160"/>
          </w:tcPr>
          <w:p>
            <w:r>
              <w:t>Yes</w:t>
            </w:r>
          </w:p>
        </w:tc>
      </w:tr>
    </w:tbl>
    <w:p/>
    <w:p>
      <w:r>
        <w:t>Every arm clears the 15% target on the CI-upper-bound test; the closest margin in the whole comparison is TD3_vanilla_ts100/ts101 at CI upper approx. 12.1% / 12.0%. A diagnostic metric, ENS_abs (energy not served relative to the actual requested energy of departing EVs), confirms the station is not fleet-level capacity-inadequate: AFAP's own ENS_abs is 0.025%, meaning the unmanaged baseline itself serves essentially all requested energy in aggregate. The station's problem is capacity used badly at the wrong times, not insufficient capacity.</w:t>
      </w:r>
    </w:p>
    <w:p>
      <w:r>
        <w:t>Voltage compliance: not applicable this week -- simulate_grid=False throughout; voltage_violation is structurally zero for every arm because the constraint is not modeled. Week 6 (IEEE 34-bus, simulate_grid=True) is where this target is actually tested.</w:t>
      </w:r>
    </w:p>
    <w:p>
      <w:pPr>
        <w:pStyle w:val="Heading2"/>
      </w:pPr>
      <w:r>
        <w:t>10.16. Recommended Strategy for Objective 4 -- Round Robin</w:t>
      </w:r>
    </w:p>
    <w:p>
      <w:r>
        <w:t>Recommendation: Round Robin. Argued on the three declared axes:</w:t>
      </w:r>
    </w:p>
    <w:p>
      <w:pPr>
        <w:pStyle w:val="ListBullet"/>
      </w:pPr>
      <w:r>
        <w:t>Technical compliance. Round Robin is the only fully causal, deployable-today arm that reduces AFAP's transformer overload to exactly zero, on a station where that overload is real and substantial -- 56% of independent arrival scenarios, not a rare edge case. It does this with no forecast, no training, and no information advantage over what a real Bogota operator has today.</w:t>
      </w:r>
    </w:p>
    <w:p>
      <w:pPr>
        <w:pStyle w:val="ListBullet"/>
      </w:pPr>
      <w:r>
        <w:t>Economic cost of that compliance is negligible. About 503.9 COP/day of foregone margin against a ~118,000 COP/day gross revenue base -- under 1%. Gross margin itself is retired as a ranking metric: under Colombia's flat tariff, margin tracks energy delivered almost perfectly, so a strategy that occasionally forgoes a small amount of energy to respect a hard constraint will always look slightly worse on margin than one that does not -- that is the cost of the constraint being real, not a mark against the strategy.</w:t>
      </w:r>
    </w:p>
    <w:p>
      <w:pPr>
        <w:pStyle w:val="ListBullet"/>
      </w:pPr>
      <w:r>
        <w:t>User satisfaction and energy-not-served. Round Robin clears both targets by a wide margin (99.90% average satisfaction, ENS_rel CI upper bound 0.75%), indistinguishable in practice from AFAP's own 100% / 0%.</w:t>
      </w:r>
    </w:p>
    <w:p>
      <w:r>
        <w:t>What beats Round Robin, and why none of it changes the recommendation: MPC_TrackingG2V (44.6% oracle gap) and MPC_EnergyMaxG2V (dominates AFAP on margin outright) both outperform Round Robin on their respective axes, but both inherit MPC.__init__'s non-causal knowledge of connected-EV departure times and near-horizon arrivals -- neither is deployable with the information a real Bogota public-station operator has today. Their value is as an upper bound on what a declared-departure app feature or a reservation system could buy. Both perfect-information oracle variants dominate everything by construction and were never candidate recommendations. Every trained RL arm loses to Round Robin on every axis measured this week: tracking error (420%+ oracle gap vs. 128.8%), transformer overload (now confirmed real and non-trivial at 50 seeds), and cost-per-kWh-of-overload-avoided (20x-70x more expensive). This is the same conclusion Week 4 reached, now on a properly-powered sample rather than reversed by it.</w:t>
      </w:r>
    </w:p>
    <w:p>
      <w:r>
        <w:t>If Objective 4's infrastructure guidance includes a software/operational recommendation, it is this: the gap between Round Robin and MPC_TrackingG2V (128.8% vs. 44.6% oracle gap) is the size of the prize available from adding departure-time capture to the existing charging app -- bounded above, not estimated, since real declared departure times are noisier than the perfect information modeled here.</w:t>
      </w:r>
    </w:p>
    <w:p>
      <w:r>
        <w:t>Bounded, not general: this recommendation is specific to station_v0_bogota's scale (8 ports, 100 kW transformer, 4:1 oversubscription) and Colombia's current flat-tariff structure. It says nothing about voltage compliance (Week 6), nothing about a larger or more heavily oversubscribed station, and nothing about whether a longer RL training budget would close the gap this week's evidence shows.</w:t>
      </w:r>
    </w:p>
    <w:p>
      <w:pPr>
        <w:pStyle w:val="Heading2"/>
      </w:pPr>
      <w:r>
        <w:t>10.17. MPC Horizon Sensitivity and TD3 Training-Budget Control</w:t>
      </w:r>
    </w:p>
    <w:p>
      <w:r>
        <w:t>MPC horizon (MPC_TrackingG2V only, horizons {5, 10, 20} steps, 10-seed subset):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Horizon</w:t>
            </w:r>
          </w:p>
        </w:tc>
        <w:tc>
          <w:tcPr>
            <w:tcW w:type="dxa" w:w="2160"/>
          </w:tcPr>
          <w:p>
            <w:r>
              <w:rPr>
                <w:b/>
              </w:rPr>
              <w:t>Mean tracking error</w:t>
            </w:r>
          </w:p>
        </w:tc>
        <w:tc>
          <w:tcPr>
            <w:tcW w:type="dxa" w:w="2160"/>
          </w:tcPr>
          <w:p>
            <w:r>
              <w:rPr>
                <w:b/>
              </w:rPr>
              <w:t>Mean overload</w:t>
            </w:r>
          </w:p>
        </w:tc>
        <w:tc>
          <w:tcPr>
            <w:tcW w:type="dxa" w:w="2160"/>
          </w:tcPr>
          <w:p>
            <w:r>
              <w:rPr>
                <w:b/>
              </w:rPr>
              <w:t>Mean per-cell runtime</w:t>
            </w:r>
          </w:p>
        </w:tc>
      </w:tr>
      <w:tr>
        <w:tc>
          <w:tcPr>
            <w:tcW w:type="dxa" w:w="2160"/>
          </w:tcPr>
          <w:p>
            <w:r>
              <w:t>5</w:t>
            </w:r>
          </w:p>
        </w:tc>
        <w:tc>
          <w:tcPr>
            <w:tcW w:type="dxa" w:w="2160"/>
          </w:tcPr>
          <w:p>
            <w:r>
              <w:t>10,643</w:t>
            </w:r>
          </w:p>
        </w:tc>
        <w:tc>
          <w:tcPr>
            <w:tcW w:type="dxa" w:w="2160"/>
          </w:tcPr>
          <w:p>
            <w:r>
              <w:t>0.00</w:t>
            </w:r>
          </w:p>
        </w:tc>
        <w:tc>
          <w:tcPr>
            <w:tcW w:type="dxa" w:w="2160"/>
          </w:tcPr>
          <w:p>
            <w:r>
              <w:t>1.56s</w:t>
            </w:r>
          </w:p>
        </w:tc>
      </w:tr>
      <w:tr>
        <w:tc>
          <w:tcPr>
            <w:tcW w:type="dxa" w:w="2160"/>
          </w:tcPr>
          <w:p>
            <w:r>
              <w:t>10 (used for the main grid)</w:t>
            </w:r>
          </w:p>
        </w:tc>
        <w:tc>
          <w:tcPr>
            <w:tcW w:type="dxa" w:w="2160"/>
          </w:tcPr>
          <w:p>
            <w:r>
              <w:t>8,427</w:t>
            </w:r>
          </w:p>
        </w:tc>
        <w:tc>
          <w:tcPr>
            <w:tcW w:type="dxa" w:w="2160"/>
          </w:tcPr>
          <w:p>
            <w:r>
              <w:t>0.00</w:t>
            </w:r>
          </w:p>
        </w:tc>
        <w:tc>
          <w:tcPr>
            <w:tcW w:type="dxa" w:w="2160"/>
          </w:tcPr>
          <w:p>
            <w:r>
              <w:t>2.84s</w:t>
            </w:r>
          </w:p>
        </w:tc>
      </w:tr>
      <w:tr>
        <w:tc>
          <w:tcPr>
            <w:tcW w:type="dxa" w:w="2160"/>
          </w:tcPr>
          <w:p>
            <w:r>
              <w:t>20</w:t>
            </w:r>
          </w:p>
        </w:tc>
        <w:tc>
          <w:tcPr>
            <w:tcW w:type="dxa" w:w="2160"/>
          </w:tcPr>
          <w:p>
            <w:r>
              <w:t>6,673</w:t>
            </w:r>
          </w:p>
        </w:tc>
        <w:tc>
          <w:tcPr>
            <w:tcW w:type="dxa" w:w="2160"/>
          </w:tcPr>
          <w:p>
            <w:r>
              <w:t>0.00</w:t>
            </w:r>
          </w:p>
        </w:tc>
        <w:tc>
          <w:tcPr>
            <w:tcW w:type="dxa" w:w="2160"/>
          </w:tcPr>
          <w:p>
            <w:r>
              <w:t>5.66s</w:t>
            </w:r>
          </w:p>
        </w:tc>
      </w:tr>
    </w:tbl>
    <w:p/>
    <w:p>
      <w:r>
        <w:t>A real, monotonic difference exists: tracking error falls 21% from horizon=10 to horizon=20, at roughly 2x the per-cell compute cost; energy delivered and overload are unaffected by horizon choice (transformer capacity is already a hard constraint). Horizon=10 (the shipped default) was used for every MPC_TrackingG2V row in the main comparison. Horizon=20 would tighten MPC_TrackingG2V's already-decisive 44.6% oracle gap further; it was not re-run this week and is flagged for Week 6 or the final consolidation pass rather than absorbed silently. The value-of-information conclusion is unaffected either way -- a larger horizon would only widen MPC_TrackingG2V's lead over every causal arm.</w:t>
      </w:r>
    </w:p>
    <w:p>
      <w:r>
        <w:t>TD3 training-budget control (TD3_vanilla_ts100, checkpoints at 10k/20k/30k/40k/50k/60k steps, 10-seed subset):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Checkpoint (steps)</w:t>
            </w:r>
          </w:p>
        </w:tc>
        <w:tc>
          <w:tcPr>
            <w:tcW w:type="dxa" w:w="2160"/>
          </w:tcPr>
          <w:p>
            <w:r>
              <w:rPr>
                <w:b/>
              </w:rPr>
              <w:t>Tracking error</w:t>
            </w:r>
          </w:p>
        </w:tc>
        <w:tc>
          <w:tcPr>
            <w:tcW w:type="dxa" w:w="2160"/>
          </w:tcPr>
          <w:p>
            <w:r>
              <w:rPr>
                <w:b/>
              </w:rPr>
              <w:t>Overload (kWh)</w:t>
            </w:r>
          </w:p>
        </w:tc>
        <w:tc>
          <w:tcPr>
            <w:tcW w:type="dxa" w:w="2160"/>
          </w:tcPr>
          <w:p>
            <w:r>
              <w:rPr>
                <w:b/>
              </w:rPr>
              <w:t>Satisfaction</w:t>
            </w:r>
          </w:p>
        </w:tc>
      </w:tr>
      <w:tr>
        <w:tc>
          <w:tcPr>
            <w:tcW w:type="dxa" w:w="2160"/>
          </w:tcPr>
          <w:p>
            <w:r>
              <w:t>10,000</w:t>
            </w:r>
          </w:p>
        </w:tc>
        <w:tc>
          <w:tcPr>
            <w:tcW w:type="dxa" w:w="2160"/>
          </w:tcPr>
          <w:p>
            <w:r>
              <w:t>27,512</w:t>
            </w:r>
          </w:p>
        </w:tc>
        <w:tc>
          <w:tcPr>
            <w:tcW w:type="dxa" w:w="2160"/>
          </w:tcPr>
          <w:p>
            <w:r>
              <w:t>0.34</w:t>
            </w:r>
          </w:p>
        </w:tc>
        <w:tc>
          <w:tcPr>
            <w:tcW w:type="dxa" w:w="2160"/>
          </w:tcPr>
          <w:p>
            <w:r>
              <w:t>99.28%</w:t>
            </w:r>
          </w:p>
        </w:tc>
      </w:tr>
      <w:tr>
        <w:tc>
          <w:tcPr>
            <w:tcW w:type="dxa" w:w="2160"/>
          </w:tcPr>
          <w:p>
            <w:r>
              <w:t>20,000</w:t>
            </w:r>
          </w:p>
        </w:tc>
        <w:tc>
          <w:tcPr>
            <w:tcW w:type="dxa" w:w="2160"/>
          </w:tcPr>
          <w:p>
            <w:r>
              <w:t>30,266</w:t>
            </w:r>
          </w:p>
        </w:tc>
        <w:tc>
          <w:tcPr>
            <w:tcW w:type="dxa" w:w="2160"/>
          </w:tcPr>
          <w:p>
            <w:r>
              <w:t>0.65</w:t>
            </w:r>
          </w:p>
        </w:tc>
        <w:tc>
          <w:tcPr>
            <w:tcW w:type="dxa" w:w="2160"/>
          </w:tcPr>
          <w:p>
            <w:r>
              <w:t>99.41%</w:t>
            </w:r>
          </w:p>
        </w:tc>
      </w:tr>
      <w:tr>
        <w:tc>
          <w:tcPr>
            <w:tcW w:type="dxa" w:w="2160"/>
          </w:tcPr>
          <w:p>
            <w:r>
              <w:t>30,000</w:t>
            </w:r>
          </w:p>
        </w:tc>
        <w:tc>
          <w:tcPr>
            <w:tcW w:type="dxa" w:w="2160"/>
          </w:tcPr>
          <w:p>
            <w:r>
              <w:t>30,475</w:t>
            </w:r>
          </w:p>
        </w:tc>
        <w:tc>
          <w:tcPr>
            <w:tcW w:type="dxa" w:w="2160"/>
          </w:tcPr>
          <w:p>
            <w:r>
              <w:t>0.35</w:t>
            </w:r>
          </w:p>
        </w:tc>
        <w:tc>
          <w:tcPr>
            <w:tcW w:type="dxa" w:w="2160"/>
          </w:tcPr>
          <w:p>
            <w:r>
              <w:t>98.97%</w:t>
            </w:r>
          </w:p>
        </w:tc>
      </w:tr>
      <w:tr>
        <w:tc>
          <w:tcPr>
            <w:tcW w:type="dxa" w:w="2160"/>
          </w:tcPr>
          <w:p>
            <w:r>
              <w:t>40,000</w:t>
            </w:r>
          </w:p>
        </w:tc>
        <w:tc>
          <w:tcPr>
            <w:tcW w:type="dxa" w:w="2160"/>
          </w:tcPr>
          <w:p>
            <w:r>
              <w:t>29,034</w:t>
            </w:r>
          </w:p>
        </w:tc>
        <w:tc>
          <w:tcPr>
            <w:tcW w:type="dxa" w:w="2160"/>
          </w:tcPr>
          <w:p>
            <w:r>
              <w:t>4.21</w:t>
            </w:r>
          </w:p>
        </w:tc>
        <w:tc>
          <w:tcPr>
            <w:tcW w:type="dxa" w:w="2160"/>
          </w:tcPr>
          <w:p>
            <w:r>
              <w:t>97.62%</w:t>
            </w:r>
          </w:p>
        </w:tc>
      </w:tr>
      <w:tr>
        <w:tc>
          <w:tcPr>
            <w:tcW w:type="dxa" w:w="2160"/>
          </w:tcPr>
          <w:p>
            <w:r>
              <w:t>50,000</w:t>
            </w:r>
          </w:p>
        </w:tc>
        <w:tc>
          <w:tcPr>
            <w:tcW w:type="dxa" w:w="2160"/>
          </w:tcPr>
          <w:p>
            <w:r>
              <w:t>31,164</w:t>
            </w:r>
          </w:p>
        </w:tc>
        <w:tc>
          <w:tcPr>
            <w:tcW w:type="dxa" w:w="2160"/>
          </w:tcPr>
          <w:p>
            <w:r>
              <w:t>10.97</w:t>
            </w:r>
          </w:p>
        </w:tc>
        <w:tc>
          <w:tcPr>
            <w:tcW w:type="dxa" w:w="2160"/>
          </w:tcPr>
          <w:p>
            <w:r>
              <w:t>98.12%</w:t>
            </w:r>
          </w:p>
        </w:tc>
      </w:tr>
      <w:tr>
        <w:tc>
          <w:tcPr>
            <w:tcW w:type="dxa" w:w="2160"/>
          </w:tcPr>
          <w:p>
            <w:r>
              <w:t>60,000 (the arm used everywhere else)</w:t>
            </w:r>
          </w:p>
        </w:tc>
        <w:tc>
          <w:tcPr>
            <w:tcW w:type="dxa" w:w="2160"/>
          </w:tcPr>
          <w:p>
            <w:r>
              <w:t>30,213</w:t>
            </w:r>
          </w:p>
        </w:tc>
        <w:tc>
          <w:tcPr>
            <w:tcW w:type="dxa" w:w="2160"/>
          </w:tcPr>
          <w:p>
            <w:r>
              <w:t>6.75</w:t>
            </w:r>
          </w:p>
        </w:tc>
        <w:tc>
          <w:tcPr>
            <w:tcW w:type="dxa" w:w="2160"/>
          </w:tcPr>
          <w:p>
            <w:r>
              <w:t>97.83%</w:t>
            </w:r>
          </w:p>
        </w:tc>
      </w:tr>
    </w:tbl>
    <w:p/>
    <w:p>
      <w:r>
        <w:t>No monotonic improvement with training budget -- if anything, transformer overload gets worse at later checkpoints (0.34 kWh at 10k to 6.75-10.97 kWh at 50k-60k), and tracking error is flat/noisy throughout (27,512-31,164 across the whole range). This is evidence against, not for, "the 60,000-timestep budget is binding and a longer run would close the gap": if the budget were simply insufficient, later checkpoints should show a clear if noisy improving trend; instead the trajectory looks plateaued (or never trending) well before 60k steps. This strengthens Week 4's conclusion rather than qualifying it -- the RL-vs-Round-Robin gap does not look like an artifact of an undertrained model that a longer run would fix; it looks like a property of this training setup at this problem scale.</w:t>
      </w:r>
    </w:p>
    <w:p>
      <w:pPr>
        <w:pStyle w:val="Heading1"/>
      </w:pPr>
      <w:r>
        <w:t>11. Standing Corrections and Open Items (as of 2026-09-09)</w:t>
      </w:r>
    </w:p>
    <w:p>
      <w:pPr>
        <w:spacing w:before="80" w:after="80"/>
        <w:ind w:left="432"/>
      </w:pPr>
      <w:r>
        <w:rPr>
          <w:i/>
          <w:color w:val="8A3000"/>
          <w:sz w:val="20"/>
        </w:rPr>
        <w:t>[Added 2026-09-09] This section did not exist in the compiled PDF. It consolidates the corrections applied above and the open items carried forward, so a reader of the final document is not surprised by a claim in an earlier week that a later week overturned.</w:t>
      </w:r>
    </w:p>
    <w:p>
      <w:r>
        <w:t>Corrections applied in this revision (all traceable in the repository's CLAUDE.md and thesis_docs/chapters/*.md):</w:t>
      </w:r>
    </w:p>
    <w:p>
      <w:pPr>
        <w:pStyle w:val="ListBullet"/>
      </w:pPr>
      <w:r>
        <w:t>CCS Combo 2 is a declared market-practice simplification, not a regulatory floor (section 8.1.4). Res. 40223/2021 Art. 4 mandates Tipo 1 (AC) and CCS Combo 1 (DC) as a minimum; CCS Combo 2 does not appear in the resolution. No simulation result depends on connector type.</w:t>
      </w:r>
    </w:p>
    <w:p>
      <w:pPr>
        <w:pStyle w:val="ListBullet"/>
      </w:pPr>
      <w:r>
        <w:t>The max_ac_charge_power = max_dc_charge_power setting is a harmless code-mechanic safeguard; the ZeroDivisionError it was said to prevent could not be reproduced against the current EV2Gym code (section 8.1.4).</w:t>
      </w:r>
    </w:p>
    <w:p>
      <w:pPr>
        <w:pStyle w:val="ListBullet"/>
      </w:pPr>
      <w:r>
        <w:t>EV2Gym's total_profits column is a negated ENTSO-E-priced purchase cost, not a profit or revenue figure. All Colombian operator economics are in results/economics_cop.csv (section 10.3.2).</w:t>
      </w:r>
    </w:p>
    <w:p>
      <w:pPr>
        <w:pStyle w:val="ListBullet"/>
      </w:pPr>
      <w:r>
        <w:t>The evaluation grid is 50 seeds x 2 day-types = 100 cells; the registry has 1,300 analysis_row=True rows (13 arms x 100 cells). Every earlier row (5 seeds x 10 days) is superseded=True and excluded from every current figure and table (section 10.8).</w:t>
      </w:r>
    </w:p>
    <w:p>
      <w:pPr>
        <w:pStyle w:val="ListBullet"/>
      </w:pPr>
      <w:r>
        <w:t>AFAP mean transformer overload is 14.22 kWh/day on 56% of seeds (50-seed grid), not 5.33 kWh/day on "1 in 5" (5-seed grid). Weeks 2-4 numbers computed on the 5-seed grid are historical (sections 8.3.11, 10.13).</w:t>
      </w:r>
    </w:p>
    <w:p>
      <w:pPr>
        <w:pStyle w:val="ListBullet"/>
      </w:pPr>
      <w:r>
        <w:t>Colombian profitability figures are lower bounds on the operator's margin (2025 retail price paired with 2026 cost; retail prices trend up). The gross-margin ranking is invariant for any retail price above the purchase cost (section 10.2).</w:t>
      </w:r>
    </w:p>
    <w:p>
      <w:pPr>
        <w:pStyle w:val="ListBullet"/>
      </w:pPr>
      <w:r>
        <w:t>Missing Week 3 references (Fujimoto et al. 2018 for TD3; Raffin et al. 2021 for SB3) and the missing Week 4 results (sections 9.5-9.9) and Week 5 Part B results (sections 10.12-10.17) have been added.</w:t>
      </w:r>
    </w:p>
    <w:p>
      <w:r>
        <w:t>Open items carried into Week 6:</w:t>
      </w:r>
    </w:p>
    <w:p>
      <w:pPr>
        <w:pStyle w:val="ListBullet"/>
      </w:pPr>
      <w:r>
        <w:t>Voltage compliance (RETIE +/-5% band) is untested; it requires the Week 6 IEEE 34-bus, simulate_grid=True phase.</w:t>
      </w:r>
    </w:p>
    <w:p>
      <w:pPr>
        <w:pStyle w:val="ListBullet"/>
      </w:pPr>
      <w:r>
        <w:t>MPC horizon: horizon=20 would tighten MPC_TrackingG2V's oracle gap further; not re-run.</w:t>
      </w:r>
    </w:p>
    <w:p>
      <w:pPr>
        <w:pStyle w:val="ListBullet"/>
      </w:pPr>
      <w:r>
        <w:t>A faithful PI-TD3 port remains a conditional stretch goal for Week 6, not a commitment.</w:t>
      </w:r>
    </w:p>
    <w:p>
      <w:pPr>
        <w:pStyle w:val="ListBullet"/>
      </w:pPr>
      <w:r>
        <w:t>Week 6's infrastructure guidance must tie recommendations to the corrected connector citation (CCS Combo 1 minimum), not the inherited Combo 2 assumption.</w:t>
      </w:r>
    </w:p>
    <w:p>
      <w:r>
        <w:rPr>
          <w:rFonts w:ascii="Times New Roman" w:hAnsi="Times New Roman"/>
          <w:b/>
          <w:color w:val="000000"/>
          <w:sz w:val="24"/>
        </w:rPr>
        <w:t>12. Week 6, Part 0 -- Extended Training of the Selected RL Policy</w:t>
      </w:r>
    </w:p>
    <w:p>
      <w:r>
        <w:rPr>
          <w:rFonts w:ascii="Times New Roman" w:hAnsi="Times New Roman"/>
          <w:b/>
          <w:color w:val="000000"/>
          <w:sz w:val="24"/>
        </w:rPr>
        <w:t>12.1. Objective</w:t>
      </w:r>
    </w:p>
    <w:p>
      <w:r>
        <w:rPr>
          <w:rFonts w:ascii="Times New Roman" w:hAnsi="Times New Roman"/>
          <w:b w:val="0"/>
          <w:color w:val="000000"/>
          <w:sz w:val="24"/>
        </w:rPr>
        <w:t>At the advisor's request, the best already-trained RL arm was trained until its learning curve stabilised, so that a single RL model can be carried into Objectives 4 and 5. No trained arm beat Round Robin in Week 5 (S5.8). TD3_vanilla (reward SqTrError_TrPenalty_UserIncentives) was extended because it is the best RL arm on the Week 5 tracking-error ranking, not because it is an overall winner. The experiment answers one question: was the RL result limited by its 60,000-step training budget?</w:t>
      </w:r>
    </w:p>
    <w:p>
      <w:r>
        <w:rPr>
          <w:rFonts w:ascii="Times New Roman" w:hAnsi="Times New Roman"/>
          <w:b/>
          <w:color w:val="000000"/>
          <w:sz w:val="24"/>
        </w:rPr>
        <w:t>12.2. Design</w:t>
      </w:r>
    </w:p>
    <w:p>
      <w:r>
        <w:rPr>
          <w:rFonts w:ascii="Times New Roman" w:hAnsi="Times New Roman"/>
          <w:b w:val="0"/>
          <w:color w:val="000000"/>
          <w:sz w:val="24"/>
        </w:rPr>
        <w:t>- Identical algorithm, hyperparameters, reward, state, station configuration and training seeds (100, 101, 102) as the original runs. Trained from scratch, three seeds in parallel, one torch thread per process, simulate_grid = False.</w:t>
      </w:r>
    </w:p>
    <w:p>
      <w:r>
        <w:rPr>
          <w:rFonts w:ascii="Times New Roman" w:hAnsi="Times New Roman"/>
          <w:b w:val="0"/>
          <w:color w:val="000000"/>
          <w:sz w:val="24"/>
        </w:rPr>
        <w:t>- Deterministic validation every 10,000 steps on 20 fixed cells (seeds 1,000,000-1,000,009 on one weekday and one weekend day), disjoint by construction from every training scenario and from the evaluation grid. Each saved checkpoint is reloaded with frozen normalisation statistics before it is scored.</w:t>
      </w:r>
    </w:p>
    <w:p>
      <w:r>
        <w:rPr>
          <w:rFonts w:ascii="Times New Roman" w:hAnsi="Times New Roman"/>
          <w:b w:val="0"/>
          <w:color w:val="000000"/>
          <w:sz w:val="24"/>
        </w:rPr>
        <w:t>- Selection criterion: validation-mean tracking error. Transformer overload and energy user satisfaction were logged as secondary metrics.</w:t>
      </w:r>
    </w:p>
    <w:p>
      <w:r>
        <w:rPr>
          <w:rFonts w:ascii="Times New Roman" w:hAnsi="Times New Roman"/>
          <w:b w:val="0"/>
          <w:color w:val="000000"/>
          <w:sz w:val="24"/>
        </w:rPr>
        <w:t>- Convergence rule (labelled assumption, fixed before launch): over windows of W = 5 evaluations, the relative change of the window mean is below 2% and the relative standard deviation is below 5%, on 3 consecutive evaluations. Then 100,000 confirmation steps, or a hard stop at 10:15 (UTC-5).</w:t>
      </w:r>
    </w:p>
    <w:p>
      <w:r>
        <w:rPr>
          <w:rFonts w:ascii="Times New Roman" w:hAnsi="Times New Roman"/>
          <w:b w:val="0"/>
          <w:color w:val="000000"/>
          <w:sz w:val="24"/>
        </w:rPr>
        <w:t>- Primary checkpoint: the best criterion value at or after convergence; the last checkpoint is kept as a sensitivity case. The primary comparator is the new run's own 60,000-step checkpoint, because the Week 3-5 models were trained before the Week 5 power-setpoint fix and evaluated after it.</w:t>
      </w:r>
    </w:p>
    <w:p>
      <w:r>
        <w:rPr>
          <w:rFonts w:ascii="Times New Roman" w:hAnsi="Times New Roman"/>
          <w:b w:val="0"/>
          <w:color w:val="000000"/>
          <w:sz w:val="24"/>
        </w:rPr>
        <w:t>- Implementation safeguards, each covered by a test:</w:t>
      </w:r>
    </w:p>
    <w:p>
      <w:r>
        <w:rPr>
          <w:rFonts w:ascii="Times New Roman" w:hAnsi="Times New Roman"/>
          <w:b w:val="0"/>
          <w:color w:val="000000"/>
          <w:sz w:val="24"/>
        </w:rPr>
        <w:t>-   the monitor restores the random generators EV2Gym reseeds, so it does not change training;</w:t>
      </w:r>
    </w:p>
    <w:p>
      <w:r>
        <w:rPr>
          <w:rFonts w:ascii="Times New Roman" w:hAnsi="Times New Roman"/>
          <w:b w:val="0"/>
          <w:color w:val="000000"/>
          <w:sz w:val="24"/>
        </w:rPr>
        <w:t>-   an output-identical cache of EV2Gym's price table raised throughput from 13.8 to 86 steps/s per seed;</w:t>
      </w:r>
    </w:p>
    <w:p>
      <w:r>
        <w:rPr>
          <w:rFonts w:ascii="Times New Roman" w:hAnsi="Times New Roman"/>
          <w:b w:val="0"/>
          <w:color w:val="000000"/>
          <w:sz w:val="24"/>
        </w:rPr>
        <w:t>-   a leakage guard redraws any training scenario that lands on an evaluation seed (0 hits in 21,354 episodes).</w:t>
      </w:r>
    </w:p>
    <w:p>
      <w:r>
        <w:rPr>
          <w:rFonts w:ascii="Times New Roman" w:hAnsi="Times New Roman"/>
          <w:b/>
          <w:color w:val="000000"/>
          <w:sz w:val="24"/>
        </w:rPr>
        <w:t>12.3. Convergence</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color w:val="000000"/>
                <w:sz w:val="24"/>
              </w:rPr>
              <w:t>Seed</w:t>
            </w:r>
          </w:p>
        </w:tc>
        <w:tc>
          <w:tcPr>
            <w:tcW w:type="dxa" w:w="1234"/>
          </w:tcPr>
          <w:p>
            <w:r>
              <w:rPr>
                <w:rFonts w:ascii="Times New Roman" w:hAnsi="Times New Roman"/>
                <w:b/>
                <w:color w:val="000000"/>
                <w:sz w:val="24"/>
              </w:rPr>
              <w:t>Converged at</w:t>
            </w:r>
          </w:p>
        </w:tc>
        <w:tc>
          <w:tcPr>
            <w:tcW w:type="dxa" w:w="1234"/>
          </w:tcPr>
          <w:p>
            <w:r>
              <w:rPr>
                <w:rFonts w:ascii="Times New Roman" w:hAnsi="Times New Roman"/>
                <w:b/>
                <w:color w:val="000000"/>
                <w:sz w:val="24"/>
              </w:rPr>
              <w:t>Stopped at</w:t>
            </w:r>
          </w:p>
        </w:tc>
        <w:tc>
          <w:tcPr>
            <w:tcW w:type="dxa" w:w="1234"/>
          </w:tcPr>
          <w:p>
            <w:r>
              <w:rPr>
                <w:rFonts w:ascii="Times New Roman" w:hAnsi="Times New Roman"/>
                <w:b/>
                <w:color w:val="000000"/>
                <w:sz w:val="24"/>
              </w:rPr>
              <w:t>Wall clock</w:t>
            </w:r>
          </w:p>
        </w:tc>
        <w:tc>
          <w:tcPr>
            <w:tcW w:type="dxa" w:w="1234"/>
          </w:tcPr>
          <w:p>
            <w:r>
              <w:rPr>
                <w:rFonts w:ascii="Times New Roman" w:hAnsi="Times New Roman"/>
                <w:b/>
                <w:color w:val="000000"/>
                <w:sz w:val="24"/>
              </w:rPr>
              <w:t>Validation TE at 60k</w:t>
            </w:r>
          </w:p>
        </w:tc>
        <w:tc>
          <w:tcPr>
            <w:tcW w:type="dxa" w:w="1234"/>
          </w:tcPr>
          <w:p>
            <w:r>
              <w:rPr>
                <w:rFonts w:ascii="Times New Roman" w:hAnsi="Times New Roman"/>
                <w:b/>
                <w:color w:val="000000"/>
                <w:sz w:val="24"/>
              </w:rPr>
              <w:t>Validation TE, last 5 evaluations</w:t>
            </w:r>
          </w:p>
        </w:tc>
        <w:tc>
          <w:tcPr>
            <w:tcW w:type="dxa" w:w="1234"/>
          </w:tcPr>
          <w:p>
            <w:r>
              <w:rPr>
                <w:rFonts w:ascii="Times New Roman" w:hAnsi="Times New Roman"/>
                <w:b/>
                <w:color w:val="000000"/>
                <w:sz w:val="24"/>
              </w:rPr>
              <w:t>Primary checkpoint</w:t>
            </w:r>
          </w:p>
        </w:tc>
      </w:tr>
      <w:tr>
        <w:tc>
          <w:tcPr>
            <w:tcW w:type="dxa" w:w="1234"/>
          </w:tcPr>
          <w:p>
            <w:r>
              <w:rPr>
                <w:rFonts w:ascii="Times New Roman" w:hAnsi="Times New Roman"/>
                <w:b w:val="0"/>
                <w:color w:val="000000"/>
                <w:sz w:val="24"/>
              </w:rPr>
              <w:t>100</w:t>
            </w:r>
          </w:p>
        </w:tc>
        <w:tc>
          <w:tcPr>
            <w:tcW w:type="dxa" w:w="1234"/>
          </w:tcPr>
          <w:p>
            <w:r>
              <w:rPr>
                <w:rFonts w:ascii="Times New Roman" w:hAnsi="Times New Roman"/>
                <w:b w:val="0"/>
                <w:color w:val="000000"/>
                <w:sz w:val="24"/>
              </w:rPr>
              <w:t>380,000</w:t>
            </w:r>
          </w:p>
        </w:tc>
        <w:tc>
          <w:tcPr>
            <w:tcW w:type="dxa" w:w="1234"/>
          </w:tcPr>
          <w:p>
            <w:r>
              <w:rPr>
                <w:rFonts w:ascii="Times New Roman" w:hAnsi="Times New Roman"/>
                <w:b w:val="0"/>
                <w:color w:val="000000"/>
                <w:sz w:val="24"/>
              </w:rPr>
              <w:t>480,000</w:t>
            </w:r>
          </w:p>
        </w:tc>
        <w:tc>
          <w:tcPr>
            <w:tcW w:type="dxa" w:w="1234"/>
          </w:tcPr>
          <w:p>
            <w:r>
              <w:rPr>
                <w:rFonts w:ascii="Times New Roman" w:hAnsi="Times New Roman"/>
                <w:b w:val="0"/>
                <w:color w:val="000000"/>
                <w:sz w:val="24"/>
              </w:rPr>
              <w:t>2.19 h</w:t>
            </w:r>
          </w:p>
        </w:tc>
        <w:tc>
          <w:tcPr>
            <w:tcW w:type="dxa" w:w="1234"/>
          </w:tcPr>
          <w:p>
            <w:r>
              <w:rPr>
                <w:rFonts w:ascii="Times New Roman" w:hAnsi="Times New Roman"/>
                <w:b w:val="0"/>
                <w:color w:val="000000"/>
                <w:sz w:val="24"/>
              </w:rPr>
              <w:t>33,070</w:t>
            </w:r>
          </w:p>
        </w:tc>
        <w:tc>
          <w:tcPr>
            <w:tcW w:type="dxa" w:w="1234"/>
          </w:tcPr>
          <w:p>
            <w:r>
              <w:rPr>
                <w:rFonts w:ascii="Times New Roman" w:hAnsi="Times New Roman"/>
                <w:b w:val="0"/>
                <w:color w:val="000000"/>
                <w:sz w:val="24"/>
              </w:rPr>
              <w:t>45,476 +/- 2,093</w:t>
            </w:r>
          </w:p>
        </w:tc>
        <w:tc>
          <w:tcPr>
            <w:tcW w:type="dxa" w:w="1234"/>
          </w:tcPr>
          <w:p>
            <w:r>
              <w:rPr>
                <w:rFonts w:ascii="Times New Roman" w:hAnsi="Times New Roman"/>
                <w:b w:val="0"/>
                <w:color w:val="000000"/>
                <w:sz w:val="24"/>
              </w:rPr>
              <w:t>400,000</w:t>
            </w:r>
          </w:p>
        </w:tc>
      </w:tr>
      <w:tr>
        <w:tc>
          <w:tcPr>
            <w:tcW w:type="dxa" w:w="1234"/>
          </w:tcPr>
          <w:p>
            <w:r>
              <w:rPr>
                <w:rFonts w:ascii="Times New Roman" w:hAnsi="Times New Roman"/>
                <w:b w:val="0"/>
                <w:color w:val="000000"/>
                <w:sz w:val="24"/>
              </w:rPr>
              <w:t>101</w:t>
            </w:r>
          </w:p>
        </w:tc>
        <w:tc>
          <w:tcPr>
            <w:tcW w:type="dxa" w:w="1234"/>
          </w:tcPr>
          <w:p>
            <w:r>
              <w:rPr>
                <w:rFonts w:ascii="Times New Roman" w:hAnsi="Times New Roman"/>
                <w:b w:val="0"/>
                <w:color w:val="000000"/>
                <w:sz w:val="24"/>
              </w:rPr>
              <w:t>560,000</w:t>
            </w:r>
          </w:p>
        </w:tc>
        <w:tc>
          <w:tcPr>
            <w:tcW w:type="dxa" w:w="1234"/>
          </w:tcPr>
          <w:p>
            <w:r>
              <w:rPr>
                <w:rFonts w:ascii="Times New Roman" w:hAnsi="Times New Roman"/>
                <w:b w:val="0"/>
                <w:color w:val="000000"/>
                <w:sz w:val="24"/>
              </w:rPr>
              <w:t>660,000</w:t>
            </w:r>
          </w:p>
        </w:tc>
        <w:tc>
          <w:tcPr>
            <w:tcW w:type="dxa" w:w="1234"/>
          </w:tcPr>
          <w:p>
            <w:r>
              <w:rPr>
                <w:rFonts w:ascii="Times New Roman" w:hAnsi="Times New Roman"/>
                <w:b w:val="0"/>
                <w:color w:val="000000"/>
                <w:sz w:val="24"/>
              </w:rPr>
              <w:t>2.88 h</w:t>
            </w:r>
          </w:p>
        </w:tc>
        <w:tc>
          <w:tcPr>
            <w:tcW w:type="dxa" w:w="1234"/>
          </w:tcPr>
          <w:p>
            <w:r>
              <w:rPr>
                <w:rFonts w:ascii="Times New Roman" w:hAnsi="Times New Roman"/>
                <w:b w:val="0"/>
                <w:color w:val="000000"/>
                <w:sz w:val="24"/>
              </w:rPr>
              <w:t>33,650</w:t>
            </w:r>
          </w:p>
        </w:tc>
        <w:tc>
          <w:tcPr>
            <w:tcW w:type="dxa" w:w="1234"/>
          </w:tcPr>
          <w:p>
            <w:r>
              <w:rPr>
                <w:rFonts w:ascii="Times New Roman" w:hAnsi="Times New Roman"/>
                <w:b w:val="0"/>
                <w:color w:val="000000"/>
                <w:sz w:val="24"/>
              </w:rPr>
              <w:t>47,569 +/- 1,109</w:t>
            </w:r>
          </w:p>
        </w:tc>
        <w:tc>
          <w:tcPr>
            <w:tcW w:type="dxa" w:w="1234"/>
          </w:tcPr>
          <w:p>
            <w:r>
              <w:rPr>
                <w:rFonts w:ascii="Times New Roman" w:hAnsi="Times New Roman"/>
                <w:b w:val="0"/>
                <w:color w:val="000000"/>
                <w:sz w:val="24"/>
              </w:rPr>
              <w:t>630,000</w:t>
            </w:r>
          </w:p>
        </w:tc>
      </w:tr>
      <w:tr>
        <w:tc>
          <w:tcPr>
            <w:tcW w:type="dxa" w:w="1234"/>
          </w:tcPr>
          <w:p>
            <w:r>
              <w:rPr>
                <w:rFonts w:ascii="Times New Roman" w:hAnsi="Times New Roman"/>
                <w:b w:val="0"/>
                <w:color w:val="000000"/>
                <w:sz w:val="24"/>
              </w:rPr>
              <w:t>102</w:t>
            </w:r>
          </w:p>
        </w:tc>
        <w:tc>
          <w:tcPr>
            <w:tcW w:type="dxa" w:w="1234"/>
          </w:tcPr>
          <w:p>
            <w:r>
              <w:rPr>
                <w:rFonts w:ascii="Times New Roman" w:hAnsi="Times New Roman"/>
                <w:b w:val="0"/>
                <w:color w:val="000000"/>
                <w:sz w:val="24"/>
              </w:rPr>
              <w:t>810,000</w:t>
            </w:r>
          </w:p>
        </w:tc>
        <w:tc>
          <w:tcPr>
            <w:tcW w:type="dxa" w:w="1234"/>
          </w:tcPr>
          <w:p>
            <w:r>
              <w:rPr>
                <w:rFonts w:ascii="Times New Roman" w:hAnsi="Times New Roman"/>
                <w:b w:val="0"/>
                <w:color w:val="000000"/>
                <w:sz w:val="24"/>
              </w:rPr>
              <w:t>910,000</w:t>
            </w:r>
          </w:p>
        </w:tc>
        <w:tc>
          <w:tcPr>
            <w:tcW w:type="dxa" w:w="1234"/>
          </w:tcPr>
          <w:p>
            <w:r>
              <w:rPr>
                <w:rFonts w:ascii="Times New Roman" w:hAnsi="Times New Roman"/>
                <w:b w:val="0"/>
                <w:color w:val="000000"/>
                <w:sz w:val="24"/>
              </w:rPr>
              <w:t>3.69 h</w:t>
            </w:r>
          </w:p>
        </w:tc>
        <w:tc>
          <w:tcPr>
            <w:tcW w:type="dxa" w:w="1234"/>
          </w:tcPr>
          <w:p>
            <w:r>
              <w:rPr>
                <w:rFonts w:ascii="Times New Roman" w:hAnsi="Times New Roman"/>
                <w:b w:val="0"/>
                <w:color w:val="000000"/>
                <w:sz w:val="24"/>
              </w:rPr>
              <w:t>30,798</w:t>
            </w:r>
          </w:p>
        </w:tc>
        <w:tc>
          <w:tcPr>
            <w:tcW w:type="dxa" w:w="1234"/>
          </w:tcPr>
          <w:p>
            <w:r>
              <w:rPr>
                <w:rFonts w:ascii="Times New Roman" w:hAnsi="Times New Roman"/>
                <w:b w:val="0"/>
                <w:color w:val="000000"/>
                <w:sz w:val="24"/>
              </w:rPr>
              <w:t>45,978 +/- 1,064</w:t>
            </w:r>
          </w:p>
        </w:tc>
        <w:tc>
          <w:tcPr>
            <w:tcW w:type="dxa" w:w="1234"/>
          </w:tcPr>
          <w:p>
            <w:r>
              <w:rPr>
                <w:rFonts w:ascii="Times New Roman" w:hAnsi="Times New Roman"/>
                <w:b w:val="0"/>
                <w:color w:val="000000"/>
                <w:sz w:val="24"/>
              </w:rPr>
              <w:t>850,000</w:t>
            </w:r>
          </w:p>
        </w:tc>
      </w:tr>
    </w:tbl>
    <w:p>
      <w:r>
        <w:rPr>
          <w:rFonts w:ascii="Times New Roman" w:hAnsi="Times New Roman"/>
          <w:b w:val="0"/>
          <w:color w:val="000000"/>
          <w:sz w:val="24"/>
        </w:rPr>
        <w:t>All three seeds met the convergence rule and stopped on their own well before the deadline. There were no crashes or resumes. The curves stabilised at a worse level than the policy had at 30k-70k steps, which is where every seed reached its best validation tracking error. The first 60,000 steps fall within the original run-to-run noise band. This is a comparison, not a reproduction: the setpoint generator and the thread count differ from the original runs.</w:t>
      </w:r>
    </w:p>
    <w:p>
      <w:r>
        <w:rPr>
          <w:rFonts w:ascii="Times New Roman" w:hAnsi="Times New Roman"/>
          <w:b/>
          <w:color w:val="000000"/>
          <w:sz w:val="24"/>
        </w:rPr>
        <w:t>12.4. Test-Grid Results (50 seeds x 2 day types, n_clusters = 50)</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color w:val="000000"/>
                <w:sz w:val="24"/>
              </w:rPr>
              <w:t>Checkpoint family (3-seed mean)</w:t>
            </w:r>
          </w:p>
        </w:tc>
        <w:tc>
          <w:tcPr>
            <w:tcW w:type="dxa" w:w="1728"/>
          </w:tcPr>
          <w:p>
            <w:r>
              <w:rPr>
                <w:rFonts w:ascii="Times New Roman" w:hAnsi="Times New Roman"/>
                <w:b/>
                <w:color w:val="000000"/>
                <w:sz w:val="24"/>
              </w:rPr>
              <w:t>Tracking error</w:t>
            </w:r>
          </w:p>
        </w:tc>
        <w:tc>
          <w:tcPr>
            <w:tcW w:type="dxa" w:w="1728"/>
          </w:tcPr>
          <w:p>
            <w:r>
              <w:rPr>
                <w:rFonts w:ascii="Times New Roman" w:hAnsi="Times New Roman"/>
                <w:b/>
                <w:color w:val="000000"/>
                <w:sz w:val="24"/>
              </w:rPr>
              <w:t>Overload (kWh)</w:t>
            </w:r>
          </w:p>
        </w:tc>
        <w:tc>
          <w:tcPr>
            <w:tcW w:type="dxa" w:w="1728"/>
          </w:tcPr>
          <w:p>
            <w:r>
              <w:rPr>
                <w:rFonts w:ascii="Times New Roman" w:hAnsi="Times New Roman"/>
                <w:b/>
                <w:color w:val="000000"/>
                <w:sz w:val="24"/>
              </w:rPr>
              <w:t>Avg. satisfaction</w:t>
            </w:r>
          </w:p>
        </w:tc>
        <w:tc>
          <w:tcPr>
            <w:tcW w:type="dxa" w:w="1728"/>
          </w:tcPr>
          <w:p>
            <w:r>
              <w:rPr>
                <w:rFonts w:ascii="Times New Roman" w:hAnsi="Times New Roman"/>
                <w:b/>
                <w:color w:val="000000"/>
                <w:sz w:val="24"/>
              </w:rPr>
              <w:t>ENS_rel range</w:t>
            </w:r>
          </w:p>
        </w:tc>
      </w:tr>
      <w:tr>
        <w:tc>
          <w:tcPr>
            <w:tcW w:type="dxa" w:w="1728"/>
          </w:tcPr>
          <w:p>
            <w:r>
              <w:rPr>
                <w:rFonts w:ascii="Times New Roman" w:hAnsi="Times New Roman"/>
                <w:b w:val="0"/>
                <w:color w:val="000000"/>
                <w:sz w:val="24"/>
              </w:rPr>
              <w:t>Original 60k (pre-fix, reference)</w:t>
            </w:r>
          </w:p>
        </w:tc>
        <w:tc>
          <w:tcPr>
            <w:tcW w:type="dxa" w:w="1728"/>
          </w:tcPr>
          <w:p>
            <w:r>
              <w:rPr>
                <w:rFonts w:ascii="Times New Roman" w:hAnsi="Times New Roman"/>
                <w:b w:val="0"/>
                <w:color w:val="000000"/>
                <w:sz w:val="24"/>
              </w:rPr>
              <w:t>33,447</w:t>
            </w:r>
          </w:p>
        </w:tc>
        <w:tc>
          <w:tcPr>
            <w:tcW w:type="dxa" w:w="1728"/>
          </w:tcPr>
          <w:p>
            <w:r>
              <w:rPr>
                <w:rFonts w:ascii="Times New Roman" w:hAnsi="Times New Roman"/>
                <w:b w:val="0"/>
                <w:color w:val="000000"/>
                <w:sz w:val="24"/>
              </w:rPr>
              <w:t>4.72</w:t>
            </w:r>
          </w:p>
        </w:tc>
        <w:tc>
          <w:tcPr>
            <w:tcW w:type="dxa" w:w="1728"/>
          </w:tcPr>
          <w:p>
            <w:r>
              <w:rPr>
                <w:rFonts w:ascii="Times New Roman" w:hAnsi="Times New Roman"/>
                <w:b w:val="0"/>
                <w:color w:val="000000"/>
                <w:sz w:val="24"/>
              </w:rPr>
              <w:t>98.13%</w:t>
            </w:r>
          </w:p>
        </w:tc>
        <w:tc>
          <w:tcPr>
            <w:tcW w:type="dxa" w:w="1728"/>
          </w:tcPr>
          <w:p>
            <w:r>
              <w:rPr>
                <w:rFonts w:ascii="Times New Roman" w:hAnsi="Times New Roman"/>
                <w:b w:val="0"/>
                <w:color w:val="000000"/>
                <w:sz w:val="24"/>
              </w:rPr>
              <w:t>8.56-9.98%</w:t>
            </w:r>
          </w:p>
        </w:tc>
      </w:tr>
      <w:tr>
        <w:tc>
          <w:tcPr>
            <w:tcW w:type="dxa" w:w="1728"/>
          </w:tcPr>
          <w:p>
            <w:r>
              <w:rPr>
                <w:rFonts w:ascii="Times New Roman" w:hAnsi="Times New Roman"/>
                <w:b w:val="0"/>
                <w:color w:val="000000"/>
                <w:sz w:val="24"/>
              </w:rPr>
              <w:t>New run 60k (primary comparator)</w:t>
            </w:r>
          </w:p>
        </w:tc>
        <w:tc>
          <w:tcPr>
            <w:tcW w:type="dxa" w:w="1728"/>
          </w:tcPr>
          <w:p>
            <w:r>
              <w:rPr>
                <w:rFonts w:ascii="Times New Roman" w:hAnsi="Times New Roman"/>
                <w:b w:val="0"/>
                <w:color w:val="000000"/>
                <w:sz w:val="24"/>
              </w:rPr>
              <w:t>32,509</w:t>
            </w:r>
          </w:p>
        </w:tc>
        <w:tc>
          <w:tcPr>
            <w:tcW w:type="dxa" w:w="1728"/>
          </w:tcPr>
          <w:p>
            <w:r>
              <w:rPr>
                <w:rFonts w:ascii="Times New Roman" w:hAnsi="Times New Roman"/>
                <w:b w:val="0"/>
                <w:color w:val="000000"/>
                <w:sz w:val="24"/>
              </w:rPr>
              <w:t>6.08</w:t>
            </w:r>
          </w:p>
        </w:tc>
        <w:tc>
          <w:tcPr>
            <w:tcW w:type="dxa" w:w="1728"/>
          </w:tcPr>
          <w:p>
            <w:r>
              <w:rPr>
                <w:rFonts w:ascii="Times New Roman" w:hAnsi="Times New Roman"/>
                <w:b w:val="0"/>
                <w:color w:val="000000"/>
                <w:sz w:val="24"/>
              </w:rPr>
              <w:t>97.82%</w:t>
            </w:r>
          </w:p>
        </w:tc>
        <w:tc>
          <w:tcPr>
            <w:tcW w:type="dxa" w:w="1728"/>
          </w:tcPr>
          <w:p>
            <w:r>
              <w:rPr>
                <w:rFonts w:ascii="Times New Roman" w:hAnsi="Times New Roman"/>
                <w:b w:val="0"/>
                <w:color w:val="000000"/>
                <w:sz w:val="24"/>
              </w:rPr>
              <w:t>3.91-20.04%</w:t>
            </w:r>
          </w:p>
        </w:tc>
      </w:tr>
      <w:tr>
        <w:tc>
          <w:tcPr>
            <w:tcW w:type="dxa" w:w="1728"/>
          </w:tcPr>
          <w:p>
            <w:r>
              <w:rPr>
                <w:rFonts w:ascii="Times New Roman" w:hAnsi="Times New Roman"/>
                <w:b w:val="0"/>
                <w:color w:val="000000"/>
                <w:sz w:val="24"/>
              </w:rPr>
              <w:t>Extended, primary checkpoint</w:t>
            </w:r>
          </w:p>
        </w:tc>
        <w:tc>
          <w:tcPr>
            <w:tcW w:type="dxa" w:w="1728"/>
          </w:tcPr>
          <w:p>
            <w:r>
              <w:rPr>
                <w:rFonts w:ascii="Times New Roman" w:hAnsi="Times New Roman"/>
                <w:b w:val="0"/>
                <w:color w:val="000000"/>
                <w:sz w:val="24"/>
              </w:rPr>
              <w:t>43,211</w:t>
            </w:r>
          </w:p>
        </w:tc>
        <w:tc>
          <w:tcPr>
            <w:tcW w:type="dxa" w:w="1728"/>
          </w:tcPr>
          <w:p>
            <w:r>
              <w:rPr>
                <w:rFonts w:ascii="Times New Roman" w:hAnsi="Times New Roman"/>
                <w:b w:val="0"/>
                <w:color w:val="000000"/>
                <w:sz w:val="24"/>
              </w:rPr>
              <w:t>6.82</w:t>
            </w:r>
          </w:p>
        </w:tc>
        <w:tc>
          <w:tcPr>
            <w:tcW w:type="dxa" w:w="1728"/>
          </w:tcPr>
          <w:p>
            <w:r>
              <w:rPr>
                <w:rFonts w:ascii="Times New Roman" w:hAnsi="Times New Roman"/>
                <w:b w:val="0"/>
                <w:color w:val="000000"/>
                <w:sz w:val="24"/>
              </w:rPr>
              <w:t>99.64%</w:t>
            </w:r>
          </w:p>
        </w:tc>
        <w:tc>
          <w:tcPr>
            <w:tcW w:type="dxa" w:w="1728"/>
          </w:tcPr>
          <w:p>
            <w:r>
              <w:rPr>
                <w:rFonts w:ascii="Times New Roman" w:hAnsi="Times New Roman"/>
                <w:b w:val="0"/>
                <w:color w:val="000000"/>
                <w:sz w:val="24"/>
              </w:rPr>
              <w:t>1.61-2.20%</w:t>
            </w:r>
          </w:p>
        </w:tc>
      </w:tr>
      <w:tr>
        <w:tc>
          <w:tcPr>
            <w:tcW w:type="dxa" w:w="1728"/>
          </w:tcPr>
          <w:p>
            <w:r>
              <w:rPr>
                <w:rFonts w:ascii="Times New Roman" w:hAnsi="Times New Roman"/>
                <w:b w:val="0"/>
                <w:color w:val="000000"/>
                <w:sz w:val="24"/>
              </w:rPr>
              <w:t>Extended, last checkpoint</w:t>
            </w:r>
          </w:p>
        </w:tc>
        <w:tc>
          <w:tcPr>
            <w:tcW w:type="dxa" w:w="1728"/>
          </w:tcPr>
          <w:p>
            <w:r>
              <w:rPr>
                <w:rFonts w:ascii="Times New Roman" w:hAnsi="Times New Roman"/>
                <w:b w:val="0"/>
                <w:color w:val="000000"/>
                <w:sz w:val="24"/>
              </w:rPr>
              <w:t>46,243</w:t>
            </w:r>
          </w:p>
        </w:tc>
        <w:tc>
          <w:tcPr>
            <w:tcW w:type="dxa" w:w="1728"/>
          </w:tcPr>
          <w:p>
            <w:r>
              <w:rPr>
                <w:rFonts w:ascii="Times New Roman" w:hAnsi="Times New Roman"/>
                <w:b w:val="0"/>
                <w:color w:val="000000"/>
                <w:sz w:val="24"/>
              </w:rPr>
              <w:t>7.95</w:t>
            </w:r>
          </w:p>
        </w:tc>
        <w:tc>
          <w:tcPr>
            <w:tcW w:type="dxa" w:w="1728"/>
          </w:tcPr>
          <w:p>
            <w:r>
              <w:rPr>
                <w:rFonts w:ascii="Times New Roman" w:hAnsi="Times New Roman"/>
                <w:b w:val="0"/>
                <w:color w:val="000000"/>
                <w:sz w:val="24"/>
              </w:rPr>
              <w:t>99.81%</w:t>
            </w:r>
          </w:p>
        </w:tc>
        <w:tc>
          <w:tcPr>
            <w:tcW w:type="dxa" w:w="1728"/>
          </w:tcPr>
          <w:p>
            <w:r>
              <w:rPr>
                <w:rFonts w:ascii="Times New Roman" w:hAnsi="Times New Roman"/>
                <w:b w:val="0"/>
                <w:color w:val="000000"/>
                <w:sz w:val="24"/>
              </w:rPr>
              <w:t>0.92-1.70%</w:t>
            </w:r>
          </w:p>
        </w:tc>
      </w:tr>
      <w:tr>
        <w:tc>
          <w:tcPr>
            <w:tcW w:type="dxa" w:w="1728"/>
          </w:tcPr>
          <w:p>
            <w:r>
              <w:rPr>
                <w:rFonts w:ascii="Times New Roman" w:hAnsi="Times New Roman"/>
                <w:b w:val="0"/>
                <w:color w:val="000000"/>
                <w:sz w:val="24"/>
              </w:rPr>
              <w:t>Round Robin</w:t>
            </w:r>
          </w:p>
        </w:tc>
        <w:tc>
          <w:tcPr>
            <w:tcW w:type="dxa" w:w="1728"/>
          </w:tcPr>
          <w:p>
            <w:r>
              <w:rPr>
                <w:rFonts w:ascii="Times New Roman" w:hAnsi="Times New Roman"/>
                <w:b w:val="0"/>
                <w:color w:val="000000"/>
                <w:sz w:val="24"/>
              </w:rPr>
              <w:t>13,581</w:t>
            </w:r>
          </w:p>
        </w:tc>
        <w:tc>
          <w:tcPr>
            <w:tcW w:type="dxa" w:w="1728"/>
          </w:tcPr>
          <w:p>
            <w:r>
              <w:rPr>
                <w:rFonts w:ascii="Times New Roman" w:hAnsi="Times New Roman"/>
                <w:b w:val="0"/>
                <w:color w:val="000000"/>
                <w:sz w:val="24"/>
              </w:rPr>
              <w:t>0.00</w:t>
            </w:r>
          </w:p>
        </w:tc>
        <w:tc>
          <w:tcPr>
            <w:tcW w:type="dxa" w:w="1728"/>
          </w:tcPr>
          <w:p>
            <w:r>
              <w:rPr>
                <w:rFonts w:ascii="Times New Roman" w:hAnsi="Times New Roman"/>
                <w:b w:val="0"/>
                <w:color w:val="000000"/>
                <w:sz w:val="24"/>
              </w:rPr>
              <w:t>99.91%</w:t>
            </w:r>
          </w:p>
        </w:tc>
        <w:tc>
          <w:tcPr>
            <w:tcW w:type="dxa" w:w="1728"/>
          </w:tcPr>
          <w:p>
            <w:r>
              <w:rPr>
                <w:rFonts w:ascii="Times New Roman" w:hAnsi="Times New Roman"/>
                <w:b w:val="0"/>
                <w:color w:val="000000"/>
                <w:sz w:val="24"/>
              </w:rPr>
              <w:t>0.47%</w:t>
            </w:r>
          </w:p>
        </w:tc>
      </w:tr>
    </w:tbl>
    <w:p>
      <w:r>
        <w:rPr>
          <w:rFonts w:ascii="Times New Roman" w:hAnsi="Times New Roman"/>
          <w:b w:val="0"/>
          <w:color w:val="000000"/>
          <w:sz w:val="24"/>
        </w:rPr>
        <w:t>Extended primary vs. new-run 60k (paired cluster bootstrap, 95% CI):</w:t>
      </w:r>
    </w:p>
    <w:p>
      <w:r>
        <w:rPr>
          <w:rFonts w:ascii="Times New Roman" w:hAnsi="Times New Roman"/>
          <w:b w:val="0"/>
          <w:color w:val="000000"/>
          <w:sz w:val="24"/>
        </w:rPr>
        <w:t>- tracking error +10,701 [+9,042, +12,472];</w:t>
      </w:r>
    </w:p>
    <w:p>
      <w:r>
        <w:rPr>
          <w:rFonts w:ascii="Times New Roman" w:hAnsi="Times New Roman"/>
          <w:b w:val="0"/>
          <w:color w:val="000000"/>
          <w:sz w:val="24"/>
        </w:rPr>
        <w:t>- overload +0.74 kWh [-1.98, +3.40];</w:t>
      </w:r>
    </w:p>
    <w:p>
      <w:r>
        <w:rPr>
          <w:rFonts w:ascii="Times New Roman" w:hAnsi="Times New Roman"/>
          <w:b w:val="0"/>
          <w:color w:val="000000"/>
          <w:sz w:val="24"/>
        </w:rPr>
        <w:t>- average satisfaction +0.018 [+0.016, +0.021].</w:t>
      </w:r>
    </w:p>
    <w:p>
      <w:r>
        <w:rPr>
          <w:rFonts w:ascii="Times New Roman" w:hAnsi="Times New Roman"/>
          <w:b w:val="0"/>
          <w:color w:val="000000"/>
          <w:sz w:val="24"/>
        </w:rPr>
        <w:t>Extended primary vs. Round Robin: tracking error +29,629, overload +6.82 kWh, satisfaction -0.0027, with every CI excluding zero. One new-run 60k checkpoint (seed 101) fails the &lt;15% energy-not-served target (20.04%, CI upper bound 22.85%). Across training seeds, the spread of tracking error went from 8.3% to 7.3% and the spread of overload from 30.8% to 82.9%.</w:t>
      </w:r>
    </w:p>
    <w:p>
      <w:r>
        <w:rPr>
          <w:rFonts w:ascii="Times New Roman" w:hAnsi="Times New Roman"/>
          <w:b/>
          <w:color w:val="000000"/>
          <w:sz w:val="24"/>
        </w:rPr>
        <w:t>12.5. Verdict</w:t>
      </w:r>
    </w:p>
    <w:p>
      <w:r>
        <w:rPr>
          <w:rFonts w:ascii="Times New Roman" w:hAnsi="Times New Roman"/>
          <w:b w:val="0"/>
          <w:color w:val="000000"/>
          <w:sz w:val="24"/>
        </w:rPr>
        <w:t>- Extended training did not improve the selection criterion. Test tracking error is worse than the same seed's new-run 60k checkpoint for all three seeds: +13,241 / +10,243 / +8,620, every 95% cluster-bootstrap CI excluding zero, n_clusters = 50. The convergence rule detected a plateau, not an improvement.</w:t>
      </w:r>
    </w:p>
    <w:p>
      <w:r>
        <w:rPr>
          <w:rFonts w:ascii="Times New Roman" w:hAnsi="Times New Roman"/>
          <w:b w:val="0"/>
          <w:color w:val="000000"/>
          <w:sz w:val="24"/>
        </w:rPr>
        <w:t>- User outcomes improved and their across-seed spread shrank. Average satisfaction +0.018 [+0.016, +0.021]. ENS_rel fell from 3.9-20.0% to 1.6-2.2%, with its range across seeds going from 16.1 to 0.6 pp. Overload did not change significantly (+0.74 kWh [-1.98, +3.40]).</w:t>
      </w:r>
    </w:p>
    <w:p>
      <w:r>
        <w:rPr>
          <w:rFonts w:ascii="Times New Roman" w:hAnsi="Times New Roman"/>
          <w:b w:val="0"/>
          <w:color w:val="000000"/>
          <w:sz w:val="24"/>
        </w:rPr>
        <w:t>- Interpretation, verified against the data: the extended policies deliver more energy (+18.6 kWh/day [+15.9, +21.2]) and achieve a BETTER total training reward (+3,997 [+2,340, +5,790]). Extended training optimised its own reward better, and that reward values satisfaction over setpoint tracking. The proposed wording 'rather than reaching a better reward' was not supported by the data and was dropped.</w:t>
      </w:r>
    </w:p>
    <w:p>
      <w:r>
        <w:rPr>
          <w:rFonts w:ascii="Times New Roman" w:hAnsi="Times New Roman"/>
          <w:b w:val="0"/>
          <w:color w:val="000000"/>
          <w:sz w:val="24"/>
        </w:rPr>
        <w:t>- Round Robin has lower tracking error and overload than every implementable arm (all CIs exclude zero). The gap is not a budget artefact for the one arm that was extended (about 14x its original budget). The Round Robin recommendation stands.</w:t>
      </w:r>
    </w:p>
    <w:p>
      <w:r>
        <w:rPr>
          <w:rFonts w:ascii="Times New Roman" w:hAnsi="Times New Roman"/>
          <w:b/>
          <w:color w:val="000000"/>
          <w:sz w:val="24"/>
        </w:rPr>
        <w:t>12.6. Final RL Model (Author's Decision)</w:t>
      </w:r>
    </w:p>
    <w:p>
      <w:r>
        <w:rPr>
          <w:rFonts w:ascii="Times New Roman" w:hAnsi="Times New Roman"/>
          <w:b w:val="0"/>
          <w:color w:val="000000"/>
          <w:sz w:val="24"/>
        </w:rPr>
        <w:t>The single RL model for the rest of the thesis is TD3_vanilla extended, training seed 102, primary checkpoint at 850,000 steps (validation tracking error 40,378, against 42,531 for seed 100 and 46,554 for seed 101). It is kept for four reasons: the advisor's request for one stabilised model; the lowest overload of all 15 TD3 checkpoints (3.58 kWh/day); its ENS_rel of 2.20% and average satisfaction of 99.59%; and being the longest-trained seed. Its worse tracking than its own 60k checkpoint (41,195 against 32,575, +8,620 [+6,877, +10,419]) is declared as the accepted trade-off.</w:t>
      </w:r>
    </w:p>
    <w:p>
      <w:r>
        <w:rPr>
          <w:rFonts w:ascii="Times New Roman" w:hAnsi="Times New Roman"/>
          <w:b/>
          <w:color w:val="000000"/>
          <w:sz w:val="24"/>
        </w:rPr>
        <w:t>12.7. Limitations</w:t>
      </w:r>
    </w:p>
    <w:p>
      <w:r>
        <w:rPr>
          <w:rFonts w:ascii="Times New Roman" w:hAnsi="Times New Roman"/>
          <w:b w:val="0"/>
          <w:color w:val="000000"/>
          <w:sz w:val="24"/>
        </w:rPr>
        <w:t>- The Week 3-5 RL models were trained before the power-setpoint fix and evaluated after it. The new-run 60k checkpoints are statistically indistinguishable from them on tracking error (-937, CI [-2,125, +236]).</w:t>
      </w:r>
    </w:p>
    <w:p>
      <w:r>
        <w:rPr>
          <w:rFonts w:ascii="Times New Roman" w:hAnsi="Times New Roman"/>
          <w:b w:val="0"/>
          <w:color w:val="000000"/>
          <w:sz w:val="24"/>
        </w:rPr>
        <w:t>- Training ran on a laptop CPU for 2.2-3.7 h per seed (480k-910k steps). The reference papers trained for 5-48 h on HPC, so no equivalence is claimed.</w:t>
      </w:r>
    </w:p>
    <w:p>
      <w:r>
        <w:rPr>
          <w:rFonts w:ascii="Times New Roman" w:hAnsi="Times New Roman"/>
          <w:b w:val="0"/>
          <w:color w:val="000000"/>
          <w:sz w:val="24"/>
        </w:rPr>
        <w:t>- Convergence means the validation criterion stopped changing, not that the policy improved. The thresholds are empirically set.</w:t>
      </w:r>
    </w:p>
    <w:p>
      <w:r>
        <w:rPr>
          <w:rFonts w:ascii="Times New Roman" w:hAnsi="Times New Roman"/>
          <w:b/>
          <w:color w:val="000000"/>
          <w:sz w:val="24"/>
        </w:rPr>
        <w:t>13. Week 7 -- Objective 4: Infrastructure Guidelines on the Grid-Enabled Model</w:t>
      </w:r>
    </w:p>
    <w:p>
      <w:r>
        <w:rPr>
          <w:rFonts w:ascii="Times New Roman" w:hAnsi="Times New Roman"/>
          <w:b/>
          <w:color w:val="000000"/>
          <w:sz w:val="24"/>
        </w:rPr>
        <w:t>13.1. Objective and Model</w:t>
      </w:r>
    </w:p>
    <w:p>
      <w:r>
        <w:rPr>
          <w:rFonts w:ascii="Times New Roman" w:hAnsi="Times New Roman"/>
          <w:b w:val="0"/>
          <w:color w:val="000000"/>
          <w:sz w:val="24"/>
        </w:rPr>
        <w:t>The reference station (8 ports, 100 kW transformer) was placed on bus 27, the electrically farthest bus, of EV2Gym's 34-node feeder (RL-ADN network, not validated against the IEEE data). Five arms were run on five growth settings, 50 scenario seeds x 2 day types each: AFAP, Round Robin, MPC_TrackingG2V, the final RL model (TD3 extended, seed 102) and the tracking oracle. Axis 1 raises the station demand (spawn multiplier 1.0/1.3/1.6x); Axis 2 raises the feeder's background load (1.0/1.3/1.6). Statistics use the paired cluster bootstrap over scenario seeds (n_clusters = 50).</w:t>
      </w:r>
    </w:p>
    <w:p>
      <w:r>
        <w:rPr>
          <w:rFonts w:ascii="Times New Roman" w:hAnsi="Times New Roman"/>
          <w:b/>
          <w:color w:val="000000"/>
          <w:sz w:val="24"/>
        </w:rPr>
        <w:t>13.2. Validation of the Grid-Enabled Model</w:t>
      </w:r>
    </w:p>
    <w:p>
      <w:r>
        <w:rPr>
          <w:rFonts w:ascii="Times New Roman" w:hAnsi="Times New Roman"/>
          <w:b w:val="0"/>
          <w:color w:val="000000"/>
          <w:sz w:val="24"/>
        </w:rPr>
        <w:t>At the base setting, every grid row equals the non-grid row of the same arm, seed and day on every station metric (maximum absolute difference 0 over 500 cells and 5 arms). The grid adds voltage and changes nothing else. The final RL model sees bit-identical observations under the grid. EV2Gym has no key to place a station on a bus; a wrapper outside the library was needed, because otherwise the 8 stations would be spread over 8 buses with 800 kW of transformers.</w:t>
      </w:r>
    </w:p>
    <w:p>
      <w:r>
        <w:rPr>
          <w:rFonts w:ascii="Times New Roman" w:hAnsi="Times New Roman"/>
          <w:b w:val="0"/>
          <w:color w:val="000000"/>
          <w:sz w:val="24"/>
        </w:rPr>
        <w:t>Voltage band: EV2Gym measures 0.95-1.05 p.u. (+/-5%). The metric first trips at load multiplier 0.8. At the nominal load, the feeder is already outside the band at bus 27 with the station idle, so voltage is reported only as the station's increment over the idle station of the same cell. No absolute RETIE compliance claim is made.</w:t>
      </w:r>
    </w:p>
    <w:p>
      <w:r>
        <w:rPr>
          <w:rFonts w:ascii="Times New Roman" w:hAnsi="Times New Roman"/>
          <w:b/>
          <w:color w:val="000000"/>
          <w:sz w:val="24"/>
        </w:rPr>
        <w:t>13.3. Results by Guideline</w:t>
      </w:r>
    </w:p>
    <w:p>
      <w:r>
        <w:rPr>
          <w:rFonts w:ascii="Times New Roman" w:hAnsi="Times New Roman"/>
          <w:b w:val="0"/>
          <w:color w:val="000000"/>
          <w:sz w:val="24"/>
        </w:rPr>
        <w:t>- base: Round Robin satisfaction 99.91% [99.85, 99.96], overload 0.00 kWh/day; AFAP overloads in 28/50 seeds, 95th-percentile peak 172.7 kW (next standard size 225 kVA); final RL tracking error 41,195 vs Round Robin 13,581; station-attributable out-of-band samples: AFAP 3.51 [2.92, 4.11], Round Robin 2.71 [2.23, 3.24]; feeder out of band with the station idle in 78/100 cells; Round Robin concedes 552 COP/day vs AFAP [274, 874].</w:t>
      </w:r>
    </w:p>
    <w:p>
      <w:r>
        <w:rPr>
          <w:rFonts w:ascii="Times New Roman" w:hAnsi="Times New Roman"/>
          <w:b w:val="0"/>
          <w:color w:val="000000"/>
          <w:sz w:val="24"/>
        </w:rPr>
        <w:t>- spawn1.3: Round Robin satisfaction 99.89% [99.83, 99.94], overload 0.00 kWh/day; AFAP overloads in 42/50 seeds, 95th-percentile peak 191.9 kW (next standard size 225 kVA); final RL tracking error 48,531 vs Round Robin 16,179; station-attributable out-of-band samples: AFAP 4.23 [3.47, 5.00], Round Robin 4.01 [3.43, 4.59]; feeder out of band with the station idle in 84/100 cells; Round Robin concedes 800 COP/day vs AFAP [472, 1,176].</w:t>
      </w:r>
    </w:p>
    <w:p>
      <w:r>
        <w:rPr>
          <w:rFonts w:ascii="Times New Roman" w:hAnsi="Times New Roman"/>
          <w:b w:val="0"/>
          <w:color w:val="000000"/>
          <w:sz w:val="24"/>
        </w:rPr>
        <w:t>- spawn1.6: Round Robin satisfaction 99.93% [99.88, 99.97], overload 0.00 kWh/day; AFAP overloads in 39/50 seeds, 95th-percentile peak 189.1 kW (next standard size 225 kVA); final RL tracking error 51,690 vs Round Robin 18,250; station-attributable out-of-band samples: AFAP 4.26 [3.56, 5.02], Round Robin 4.08 [3.46, 4.71]; feeder out of band with the station idle in 86/100 cells; Round Robin concedes 556 COP/day vs AFAP [261, 921].</w:t>
      </w:r>
    </w:p>
    <w:p>
      <w:r>
        <w:rPr>
          <w:rFonts w:ascii="Times New Roman" w:hAnsi="Times New Roman"/>
          <w:b w:val="0"/>
          <w:color w:val="000000"/>
          <w:sz w:val="24"/>
        </w:rPr>
        <w:t>- load1.3: Round Robin satisfaction 99.91% [99.85, 99.96], overload 0.00 kWh/day; AFAP overloads in 28/50 seeds, 95th-percentile peak 172.7 kW (next standard size 225 kVA); final RL tracking error 41,195 vs Round Robin 13,581; station-attributable out-of-band samples: AFAP 4.33 [3.78, 4.92], Round Robin 4.19 [3.65, 4.74]; feeder out of band with the station idle in 100/100 cells; Round Robin concedes 552 COP/day vs AFAP [274, 874].</w:t>
      </w:r>
    </w:p>
    <w:p>
      <w:r>
        <w:rPr>
          <w:rFonts w:ascii="Times New Roman" w:hAnsi="Times New Roman"/>
          <w:b w:val="0"/>
          <w:color w:val="000000"/>
          <w:sz w:val="24"/>
        </w:rPr>
        <w:t>- load1.6: Round Robin satisfaction 99.91% [99.85, 99.96], overload 0.00 kWh/day; AFAP overloads in 28/50 seeds, 95th-percentile peak 172.7 kW (next standard size 225 kVA); final RL tracking error 41,195 vs Round Robin 13,581; station-attributable out-of-band samples: AFAP 4.20 [3.64, 4.81], Round Robin 4.09 [3.55, 4.66]; feeder out of band with the station idle in 100/100 cells; Round Robin concedes 552 COP/day vs AFAP [274, 874].</w:t>
      </w:r>
    </w:p>
    <w:p>
      <w:r>
        <w:rPr>
          <w:rFonts w:ascii="Times New Roman" w:hAnsi="Times New Roman"/>
          <w:b/>
          <w:color w:val="000000"/>
          <w:sz w:val="24"/>
        </w:rPr>
        <w:t>13.4. Target Compliance</w:t>
      </w:r>
    </w:p>
    <w:p>
      <w:r>
        <w:rPr>
          <w:rFonts w:ascii="Times New Roman" w:hAnsi="Times New Roman"/>
          <w:b w:val="0"/>
          <w:color w:val="000000"/>
          <w:sz w:val="24"/>
        </w:rPr>
        <w:t>- base: ChargeAsFastAsPossible: sat Y, ENS Y, voltage-increment 74/100 cells; RoundRobin: sat Y, ENS Y, voltage-increment 70/100 cells; MPC_TrackingG2V: sat Y, ENS Y, voltage-increment 73/100 cells; TD3_vanilla_extended_ts102: sat Y, ENS Y, voltage-increment 73/100 cells; Optimal_Oracle_Tracking: sat Y, ENS Y, voltage-increment 70/100 cells.</w:t>
      </w:r>
    </w:p>
    <w:p>
      <w:r>
        <w:rPr>
          <w:rFonts w:ascii="Times New Roman" w:hAnsi="Times New Roman"/>
          <w:b w:val="0"/>
          <w:color w:val="000000"/>
          <w:sz w:val="24"/>
        </w:rPr>
        <w:t>- spawn1.3: ChargeAsFastAsPossible: sat Y, ENS Y, voltage-increment 81/100 cells; RoundRobin: sat Y, ENS Y, voltage-increment 85/100 cells; MPC_TrackingG2V: sat Y, ENS Y, voltage-increment 86/100 cells; TD3_vanilla_extended_ts102: sat Y, ENS Y, voltage-increment 82/100 cells; Optimal_Oracle_Tracking: sat Y, ENS Y, voltage-increment 85/100 cells.</w:t>
      </w:r>
    </w:p>
    <w:p>
      <w:r>
        <w:rPr>
          <w:rFonts w:ascii="Times New Roman" w:hAnsi="Times New Roman"/>
          <w:b w:val="0"/>
          <w:color w:val="000000"/>
          <w:sz w:val="24"/>
        </w:rPr>
        <w:t>- spawn1.6: ChargeAsFastAsPossible: sat Y, ENS Y, voltage-increment 79/100 cells; RoundRobin: sat Y, ENS Y, voltage-increment 85/100 cells; MPC_TrackingG2V: sat Y, ENS Y, voltage-increment 88/100 cells; TD3_vanilla_extended_ts102: sat Y, ENS Y, voltage-increment 83/100 cells; Optimal_Oracle_Tracking: sat Y, ENS Y, voltage-increment 87/100 cells.</w:t>
      </w:r>
    </w:p>
    <w:p>
      <w:r>
        <w:rPr>
          <w:rFonts w:ascii="Times New Roman" w:hAnsi="Times New Roman"/>
          <w:b w:val="0"/>
          <w:color w:val="000000"/>
          <w:sz w:val="24"/>
        </w:rPr>
        <w:t>- load1.3: ChargeAsFastAsPossible: sat Y, ENS Y, voltage-increment 93/100 cells; RoundRobin: sat Y, ENS Y, voltage-increment 89/100 cells; MPC_TrackingG2V: sat Y, ENS Y, voltage-increment 92/100 cells; TD3_vanilla_extended_ts102: sat Y, ENS Y, voltage-increment 92/100 cells; Optimal_Oracle_Tracking: sat Y, ENS Y, voltage-increment 93/100 cells.</w:t>
      </w:r>
    </w:p>
    <w:p>
      <w:r>
        <w:rPr>
          <w:rFonts w:ascii="Times New Roman" w:hAnsi="Times New Roman"/>
          <w:b w:val="0"/>
          <w:color w:val="000000"/>
          <w:sz w:val="24"/>
        </w:rPr>
        <w:t>- load1.6: ChargeAsFastAsPossible: sat Y, ENS Y, voltage-increment 94/100 cells; RoundRobin: sat Y, ENS Y, voltage-increment 91/100 cells; MPC_TrackingG2V: sat Y, ENS Y, voltage-increment 92/100 cells; TD3_vanilla_extended_ts102: sat Y, ENS Y, voltage-increment 92/100 cells; Optimal_Oracle_Tracking: sat Y, ENS Y, voltage-increment 94/100 cells.</w:t>
      </w:r>
    </w:p>
    <w:p>
      <w:r>
        <w:rPr>
          <w:rFonts w:ascii="Times New Roman" w:hAnsi="Times New Roman"/>
          <w:b w:val="0"/>
          <w:color w:val="000000"/>
          <w:sz w:val="24"/>
        </w:rPr>
        <w:t>Full argument, tables and figures (f15-f17): thesis_docs/chapters/06_infrastructure.md.</w:t>
      </w:r>
    </w:p>
    <w:p>
      <w:r>
        <w:rPr>
          <w:rFonts w:ascii="Times New Roman" w:hAnsi="Times New Roman"/>
          <w:b/>
          <w:color w:val="000000"/>
          <w:sz w:val="24"/>
        </w:rPr>
        <w:t>14. Week 7 -- Objective 5: Replicability in Medellin</w:t>
      </w:r>
    </w:p>
    <w:p>
      <w:r>
        <w:rPr>
          <w:rFonts w:ascii="Times New Roman" w:hAnsi="Times New Roman"/>
          <w:b/>
          <w:color w:val="000000"/>
          <w:sz w:val="24"/>
        </w:rPr>
        <w:t>14.1. City, Data and Invariants</w:t>
      </w:r>
    </w:p>
    <w:p>
      <w:r>
        <w:rPr>
          <w:rFonts w:ascii="Times New Roman" w:hAnsi="Times New Roman"/>
          <w:b w:val="0"/>
          <w:color w:val="000000"/>
          <w:sz w:val="24"/>
        </w:rPr>
        <w:t>Medellin (EPM). Source: EPM regulated-market tariff sheet, September 2026, accessed 2026-10-05. Nivel II commercial with contribution: Punta 923.92 and Fuera de Punta 917.58 COP/kWh. Without contribution: 769.94 / 764.65. Both Week 5 invariants hold (component sum; 1.20x contribution). EPM publishes no EV charging price, so Bogota's 1,450 COP/kWh is used only as a labelled sensitivity. The intraday spread is 0.69%, against 1.57% in Bogota.</w:t>
      </w:r>
    </w:p>
    <w:p>
      <w:r>
        <w:rPr>
          <w:rFonts w:ascii="Times New Roman" w:hAnsi="Times New Roman"/>
          <w:b/>
          <w:color w:val="000000"/>
          <w:sz w:val="24"/>
        </w:rPr>
        <w:t>14.2. Tariff Transfer</w:t>
      </w:r>
    </w:p>
    <w:p>
      <w:r>
        <w:rPr>
          <w:rFonts w:ascii="Times New Roman" w:hAnsi="Times New Roman"/>
          <w:b w:val="0"/>
          <w:color w:val="000000"/>
          <w:sz w:val="24"/>
        </w:rPr>
        <w:t>Round Robin's cost of respecting the 100 kW limit (margin conceded vs AFAP, non-grid rows): Bogota 551.9 COP/day [274.3, 874.2], Medellin 497.0 COP/day [247.0, 787.2], n_clusters = 50. The ranking of the arms by margin equals their ranking by energy in all 8 price scenarios and all 6 datasets: True.</w:t>
      </w:r>
    </w:p>
    <w:p>
      <w:r>
        <w:rPr>
          <w:rFonts w:ascii="Times New Roman" w:hAnsi="Times New Roman"/>
          <w:b/>
          <w:color w:val="000000"/>
          <w:sz w:val="24"/>
        </w:rPr>
        <w:t>14.3. What Transfers</w:t>
      </w:r>
    </w:p>
    <w:p>
      <w:r>
        <w:rPr>
          <w:rFonts w:ascii="Times New Roman" w:hAnsi="Times New Roman"/>
          <w:b w:val="0"/>
          <w:color w:val="000000"/>
          <w:sz w:val="24"/>
        </w:rPr>
        <w:t>- Transfers fully: the strategy ranking and recommendation (tariff-invariant under a flat price) and the relative cost of the transformer limit.</w:t>
      </w:r>
    </w:p>
    <w:p>
      <w:r>
        <w:rPr>
          <w:rFonts w:ascii="Times New Roman" w:hAnsi="Times New Roman"/>
          <w:b w:val="0"/>
          <w:color w:val="000000"/>
          <w:sz w:val="24"/>
        </w:rPr>
        <w:t>- Replaced: energy purchase cost and intraday spread. Unavailable, so kept and declared: the retail price, arrival data (Dutch in both cities), per-station demand, the feeder and the climate.</w:t>
      </w:r>
    </w:p>
    <w:p>
      <w:r>
        <w:rPr>
          <w:rFonts w:ascii="Times New Roman" w:hAnsi="Times New Roman"/>
          <w:b w:val="0"/>
          <w:color w:val="000000"/>
          <w:sz w:val="24"/>
        </w:rPr>
        <w:t>- Demand: city EV registrations (Medellin/Bogota = 0.40, Jan-Aug 2025) do not give per-station demand. Guidelines are conditional on the demand level, and the 0.4-0.9x runs are proposed, not run.</w:t>
      </w:r>
    </w:p>
    <w:p>
      <w:r>
        <w:rPr>
          <w:rFonts w:ascii="Times New Roman" w:hAnsi="Times New Roman"/>
          <w:b w:val="0"/>
          <w:color w:val="000000"/>
          <w:sz w:val="24"/>
        </w:rPr>
        <w:t>Full argument: thesis_docs/chapters/07_replicability.md.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