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00000"/>
          <w:sz w:val="32"/>
        </w:rPr>
        <w:t>Week 7 (Objectives 4 and 5) — Parameter, Method, and Implementation Justification: Grid-Enabled Infrastructure Guidelines and Replicability in Medellín</w:t>
      </w:r>
    </w:p>
    <w:p>
      <w:r>
        <w:rPr>
          <w:rFonts w:ascii="Calibri" w:hAnsi="Calibri"/>
          <w:b w:val="0"/>
          <w:color w:val="000000"/>
          <w:sz w:val="22"/>
        </w:rPr>
        <w:t>**Status: complete (2026-10-06), run unattended overnight on branch</w:t>
      </w:r>
    </w:p>
    <w:p>
      <w:r>
        <w:rPr>
          <w:rFonts w:ascii="Consolas" w:hAnsi="Consolas"/>
          <w:b w:val="0"/>
          <w:color w:val="000000"/>
          <w:sz w:val="20"/>
        </w:rPr>
        <w:t>semana-7</w:t>
      </w:r>
      <w:r>
        <w:rPr>
          <w:rFonts w:ascii="Calibri" w:hAnsi="Calibri"/>
          <w:b w:val="0"/>
          <w:color w:val="000000"/>
          <w:sz w:val="22"/>
        </w:rPr>
        <w:t>; nothing committed.** This document follows the Week 5 and</w:t>
      </w:r>
    </w:p>
    <w:p>
      <w:r>
        <w:rPr>
          <w:rFonts w:ascii="Calibri" w:hAnsi="Calibri"/>
          <w:b w:val="0"/>
          <w:color w:val="000000"/>
          <w:sz w:val="22"/>
        </w:rPr>
        <w:t xml:space="preserve">Week 6 Part 0 mechanism: a Markdown record rendered to </w:t>
      </w:r>
      <w:r>
        <w:rPr>
          <w:rFonts w:ascii="Consolas" w:hAnsi="Consolas"/>
          <w:b w:val="0"/>
          <w:color w:val="000000"/>
          <w:sz w:val="20"/>
        </w:rPr>
        <w:t>.docx</w:t>
      </w:r>
      <w:r>
        <w:rPr>
          <w:rFonts w:ascii="Calibri" w:hAnsi="Calibri"/>
          <w:b w:val="0"/>
          <w:color w:val="000000"/>
          <w:sz w:val="22"/>
        </w:rPr>
        <w:t xml:space="preserve"> by</w:t>
      </w:r>
    </w:p>
    <w:p>
      <w:r>
        <w:rPr>
          <w:rFonts w:ascii="Consolas" w:hAnsi="Consolas"/>
          <w:b w:val="0"/>
          <w:color w:val="000000"/>
          <w:sz w:val="20"/>
        </w:rPr>
        <w:t>scripts/render_docx.py</w:t>
      </w:r>
      <w:r>
        <w:rPr>
          <w:rFonts w:ascii="Calibri" w:hAnsi="Calibri"/>
          <w:b w:val="0"/>
          <w:color w:val="000000"/>
          <w:sz w:val="22"/>
        </w:rPr>
        <w:t>, with plain black text, bold section titles and no</w:t>
      </w:r>
    </w:p>
    <w:p>
      <w:r>
        <w:rPr>
          <w:rFonts w:ascii="Calibri" w:hAnsi="Calibri"/>
          <w:b w:val="0"/>
          <w:color w:val="000000"/>
          <w:sz w:val="22"/>
        </w:rPr>
        <w:t>Word Heading styles. The night's decision log is</w:t>
      </w:r>
    </w:p>
    <w:p>
      <w:r>
        <w:rPr>
          <w:rFonts w:ascii="Consolas" w:hAnsi="Consolas"/>
          <w:b w:val="0"/>
          <w:color w:val="000000"/>
          <w:sz w:val="20"/>
        </w:rPr>
        <w:t>thesis_docs/overnight_report.md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Headline Results Summary</w:t>
      </w:r>
    </w:p>
    <w:p>
      <w:r>
        <w:rPr>
          <w:rFonts w:ascii="Calibri" w:hAnsi="Calibri"/>
          <w:b/>
          <w:color w:val="000000"/>
          <w:sz w:val="22"/>
        </w:rPr>
        <w:t>Objective 4 — answer.</w:t>
      </w:r>
      <w:r>
        <w:rPr>
          <w:rFonts w:ascii="Calibri" w:hAnsi="Calibri"/>
          <w:b w:val="0"/>
          <w:color w:val="000000"/>
          <w:sz w:val="22"/>
        </w:rPr>
        <w:t xml:space="preserve"> For the reference public station (8 DC ports,</w:t>
      </w:r>
    </w:p>
    <w:p>
      <w:r>
        <w:rPr>
          <w:rFonts w:ascii="Calibri" w:hAnsi="Calibri"/>
          <w:b w:val="0"/>
          <w:color w:val="000000"/>
          <w:sz w:val="22"/>
        </w:rPr>
        <w:t>100 kW transformer) on EV2Gym's 34-node feeder, **smart charging (Round</w:t>
      </w:r>
    </w:p>
    <w:p>
      <w:r>
        <w:rPr>
          <w:rFonts w:ascii="Calibri" w:hAnsi="Calibri"/>
          <w:b w:val="0"/>
          <w:color w:val="000000"/>
          <w:sz w:val="22"/>
        </w:rPr>
        <w:t>Robin) is the infrastructure guideline**.</w:t>
      </w:r>
    </w:p>
    <w:p>
      <w:r>
        <w:rPr>
          <w:rFonts w:ascii="Calibri" w:hAnsi="Calibri"/>
          <w:b/>
          <w:color w:val="000000"/>
          <w:sz w:val="22"/>
        </w:rPr>
        <w:t>Growth in station demand up to 1.6×: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Round Robin keeps </w:t>
      </w:r>
      <w:r>
        <w:rPr>
          <w:rFonts w:ascii="Calibri" w:hAnsi="Calibri"/>
          <w:b/>
          <w:color w:val="000000"/>
          <w:sz w:val="22"/>
        </w:rPr>
        <w:t>zero transformer overload in all 50 seeds</w:t>
      </w:r>
      <w:r>
        <w:rPr>
          <w:rFonts w:ascii="Calibri" w:hAnsi="Calibri"/>
          <w:b w:val="0"/>
          <w:color w:val="000000"/>
          <w:sz w:val="22"/>
        </w:rPr>
        <w:t xml:space="preserve"> at every</w:t>
      </w:r>
    </w:p>
    <w:p>
      <w:r>
        <w:rPr>
          <w:rFonts w:ascii="Calibri" w:hAnsi="Calibri"/>
          <w:b w:val="0"/>
          <w:color w:val="000000"/>
          <w:sz w:val="22"/>
        </w:rPr>
        <w:t xml:space="preserve">  level, with a 95th-percentile peak of 67–73 kW.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User satisfaction is unchanged: 99.89–99.93%, and the change against</w:t>
      </w:r>
    </w:p>
    <w:p>
      <w:r>
        <w:rPr>
          <w:rFonts w:ascii="Calibri" w:hAnsi="Calibri"/>
          <w:b w:val="0"/>
          <w:color w:val="000000"/>
          <w:sz w:val="22"/>
        </w:rPr>
        <w:t xml:space="preserve">  base has a CI that includes zero.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It delivers +37.3 kWh/day [+30.9, +44.1] more energy at 1.6×.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Unmanaged charging (AFAP) overloads the transformer in 28–42 of 50 seeds</w:t>
      </w:r>
    </w:p>
    <w:p>
      <w:r>
        <w:rPr>
          <w:rFonts w:ascii="Calibri" w:hAnsi="Calibri"/>
          <w:b w:val="0"/>
          <w:color w:val="000000"/>
          <w:sz w:val="22"/>
        </w:rPr>
        <w:t xml:space="preserve">  (14.2–26.4 kWh/day). It would need a transformer of about 173–192 kW for</w:t>
      </w:r>
    </w:p>
    <w:p>
      <w:r>
        <w:rPr>
          <w:rFonts w:ascii="Calibri" w:hAnsi="Calibri"/>
          <w:b w:val="0"/>
          <w:color w:val="000000"/>
          <w:sz w:val="22"/>
        </w:rPr>
        <w:t xml:space="preserve">  the 95th-percentile scenario, which is the next standard size of</w:t>
      </w:r>
    </w:p>
    <w:p>
      <w:r>
        <w:rPr>
          <w:rFonts w:ascii="Calibri" w:hAnsi="Calibri"/>
          <w:b w:val="0"/>
          <w:color w:val="000000"/>
          <w:sz w:val="22"/>
        </w:rPr>
        <w:t xml:space="preserve">  </w:t>
      </w:r>
      <w:r>
        <w:rPr>
          <w:rFonts w:ascii="Calibri" w:hAnsi="Calibri"/>
          <w:b/>
          <w:color w:val="000000"/>
          <w:sz w:val="22"/>
        </w:rPr>
        <w:t>225 kVA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cost of keeping the 100 kW unit with Round Robin is **552–800</w:t>
      </w:r>
    </w:p>
    <w:p>
      <w:r>
        <w:rPr>
          <w:rFonts w:ascii="Calibri" w:hAnsi="Calibri"/>
          <w:b w:val="0"/>
          <w:color w:val="000000"/>
          <w:sz w:val="22"/>
        </w:rPr>
        <w:t xml:space="preserve">  COP/day of margin against AFAP, under 1%**.</w:t>
      </w:r>
    </w:p>
    <w:p>
      <w:r>
        <w:rPr>
          <w:rFonts w:ascii="Calibri" w:hAnsi="Calibri"/>
          <w:b/>
          <w:color w:val="000000"/>
          <w:sz w:val="22"/>
        </w:rPr>
        <w:t>Voltage: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simulated feeder **is already outside the ±5% band at the station's</w:t>
      </w:r>
    </w:p>
    <w:p>
      <w:r>
        <w:rPr>
          <w:rFonts w:ascii="Calibri" w:hAnsi="Calibri"/>
          <w:b w:val="0"/>
          <w:color w:val="000000"/>
          <w:sz w:val="22"/>
        </w:rPr>
        <w:t xml:space="preserve">  bus with the station idle**: 78–100% of cells. No RETIE compliance claim</w:t>
      </w:r>
    </w:p>
    <w:p>
      <w:r>
        <w:rPr>
          <w:rFonts w:ascii="Calibri" w:hAnsi="Calibri"/>
          <w:b w:val="0"/>
          <w:color w:val="000000"/>
          <w:sz w:val="22"/>
        </w:rPr>
        <w:t xml:space="preserve">  is made.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station's own contribution is small but significant: 2.7–4.5 extra</w:t>
      </w:r>
    </w:p>
    <w:p>
      <w:r>
        <w:rPr>
          <w:rFonts w:ascii="Calibri" w:hAnsi="Calibri"/>
          <w:b w:val="0"/>
          <w:color w:val="000000"/>
          <w:sz w:val="22"/>
        </w:rPr>
        <w:t xml:space="preserve">  out-of-band samples per day.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Round Robin reduces the station's depression of the minimum voltage by</w:t>
      </w:r>
    </w:p>
    <w:p>
      <w:r>
        <w:rPr>
          <w:rFonts w:ascii="Calibri" w:hAnsi="Calibri"/>
          <w:b w:val="0"/>
          <w:color w:val="000000"/>
          <w:sz w:val="22"/>
        </w:rPr>
        <w:t xml:space="preserve">  37% against AFAP: −0.00053 against −0.00084 p.u., with CIs that do not</w:t>
      </w:r>
    </w:p>
    <w:p>
      <w:r>
        <w:rPr>
          <w:rFonts w:ascii="Calibri" w:hAnsi="Calibri"/>
          <w:b w:val="0"/>
          <w:color w:val="000000"/>
          <w:sz w:val="22"/>
        </w:rPr>
        <w:t xml:space="preserve">  overlap.</w:t>
      </w:r>
    </w:p>
    <w:p>
      <w:r>
        <w:rPr>
          <w:rFonts w:ascii="Calibri" w:hAnsi="Calibri"/>
          <w:b/>
          <w:color w:val="000000"/>
          <w:sz w:val="22"/>
        </w:rPr>
        <w:t>Other results: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Raising the feeder's background load changes nothing at the station,</w:t>
      </w:r>
    </w:p>
    <w:p>
      <w:r>
        <w:rPr>
          <w:rFonts w:ascii="Calibri" w:hAnsi="Calibri"/>
          <w:b w:val="0"/>
          <w:color w:val="000000"/>
          <w:sz w:val="22"/>
        </w:rPr>
        <w:t xml:space="preserve">  because EV2Gym has no feeder-to-station feedback.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The satisfaction &gt; 90% and </w:t>
      </w:r>
      <w:r>
        <w:rPr>
          <w:rFonts w:ascii="Consolas" w:hAnsi="Consolas"/>
          <w:b w:val="0"/>
          <w:color w:val="000000"/>
          <w:sz w:val="20"/>
        </w:rPr>
        <w:t>ENS_rel</w:t>
      </w:r>
      <w:r>
        <w:rPr>
          <w:rFonts w:ascii="Calibri" w:hAnsi="Calibri"/>
          <w:b w:val="0"/>
          <w:color w:val="000000"/>
          <w:sz w:val="22"/>
        </w:rPr>
        <w:t xml:space="preserve"> &lt; 15% targets are **met by every arm</w:t>
      </w:r>
    </w:p>
    <w:p>
      <w:r>
        <w:rPr>
          <w:rFonts w:ascii="Calibri" w:hAnsi="Calibri"/>
          <w:b w:val="0"/>
          <w:color w:val="000000"/>
          <w:sz w:val="22"/>
        </w:rPr>
        <w:t xml:space="preserve">  at every setting**.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final RL model stays worse than Round Robin on tracking error and</w:t>
      </w:r>
    </w:p>
    <w:p>
      <w:r>
        <w:rPr>
          <w:rFonts w:ascii="Calibri" w:hAnsi="Calibri"/>
          <w:b w:val="0"/>
          <w:color w:val="000000"/>
          <w:sz w:val="22"/>
        </w:rPr>
        <w:t xml:space="preserve">  overload at every growth level. Its overload grows with demand: +3.79</w:t>
      </w:r>
    </w:p>
    <w:p>
      <w:r>
        <w:rPr>
          <w:rFonts w:ascii="Calibri" w:hAnsi="Calibri"/>
          <w:b w:val="0"/>
          <w:color w:val="000000"/>
          <w:sz w:val="22"/>
        </w:rPr>
        <w:t xml:space="preserve">  kWh/day from 1.0× to 1.6×.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Connectors:</w:t>
      </w:r>
      <w:r>
        <w:rPr>
          <w:rFonts w:ascii="Calibri" w:hAnsi="Calibri"/>
          <w:b w:val="0"/>
          <w:color w:val="000000"/>
          <w:sz w:val="22"/>
        </w:rPr>
        <w:t xml:space="preserve"> a CCS2-only DC station does not satisfy Res. 40223 de</w:t>
      </w:r>
    </w:p>
    <w:p>
      <w:r>
        <w:rPr>
          <w:rFonts w:ascii="Calibri" w:hAnsi="Calibri"/>
          <w:b w:val="0"/>
          <w:color w:val="000000"/>
          <w:sz w:val="22"/>
        </w:rPr>
        <w:t xml:space="preserve">  2021 Art. 4. At least one CCS Combo 1 connector is required.</w:t>
      </w:r>
    </w:p>
    <w:p>
      <w:r>
        <w:rPr>
          <w:rFonts w:ascii="Calibri" w:hAnsi="Calibri"/>
          <w:b/>
          <w:color w:val="000000"/>
          <w:sz w:val="22"/>
        </w:rPr>
        <w:t>Objective 5 — answer (Medellín).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The economic layer transfers immediately.</w:t>
      </w:r>
      <w:r>
        <w:rPr>
          <w:rFonts w:ascii="Calibri" w:hAnsi="Calibri"/>
          <w:b w:val="0"/>
          <w:color w:val="000000"/>
          <w:sz w:val="22"/>
        </w:rPr>
        <w:t xml:space="preserve"> EPM's September 2026</w:t>
      </w:r>
    </w:p>
    <w:p>
      <w:r>
        <w:rPr>
          <w:rFonts w:ascii="Calibri" w:hAnsi="Calibri"/>
          <w:b w:val="0"/>
          <w:color w:val="000000"/>
          <w:sz w:val="22"/>
        </w:rPr>
        <w:t xml:space="preserve">  Nivel II commercial CU (923.92 COP/kWh with contribution, Punta) passes</w:t>
      </w:r>
    </w:p>
    <w:p>
      <w:r>
        <w:rPr>
          <w:rFonts w:ascii="Calibri" w:hAnsi="Calibri"/>
          <w:b w:val="0"/>
          <w:color w:val="000000"/>
          <w:sz w:val="22"/>
        </w:rPr>
        <w:t xml:space="preserve">  both Week 5 invariants, and its intraday spread is 0.69%.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The strategy ranking is tariff-invariant.</w:t>
      </w:r>
      <w:r>
        <w:rPr>
          <w:rFonts w:ascii="Calibri" w:hAnsi="Calibri"/>
          <w:b w:val="0"/>
          <w:color w:val="000000"/>
          <w:sz w:val="22"/>
        </w:rPr>
        <w:t xml:space="preserve"> It is identical across 6</w:t>
      </w:r>
    </w:p>
    <w:p>
      <w:r>
        <w:rPr>
          <w:rFonts w:ascii="Calibri" w:hAnsi="Calibri"/>
          <w:b w:val="0"/>
          <w:color w:val="000000"/>
          <w:sz w:val="22"/>
        </w:rPr>
        <w:t xml:space="preserve">  datasets × 8 price scenarios under a flat price.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The relative cost of the transformer limit transfers exactly.</w:t>
      </w:r>
      <w:r>
        <w:rPr>
          <w:rFonts w:ascii="Calibri" w:hAnsi="Calibri"/>
          <w:b w:val="0"/>
          <w:color w:val="000000"/>
          <w:sz w:val="22"/>
        </w:rPr>
        <w:t xml:space="preserve"> Round</w:t>
      </w:r>
    </w:p>
    <w:p>
      <w:r>
        <w:rPr>
          <w:rFonts w:ascii="Calibri" w:hAnsi="Calibri"/>
          <w:b w:val="0"/>
          <w:color w:val="000000"/>
          <w:sz w:val="22"/>
        </w:rPr>
        <w:t xml:space="preserve">  Robin concedes 497.0 COP/day in Medellín against 551.9 in Bogotá, a</w:t>
      </w:r>
    </w:p>
    <w:p>
      <w:r>
        <w:rPr>
          <w:rFonts w:ascii="Calibri" w:hAnsi="Calibri"/>
          <w:b w:val="0"/>
          <w:color w:val="000000"/>
          <w:sz w:val="22"/>
        </w:rPr>
        <w:t xml:space="preserve">  constant ratio of 0.900, or 0.47% of margin in both.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The physical layer is conditional, not established.</w:t>
      </w:r>
      <w:r>
        <w:rPr>
          <w:rFonts w:ascii="Calibri" w:hAnsi="Calibri"/>
          <w:b w:val="0"/>
          <w:color w:val="000000"/>
          <w:sz w:val="22"/>
        </w:rPr>
        <w:t xml:space="preserve"> Arrivals,</w:t>
      </w:r>
    </w:p>
    <w:p>
      <w:r>
        <w:rPr>
          <w:rFonts w:ascii="Calibri" w:hAnsi="Calibri"/>
          <w:b w:val="0"/>
          <w:color w:val="000000"/>
          <w:sz w:val="22"/>
        </w:rPr>
        <w:t xml:space="preserve">  per-station demand, the feeder and the climate are unavailable for</w:t>
      </w:r>
    </w:p>
    <w:p>
      <w:r>
        <w:rPr>
          <w:rFonts w:ascii="Calibri" w:hAnsi="Calibri"/>
          <w:b w:val="0"/>
          <w:color w:val="000000"/>
          <w:sz w:val="22"/>
        </w:rPr>
        <w:t xml:space="preserve">  Medellín, as they are for Bogotá; the Dutch stand-ins are kept in both.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EPM publishes no EV charging price</w:t>
      </w:r>
      <w:r>
        <w:rPr>
          <w:rFonts w:ascii="Calibri" w:hAnsi="Calibri"/>
          <w:b w:val="0"/>
          <w:color w:val="000000"/>
          <w:sz w:val="22"/>
        </w:rPr>
        <w:t>, so Medellín's absolute margin is</w:t>
      </w:r>
    </w:p>
    <w:p>
      <w:r>
        <w:rPr>
          <w:rFonts w:ascii="Calibri" w:hAnsi="Calibri"/>
          <w:b w:val="0"/>
          <w:color w:val="000000"/>
          <w:sz w:val="22"/>
        </w:rPr>
        <w:t xml:space="preserve">  a sensitivity, not a claim.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No source defends a per-station demand mapping.</w:t>
      </w:r>
      <w:r>
        <w:rPr>
          <w:rFonts w:ascii="Calibri" w:hAnsi="Calibri"/>
          <w:b w:val="0"/>
          <w:color w:val="000000"/>
          <w:sz w:val="22"/>
        </w:rPr>
        <w:t xml:space="preserve"> City registrations</w:t>
      </w:r>
    </w:p>
    <w:p>
      <w:r>
        <w:rPr>
          <w:rFonts w:ascii="Calibri" w:hAnsi="Calibri"/>
          <w:b w:val="0"/>
          <w:color w:val="000000"/>
          <w:sz w:val="22"/>
        </w:rPr>
        <w:t xml:space="preserve">  give Medellín/Bogotá = 0.40, and both naive mappings fall below the 1.0×</w:t>
      </w:r>
    </w:p>
    <w:p>
      <w:r>
        <w:rPr>
          <w:rFonts w:ascii="Calibri" w:hAnsi="Calibri"/>
          <w:b w:val="0"/>
          <w:color w:val="000000"/>
          <w:sz w:val="22"/>
        </w:rPr>
        <w:t xml:space="preserve">  lower end of the studied range, so lower-demand runs are proposed, not</w:t>
      </w:r>
    </w:p>
    <w:p>
      <w:r>
        <w:rPr>
          <w:rFonts w:ascii="Calibri" w:hAnsi="Calibri"/>
          <w:b w:val="0"/>
          <w:color w:val="000000"/>
          <w:sz w:val="22"/>
        </w:rPr>
        <w:t xml:space="preserve">  run.</w:t>
      </w:r>
    </w:p>
    <w:p>
      <w:r>
        <w:rPr>
          <w:rFonts w:ascii="Calibri" w:hAnsi="Calibri"/>
          <w:b/>
          <w:color w:val="000000"/>
          <w:sz w:val="22"/>
        </w:rPr>
        <w:t>Integrity: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grid-enabled model reproduces every non-grid station metric exactly</w:t>
      </w:r>
    </w:p>
    <w:p>
      <w:r>
        <w:rPr>
          <w:rFonts w:ascii="Calibri" w:hAnsi="Calibri"/>
          <w:b w:val="0"/>
          <w:color w:val="000000"/>
          <w:sz w:val="22"/>
        </w:rPr>
        <w:t xml:space="preserve">  (500 cells × 5 arms, maximum difference 0.0).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registry gained one authorized column (</w:t>
      </w:r>
      <w:r>
        <w:rPr>
          <w:rFonts w:ascii="Consolas" w:hAnsi="Consolas"/>
          <w:b w:val="0"/>
          <w:color w:val="000000"/>
          <w:sz w:val="20"/>
        </w:rPr>
        <w:t>simulate_grid</w:t>
      </w:r>
      <w:r>
        <w:rPr>
          <w:rFonts w:ascii="Calibri" w:hAnsi="Calibri"/>
          <w:b w:val="0"/>
          <w:color w:val="000000"/>
          <w:sz w:val="22"/>
        </w:rPr>
        <w:t>), with every</w:t>
      </w:r>
    </w:p>
    <w:p>
      <w:r>
        <w:rPr>
          <w:rFonts w:ascii="Calibri" w:hAnsi="Calibri"/>
          <w:b w:val="0"/>
          <w:color w:val="000000"/>
          <w:sz w:val="22"/>
        </w:rPr>
        <w:t xml:space="preserve">  prior value verified unchanged.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2,500 analysis rows and 200 probe rows were appended.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1 — Parameters and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Parameter / decision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Final RL model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TD3_vanilla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extended, training seed 102, primary checkpoint at 850,000 steps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The author's fixed decision (2026-10-05), recorded in S5.11, the Part 0 handback, the Progress Log and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CLAUDE.md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. Its frozen VecNormalize statistics are loaded with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training=False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Branch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semana-7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from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main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at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ebf3634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main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=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semana-6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=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origin/*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were verified identical before branching (Checkpoint 0).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Grid config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station_v0_bogota_grid.yaml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which differs from the Week 1–5 config only in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simulate_grid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number_of_transformers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load_multiplier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and the station bus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printed diff contains only those keys, pinned by a test. Equivalence is 0.0 difference on all station metrics: 40 cells (1b) and 500 cells × 5 arms (base setting, full grid).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Station placement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All 8 stations on bus 27 (transformer id 25), through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ev2gym_thesis/grid/placement.py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EV2Gym has no placement key, and would otherwise spread the stations over 8 buses with 800 kW of transformers. Bus 27 is the electrically farthest bus, the conservative choice for voltage.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Feeder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EV2Gym 34-node (RL-ADN) feeder, Laurent power flow,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pv_scale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80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library's only feeder of this size. Not validated against the IEEE data, and no Enel or EPM feeder is public.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1b tolerance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≤ 1e-6 absolute, stated before running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station model is identical by construction, so floating-point noise is the only legitimate difference. Result: 0.0.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Voltage band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0.95–1.05 p.u. (±5%), EV2Gym's hard-coded band, independently recomputed by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band_check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Read from source and matched exactly on 200 probe rows. Equal to the thesis's adopted band.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Voltage compliance definition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Station increment over the idle-station (zero-charging) run of the same cell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feeder alone is outside the band at bus 27 in 15 of 20 probe cells at nominal load, so absolute compliance would measure the feeder, not the station.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Voltage probe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AFAP and RR, seeds 0–9 × 2 days,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load_multiplier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0.5 / 0.7 / 0.8 / 0.9 / 1.0,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analysis_row = False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smallest tripping setting is 0.8. Probe rows are kept out of every statistic.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Oracle variant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Optimal_Oracle_Tracking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variant S5.6's tracking optimality gap used; its objective matches the tracking target.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Arms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AFAP, Round Robin, MPC_TrackingG2V, final RL, Optimal_Oracle_Tracking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Fixed by the brief. The two non-causal arms are bounds, not candidates.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Growth axes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Axis 1: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spawn_multiplier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30 / 39 / 48. Axis 2: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load_multiplier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1.0 / 1.3 / 1.6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One axis at a time, not a cross product, as the brief specifies: 5 distinct settings.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Seed count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50 seeds × 2 day types per setting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Checkpoint 1 rule: 16.3 s per (setting, seed, day) gives 2.3 h serial, or 2.8 h with a 25% margin, ending before 07:00. Run on 3 workers.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Registry grid flag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New last column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simulate_grid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False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for all 3,153 prior rows, then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True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for the one Week 2 grid smoke-test row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one new column the brief authorized. Every prior raw line was verified to change only by a trailing field, and exactly one line for the smoke-test correction.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Parallel safety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Per-process day-config and oracle-replay directories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shared-directory race crashed one worker. The fix leaves file contents byte-identical, and the full-grid base equivalence (0.0) rules out corrupted reads.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Transformer sizing statistic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95th percentile over 50 seeds of the per-seed peak station power, plus the next standard kVA size at unity power factor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 for AFAP, whose peak ignores the rating. With n = 50 the tail rests on 2–3 seeds, so the result is directional.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Economics (Bogotá)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Retail 1,450 COP/kWh; CU 865.7615 COP/kWh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Week 5 constants, unchanged.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City for Objective 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Medellín (EPM)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Categoría especial, with a monthly CREG-format tariff sheet available, so the Week 5 invariants apply unchanged. Cali was not needed.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Medellín cost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923.92 COP/kWh (EPM, Sep 2026, Nivel II commercial, with contribution, Punta); sensitivities 917.58 and 920.76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Both Week 5 invariants pass on Punta and on Fuera de Punta (the latter at the inclusive 0.01 bound). The higher validated rate was taken, so margins are lower bounds.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Medellín retail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1,450 COP/kWh (Bogotá value) as a labelled sensitivity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EPM publishes no EV charging price (negative result). No competitor price is substituted, per the pairing rule.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Intraday spread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Medellín 0.69%, Bogotá 1.57%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Below Bogotá's, so no price-signal simulation (Checkpoint 2 rule).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Ranking invariance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Margin ranking = energy ranking under 8 price scenarios, per dataset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Asserted in code and pinned by a test. Under a flat price, margin = energy × (retail − cost).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Demand mapping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mapped; guidelines conditional on demand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City EV registrations (0.40) do not give per-station demand. Both naive mappings fall below 1.0×, so 0.4×–0.9× runs are proposed and not run.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Limitations list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08_limitations.md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new consolidated chapter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 consolidated list existed. Chapters keep their own sections, with pointers.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Week 5 margin figure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503.9 corrected to 551.9 COP/day (S5.8 correction note)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503.9 came from a stale pre-Gate-4 CSV; 551.9 was recomputed with Week 5's own loader on the current analysis rows.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2 — Implementation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`ev2gym_thesis/grid/placement.py` (new)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wraps the </w:t>
      </w:r>
      <w:r>
        <w:rPr>
          <w:rFonts w:ascii="Consolas" w:hAnsi="Consolas"/>
          <w:b w:val="0"/>
          <w:color w:val="000000"/>
          <w:sz w:val="20"/>
        </w:rPr>
        <w:t>load_grid</w:t>
      </w:r>
      <w:r>
        <w:rPr>
          <w:rFonts w:ascii="Calibri" w:hAnsi="Calibri"/>
          <w:b w:val="0"/>
          <w:color w:val="000000"/>
          <w:sz w:val="22"/>
        </w:rPr>
        <w:t xml:space="preserve"> name that </w:t>
      </w:r>
      <w:r>
        <w:rPr>
          <w:rFonts w:ascii="Consolas" w:hAnsi="Consolas"/>
          <w:b w:val="0"/>
          <w:color w:val="000000"/>
          <w:sz w:val="20"/>
        </w:rPr>
        <w:t>ev2gym_env.py</w:t>
      </w:r>
      <w:r>
        <w:rPr>
          <w:rFonts w:ascii="Calibri" w:hAnsi="Calibri"/>
          <w:b w:val="0"/>
          <w:color w:val="000000"/>
          <w:sz w:val="22"/>
        </w:rPr>
        <w:t xml:space="preserve"> imported,</w:t>
      </w:r>
    </w:p>
    <w:p>
      <w:r>
        <w:rPr>
          <w:rFonts w:ascii="Calibri" w:hAnsi="Calibri"/>
          <w:b w:val="0"/>
          <w:color w:val="000000"/>
          <w:sz w:val="22"/>
        </w:rPr>
        <w:t xml:space="preserve">from outside the library. After EV2Gym's own </w:t>
      </w:r>
      <w:r>
        <w:rPr>
          <w:rFonts w:ascii="Consolas" w:hAnsi="Consolas"/>
          <w:b w:val="0"/>
          <w:color w:val="000000"/>
          <w:sz w:val="20"/>
        </w:rPr>
        <w:t>load_grid</w:t>
      </w:r>
      <w:r>
        <w:rPr>
          <w:rFonts w:ascii="Calibri" w:hAnsi="Calibri"/>
          <w:b w:val="0"/>
          <w:color w:val="000000"/>
          <w:sz w:val="22"/>
        </w:rPr>
        <w:t xml:space="preserve"> runs, it</w:t>
      </w:r>
    </w:p>
    <w:p>
      <w:r>
        <w:rPr>
          <w:rFonts w:ascii="Calibri" w:hAnsi="Calibri"/>
          <w:b w:val="0"/>
          <w:color w:val="000000"/>
          <w:sz w:val="22"/>
        </w:rPr>
        <w:t>reassigns every station to the transformer of</w:t>
      </w:r>
    </w:p>
    <w:p>
      <w:r>
        <w:rPr>
          <w:rFonts w:ascii="Consolas" w:hAnsi="Consolas"/>
          <w:b w:val="0"/>
          <w:color w:val="000000"/>
          <w:sz w:val="20"/>
        </w:rPr>
        <w:t>network_info.thesis_station_bus</w:t>
      </w:r>
      <w:r>
        <w:rPr>
          <w:rFonts w:ascii="Calibri" w:hAnsi="Calibri"/>
          <w:b w:val="0"/>
          <w:color w:val="000000"/>
          <w:sz w:val="22"/>
        </w:rPr>
        <w:t>. A grid environment without that key</w:t>
      </w:r>
    </w:p>
    <w:p>
      <w:r>
        <w:rPr>
          <w:rFonts w:ascii="Calibri" w:hAnsi="Calibri"/>
          <w:b w:val="0"/>
          <w:color w:val="000000"/>
          <w:sz w:val="22"/>
        </w:rPr>
        <w:t>raises an error instead of silently spreading the stations.</w:t>
      </w:r>
    </w:p>
    <w:p>
      <w:r>
        <w:rPr>
          <w:rFonts w:ascii="Consolas" w:hAnsi="Consolas"/>
          <w:b w:val="0"/>
          <w:color w:val="000000"/>
          <w:sz w:val="20"/>
        </w:rPr>
        <w:t>electrical_distance()</w:t>
      </w:r>
      <w:r>
        <w:rPr>
          <w:rFonts w:ascii="Calibri" w:hAnsi="Calibri"/>
          <w:b w:val="0"/>
          <w:color w:val="000000"/>
          <w:sz w:val="22"/>
        </w:rPr>
        <w:t xml:space="preserve"> ranks buses by series path impedance and is used to</w:t>
      </w:r>
    </w:p>
    <w:p>
      <w:r>
        <w:rPr>
          <w:rFonts w:ascii="Calibri" w:hAnsi="Calibri"/>
          <w:b w:val="0"/>
          <w:color w:val="000000"/>
          <w:sz w:val="22"/>
        </w:rPr>
        <w:t>justify bus 27.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`ev2gym_thesis/grid/voltage.py` (new)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documents, from the source, what EV2Gym's three voltage</w:t>
      </w:r>
    </w:p>
    <w:p>
      <w:r>
        <w:rPr>
          <w:rFonts w:ascii="Calibri" w:hAnsi="Calibri"/>
          <w:b w:val="0"/>
          <w:color w:val="000000"/>
          <w:sz w:val="22"/>
        </w:rPr>
        <w:t xml:space="preserve">statistics measure. </w:t>
      </w:r>
      <w:r>
        <w:rPr>
          <w:rFonts w:ascii="Consolas" w:hAnsi="Consolas"/>
          <w:b w:val="0"/>
          <w:color w:val="000000"/>
          <w:sz w:val="20"/>
        </w:rPr>
        <w:t>band_check()</w:t>
      </w:r>
      <w:r>
        <w:rPr>
          <w:rFonts w:ascii="Calibri" w:hAnsi="Calibri"/>
          <w:b w:val="0"/>
          <w:color w:val="000000"/>
          <w:sz w:val="22"/>
        </w:rPr>
        <w:t xml:space="preserve"> independently recomputes the ±5% check</w:t>
      </w:r>
    </w:p>
    <w:p>
      <w:r>
        <w:rPr>
          <w:rFonts w:ascii="Calibri" w:hAnsi="Calibri"/>
          <w:b w:val="0"/>
          <w:color w:val="000000"/>
          <w:sz w:val="22"/>
        </w:rPr>
        <w:t>on the raw per-bus array (out-of-band samples, out-of-band steps, minimum</w:t>
      </w:r>
    </w:p>
    <w:p>
      <w:r>
        <w:rPr>
          <w:rFonts w:ascii="Calibri" w:hAnsi="Calibri"/>
          <w:b w:val="0"/>
          <w:color w:val="000000"/>
          <w:sz w:val="22"/>
        </w:rPr>
        <w:t>voltage, worst bus, excursion, and station-bus values). It matches the</w:t>
      </w:r>
    </w:p>
    <w:p>
      <w:r>
        <w:rPr>
          <w:rFonts w:ascii="Calibri" w:hAnsi="Calibri"/>
          <w:b w:val="0"/>
          <w:color w:val="000000"/>
          <w:sz w:val="22"/>
        </w:rPr>
        <w:t>library exactly.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`scripts/migrate_registry_schema_week7.py` (new) and `ev2gym_thesis/registry.py` (extended)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adds the authorized </w:t>
      </w:r>
      <w:r>
        <w:rPr>
          <w:rFonts w:ascii="Consolas" w:hAnsi="Consolas"/>
          <w:b w:val="0"/>
          <w:color w:val="000000"/>
          <w:sz w:val="20"/>
        </w:rPr>
        <w:t>simulate_grid</w:t>
      </w:r>
      <w:r>
        <w:rPr>
          <w:rFonts w:ascii="Calibri" w:hAnsi="Calibri"/>
          <w:b w:val="0"/>
          <w:color w:val="000000"/>
          <w:sz w:val="22"/>
        </w:rPr>
        <w:t xml:space="preserve"> column as the last column</w:t>
      </w:r>
    </w:p>
    <w:p>
      <w:r>
        <w:rPr>
          <w:rFonts w:ascii="Calibri" w:hAnsi="Calibri"/>
          <w:b w:val="0"/>
          <w:color w:val="000000"/>
          <w:sz w:val="22"/>
        </w:rPr>
        <w:t xml:space="preserve">and verifies every prior value against a backup. </w:t>
      </w:r>
      <w:r>
        <w:rPr>
          <w:rFonts w:ascii="Consolas" w:hAnsi="Consolas"/>
          <w:b w:val="0"/>
          <w:color w:val="000000"/>
          <w:sz w:val="20"/>
        </w:rPr>
        <w:t>--fix-smoke-test-flag</w:t>
      </w:r>
    </w:p>
    <w:p>
      <w:r>
        <w:rPr>
          <w:rFonts w:ascii="Calibri" w:hAnsi="Calibri"/>
          <w:b w:val="0"/>
          <w:color w:val="000000"/>
          <w:sz w:val="22"/>
        </w:rPr>
        <w:t xml:space="preserve">corrects the one Week 2 grid row. </w:t>
      </w:r>
      <w:r>
        <w:rPr>
          <w:rFonts w:ascii="Consolas" w:hAnsi="Consolas"/>
          <w:b w:val="0"/>
          <w:color w:val="000000"/>
          <w:sz w:val="20"/>
        </w:rPr>
        <w:t>append_runs</w:t>
      </w:r>
      <w:r>
        <w:rPr>
          <w:rFonts w:ascii="Calibri" w:hAnsi="Calibri"/>
          <w:b w:val="0"/>
          <w:color w:val="000000"/>
          <w:sz w:val="22"/>
        </w:rPr>
        <w:t xml:space="preserve"> defaults the flag to</w:t>
      </w:r>
    </w:p>
    <w:p>
      <w:r>
        <w:rPr>
          <w:rFonts w:ascii="Consolas" w:hAnsi="Consolas"/>
          <w:b w:val="0"/>
          <w:color w:val="000000"/>
          <w:sz w:val="20"/>
        </w:rPr>
        <w:t>False</w:t>
      </w:r>
      <w:r>
        <w:rPr>
          <w:rFonts w:ascii="Calibri" w:hAnsi="Calibri"/>
          <w:b w:val="0"/>
          <w:color w:val="000000"/>
          <w:sz w:val="22"/>
        </w:rPr>
        <w:t xml:space="preserve"> for pre-Week-7 writers and refuses a grid-config row that does not</w:t>
      </w:r>
    </w:p>
    <w:p>
      <w:r>
        <w:rPr>
          <w:rFonts w:ascii="Calibri" w:hAnsi="Calibri"/>
          <w:b w:val="0"/>
          <w:color w:val="000000"/>
          <w:sz w:val="22"/>
        </w:rPr>
        <w:t>declare it.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`scripts/week7_grid_equivalence.py`, `scripts/week7_voltage_probe.py`, `scripts/week7_zero_charging_baseline.py` (new)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Steps 1b and 1d, plus the idle-station voltage baseline for</w:t>
      </w:r>
    </w:p>
    <w:p>
      <w:r>
        <w:rPr>
          <w:rFonts w:ascii="Calibri" w:hAnsi="Calibri"/>
          <w:b w:val="0"/>
          <w:color w:val="000000"/>
          <w:sz w:val="22"/>
        </w:rPr>
        <w:t>all 500 Step 2 cells. They use the real heuristic row builder and</w:t>
      </w:r>
    </w:p>
    <w:p>
      <w:r>
        <w:rPr>
          <w:rFonts w:ascii="Consolas" w:hAnsi="Consolas"/>
          <w:b w:val="0"/>
          <w:color w:val="000000"/>
          <w:sz w:val="20"/>
        </w:rPr>
        <w:t>band_check</w:t>
      </w:r>
      <w:r>
        <w:rPr>
          <w:rFonts w:ascii="Calibri" w:hAnsi="Calibri"/>
          <w:b w:val="0"/>
          <w:color w:val="000000"/>
          <w:sz w:val="22"/>
        </w:rPr>
        <w:t>. The tolerance is written in the docstring before the first</w:t>
      </w:r>
    </w:p>
    <w:p>
      <w:r>
        <w:rPr>
          <w:rFonts w:ascii="Calibri" w:hAnsi="Calibri"/>
          <w:b w:val="0"/>
          <w:color w:val="000000"/>
          <w:sz w:val="22"/>
        </w:rPr>
        <w:t>run.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`scripts/run_week7_grid.py` and `scripts/run_week7_worker.cmd` (new)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the Step 2 grid. It reuses the real row builders of</w:t>
      </w:r>
    </w:p>
    <w:p>
      <w:r>
        <w:rPr>
          <w:rFonts w:ascii="Consolas" w:hAnsi="Consolas"/>
          <w:b w:val="0"/>
          <w:color w:val="000000"/>
          <w:sz w:val="20"/>
        </w:rPr>
        <w:t>backfill_registry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evaluate_mpc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evaluate_oracle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evaluate_rl</w:t>
      </w:r>
      <w:r>
        <w:rPr>
          <w:rFonts w:ascii="Calibri" w:hAnsi="Calibri"/>
          <w:b w:val="0"/>
          <w:color w:val="000000"/>
          <w:sz w:val="22"/>
        </w:rPr>
        <w:t>;</w:t>
      </w:r>
    </w:p>
    <w:p>
      <w:r>
        <w:rPr>
          <w:rFonts w:ascii="Calibri" w:hAnsi="Calibri"/>
          <w:b w:val="0"/>
          <w:color w:val="000000"/>
          <w:sz w:val="22"/>
        </w:rPr>
        <w:t>the last three read a module-level config constant, which is redirected</w:t>
      </w:r>
    </w:p>
    <w:p>
      <w:r>
        <w:rPr>
          <w:rFonts w:ascii="Calibri" w:hAnsi="Calibri"/>
          <w:b w:val="0"/>
          <w:color w:val="000000"/>
          <w:sz w:val="22"/>
        </w:rPr>
        <w:t>only for the duration of one call. Each cell's voltage is captured through</w:t>
      </w:r>
    </w:p>
    <w:p>
      <w:r>
        <w:rPr>
          <w:rFonts w:ascii="Calibri" w:hAnsi="Calibri"/>
          <w:b w:val="0"/>
          <w:color w:val="000000"/>
          <w:sz w:val="22"/>
        </w:rPr>
        <w:t xml:space="preserve">a wrapper on the </w:t>
      </w:r>
      <w:r>
        <w:rPr>
          <w:rFonts w:ascii="Consolas" w:hAnsi="Consolas"/>
          <w:b w:val="0"/>
          <w:color w:val="000000"/>
          <w:sz w:val="20"/>
        </w:rPr>
        <w:t>get_statistics</w:t>
      </w:r>
      <w:r>
        <w:rPr>
          <w:rFonts w:ascii="Calibri" w:hAnsi="Calibri"/>
          <w:b w:val="0"/>
          <w:color w:val="000000"/>
          <w:sz w:val="22"/>
        </w:rPr>
        <w:t xml:space="preserve"> name. Workers write shards and resume</w:t>
      </w:r>
    </w:p>
    <w:p>
      <w:r>
        <w:rPr>
          <w:rFonts w:ascii="Calibri" w:hAnsi="Calibri"/>
          <w:b w:val="0"/>
          <w:color w:val="000000"/>
          <w:sz w:val="22"/>
        </w:rPr>
        <w:t xml:space="preserve">from them, and </w:t>
      </w:r>
      <w:r>
        <w:rPr>
          <w:rFonts w:ascii="Consolas" w:hAnsi="Consolas"/>
          <w:b w:val="0"/>
          <w:color w:val="000000"/>
          <w:sz w:val="20"/>
        </w:rPr>
        <w:t>--merge</w:t>
      </w:r>
      <w:r>
        <w:rPr>
          <w:rFonts w:ascii="Calibri" w:hAnsi="Calibri"/>
          <w:b w:val="0"/>
          <w:color w:val="000000"/>
          <w:sz w:val="22"/>
        </w:rPr>
        <w:t xml:space="preserve"> appends to the registry once. Per-process</w:t>
      </w:r>
    </w:p>
    <w:p>
      <w:r>
        <w:rPr>
          <w:rFonts w:ascii="Calibri" w:hAnsi="Calibri"/>
          <w:b w:val="0"/>
          <w:color w:val="000000"/>
          <w:sz w:val="22"/>
        </w:rPr>
        <w:t>day-config and replay directories prevent the shared-file race.</w:t>
      </w:r>
    </w:p>
    <w:p>
      <w:r>
        <w:rPr>
          <w:rFonts w:ascii="Consolas" w:hAnsi="Consolas"/>
          <w:b w:val="0"/>
          <w:color w:val="000000"/>
          <w:sz w:val="20"/>
        </w:rPr>
        <w:t>--timing</w:t>
      </w:r>
      <w:r>
        <w:rPr>
          <w:rFonts w:ascii="Calibri" w:hAnsi="Calibri"/>
          <w:b w:val="0"/>
          <w:color w:val="000000"/>
          <w:sz w:val="22"/>
        </w:rPr>
        <w:t xml:space="preserve"> produced Step 1e.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`scripts/analyze_week7_infra.py` (new) and `scripts/analyze_week5_results.py` (extended)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Objective 4 statistics, each with its cluster bootstrap and</w:t>
      </w:r>
    </w:p>
    <w:p>
      <w:r>
        <w:rPr>
          <w:rFonts w:ascii="Consolas" w:hAnsi="Consolas"/>
          <w:b w:val="0"/>
          <w:color w:val="000000"/>
          <w:sz w:val="20"/>
        </w:rPr>
        <w:t>n_clusters</w:t>
      </w:r>
      <w:r>
        <w:rPr>
          <w:rFonts w:ascii="Calibri" w:hAnsi="Calibri"/>
          <w:b w:val="0"/>
          <w:color w:val="000000"/>
          <w:sz w:val="22"/>
        </w:rPr>
        <w:t>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base equivalence over all arms;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master comparison per setting;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arms against Round Robin;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growth effects against base;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ENS compliance;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transformer sizing from the saved timeseries;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station-attributable voltage;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margin;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target compliance.</w:t>
      </w:r>
    </w:p>
    <w:p>
      <w:r>
        <w:rPr>
          <w:rFonts w:ascii="Calibri" w:hAnsi="Calibri"/>
          <w:b w:val="0"/>
          <w:color w:val="000000"/>
          <w:sz w:val="22"/>
        </w:rPr>
        <w:t xml:space="preserve">Week 5's </w:t>
      </w:r>
      <w:r>
        <w:rPr>
          <w:rFonts w:ascii="Consolas" w:hAnsi="Consolas"/>
          <w:b w:val="0"/>
          <w:color w:val="000000"/>
          <w:sz w:val="20"/>
        </w:rPr>
        <w:t>ens_and_compliance</w:t>
      </w:r>
      <w:r>
        <w:rPr>
          <w:rFonts w:ascii="Calibri" w:hAnsi="Calibri"/>
          <w:b w:val="0"/>
          <w:color w:val="000000"/>
          <w:sz w:val="22"/>
        </w:rPr>
        <w:t xml:space="preserve"> / </w:t>
      </w:r>
      <w:r>
        <w:rPr>
          <w:rFonts w:ascii="Consolas" w:hAnsi="Consolas"/>
          <w:b w:val="0"/>
          <w:color w:val="000000"/>
          <w:sz w:val="20"/>
        </w:rPr>
        <w:t>requested_energy_by_cell</w:t>
      </w:r>
      <w:r>
        <w:rPr>
          <w:rFonts w:ascii="Calibri" w:hAnsi="Calibri"/>
          <w:b w:val="0"/>
          <w:color w:val="000000"/>
          <w:sz w:val="22"/>
        </w:rPr>
        <w:t xml:space="preserve"> gained a</w:t>
      </w:r>
    </w:p>
    <w:p>
      <w:r>
        <w:rPr>
          <w:rFonts w:ascii="Consolas" w:hAnsi="Consolas"/>
          <w:b w:val="0"/>
          <w:color w:val="000000"/>
          <w:sz w:val="20"/>
        </w:rPr>
        <w:t>config_path</w:t>
      </w:r>
      <w:r>
        <w:rPr>
          <w:rFonts w:ascii="Calibri" w:hAnsi="Calibri"/>
          <w:b w:val="0"/>
          <w:color w:val="000000"/>
          <w:sz w:val="22"/>
        </w:rPr>
        <w:t xml:space="preserve"> argument; the default reproduces Week 5.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`ev2gym_thesis/prices/medellin.py` (new) and `scripts/analyze_week7_replicability.py` (new)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EPM sheet parser, invariant checks, Medellín constants with</w:t>
      </w:r>
    </w:p>
    <w:p>
      <w:r>
        <w:rPr>
          <w:rFonts w:ascii="Calibri" w:hAnsi="Calibri"/>
          <w:b w:val="0"/>
          <w:color w:val="000000"/>
          <w:sz w:val="22"/>
        </w:rPr>
        <w:t>their declared origins, tariff transfer on registry energy under 8 price</w:t>
      </w:r>
    </w:p>
    <w:p>
      <w:r>
        <w:rPr>
          <w:rFonts w:ascii="Calibri" w:hAnsi="Calibri"/>
          <w:b w:val="0"/>
          <w:color w:val="000000"/>
          <w:sz w:val="22"/>
        </w:rPr>
        <w:t>scenarios, ranking-invariance assertion, transferability classification</w:t>
      </w:r>
    </w:p>
    <w:p>
      <w:r>
        <w:rPr>
          <w:rFonts w:ascii="Calibri" w:hAnsi="Calibri"/>
          <w:b w:val="0"/>
          <w:color w:val="000000"/>
          <w:sz w:val="22"/>
        </w:rPr>
        <w:t>and demand mapping.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`scripts/make_figures.py` and `ev2gym_thesis/figures.py` (extended)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f15 (growth, 2 axes × 4 metrics), f16 (transformer sizing),</w:t>
      </w:r>
    </w:p>
    <w:p>
      <w:r>
        <w:rPr>
          <w:rFonts w:ascii="Calibri" w:hAnsi="Calibri"/>
          <w:b w:val="0"/>
          <w:color w:val="000000"/>
          <w:sz w:val="22"/>
        </w:rPr>
        <w:t>f17 (station-attributable voltage) and f18 (two-city margin), following the</w:t>
      </w:r>
    </w:p>
    <w:p>
      <w:r>
        <w:rPr>
          <w:rFonts w:ascii="Calibri" w:hAnsi="Calibri"/>
          <w:b w:val="0"/>
          <w:color w:val="000000"/>
          <w:sz w:val="22"/>
        </w:rPr>
        <w:t>f13/f14 conventions. All were visually checked and their fixes are logged.</w:t>
      </w:r>
    </w:p>
    <w:p>
      <w:r>
        <w:rPr>
          <w:rFonts w:ascii="Consolas" w:hAnsi="Consolas"/>
          <w:b w:val="0"/>
          <w:color w:val="000000"/>
          <w:sz w:val="20"/>
        </w:rPr>
        <w:t>--only</w:t>
      </w:r>
      <w:r>
        <w:rPr>
          <w:rFonts w:ascii="Calibri" w:hAnsi="Calibri"/>
          <w:b w:val="0"/>
          <w:color w:val="000000"/>
          <w:sz w:val="22"/>
        </w:rPr>
        <w:t xml:space="preserve"> regenerates only the named figures.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`scripts/export_week7_results_xlsx.py` (new) and `ev2gym_thesis/xlsx_export.py` (one constant)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one formatted workbook per Week 7 table, with every header</w:t>
      </w:r>
    </w:p>
    <w:p>
      <w:r>
        <w:rPr>
          <w:rFonts w:ascii="Calibri" w:hAnsi="Calibri"/>
          <w:b w:val="0"/>
          <w:color w:val="000000"/>
          <w:sz w:val="22"/>
        </w:rPr>
        <w:t xml:space="preserve">unit-labelled. </w:t>
      </w:r>
      <w:r>
        <w:rPr>
          <w:rFonts w:ascii="Consolas" w:hAnsi="Consolas"/>
          <w:b w:val="0"/>
          <w:color w:val="000000"/>
          <w:sz w:val="20"/>
        </w:rPr>
        <w:t>PER_UNIT_VOLTAGE_FORMAT</w:t>
      </w:r>
      <w:r>
        <w:rPr>
          <w:rFonts w:ascii="Calibri" w:hAnsi="Calibri"/>
          <w:b w:val="0"/>
          <w:color w:val="000000"/>
          <w:sz w:val="22"/>
        </w:rPr>
        <w:t xml:space="preserve"> was added for p.u. values.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`scripts/extend_progress_log.py` (extended) and `scripts/build_deliverables_index.py` (new)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Progress Log sections 13 (Objective 4) and 14 (Objective 5),</w:t>
      </w:r>
    </w:p>
    <w:p>
      <w:r>
        <w:rPr>
          <w:rFonts w:ascii="Calibri" w:hAnsi="Calibri"/>
          <w:b w:val="0"/>
          <w:color w:val="000000"/>
          <w:sz w:val="22"/>
        </w:rPr>
        <w:t>extend only. The deliverables index for Weeks 1–7 is generated from the</w:t>
      </w:r>
    </w:p>
    <w:p>
      <w:r>
        <w:rPr>
          <w:rFonts w:ascii="Calibri" w:hAnsi="Calibri"/>
          <w:b w:val="0"/>
          <w:color w:val="000000"/>
          <w:sz w:val="22"/>
        </w:rPr>
        <w:t>file system.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Tests: `ev2gym_thesis/tests/test_week6_infra.py`, `test_replicability.py` (new); `test_week5.py` (unchanged)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pins on the following: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config diff, the placement and the 100 kW limit;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refusal without a station bus;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equivalence table;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step-by-step RL observation identity and frozen statistics;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the library band and </w:t>
      </w:r>
      <w:r>
        <w:rPr>
          <w:rFonts w:ascii="Consolas" w:hAnsi="Consolas"/>
          <w:b w:val="0"/>
          <w:color w:val="000000"/>
          <w:sz w:val="20"/>
        </w:rPr>
        <w:t>band_check</w:t>
      </w:r>
      <w:r>
        <w:rPr>
          <w:rFonts w:ascii="Calibri" w:hAnsi="Calibri"/>
          <w:b w:val="0"/>
          <w:color w:val="000000"/>
          <w:sz w:val="22"/>
        </w:rPr>
        <w:t>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probe threshold;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registry flag and probe rows;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grid row count;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the cluster-bootstrap </w:t>
      </w:r>
      <w:r>
        <w:rPr>
          <w:rFonts w:ascii="Consolas" w:hAnsi="Consolas"/>
          <w:b w:val="0"/>
          <w:color w:val="000000"/>
          <w:sz w:val="20"/>
        </w:rPr>
        <w:t>n_clusters</w:t>
      </w:r>
      <w:r>
        <w:rPr>
          <w:rFonts w:ascii="Calibri" w:hAnsi="Calibri"/>
          <w:b w:val="0"/>
          <w:color w:val="000000"/>
          <w:sz w:val="22"/>
        </w:rPr>
        <w:t>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EPM invariants on the stored PDF;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invariant failure detection, ranking invariance, the two-city ratio and</w:t>
      </w:r>
    </w:p>
    <w:p>
      <w:r>
        <w:rPr>
          <w:rFonts w:ascii="Calibri" w:hAnsi="Calibri"/>
          <w:b w:val="0"/>
          <w:color w:val="000000"/>
          <w:sz w:val="22"/>
        </w:rPr>
        <w:t xml:space="preserve">  the source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