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0000"/>
          <w:sz w:val="32"/>
        </w:rPr>
        <w:t>Closure — Parameter, Method, and Implementation Justification: Corrections, Capacity Threshold and Colombian Replicability</w:t>
      </w:r>
    </w:p>
    <w:p>
      <w:r>
        <w:rPr>
          <w:rFonts w:ascii="Calibri" w:hAnsi="Calibri"/>
          <w:b w:val="0"/>
          <w:color w:val="000000"/>
          <w:sz w:val="22"/>
        </w:rPr>
        <w:t xml:space="preserve">**Status: complete (2026-10-06), run unattended on branch </w:t>
      </w:r>
      <w:r>
        <w:rPr>
          <w:rFonts w:ascii="Consolas" w:hAnsi="Consolas"/>
          <w:b w:val="0"/>
          <w:color w:val="000000"/>
          <w:sz w:val="20"/>
        </w:rPr>
        <w:t>semana-7</w:t>
      </w:r>
      <w:r>
        <w:rPr>
          <w:rFonts w:ascii="Calibri" w:hAnsi="Calibri"/>
          <w:b w:val="0"/>
          <w:color w:val="000000"/>
          <w:sz w:val="22"/>
        </w:rPr>
        <w:t>;</w:t>
      </w:r>
    </w:p>
    <w:p>
      <w:r>
        <w:rPr>
          <w:rFonts w:ascii="Calibri" w:hAnsi="Calibri"/>
          <w:b w:val="0"/>
          <w:color w:val="000000"/>
          <w:sz w:val="22"/>
        </w:rPr>
        <w:t>nothing committed.**</w:t>
      </w:r>
    </w:p>
    <w:p>
      <w:r>
        <w:rPr>
          <w:rFonts w:ascii="Calibri" w:hAnsi="Calibri"/>
          <w:b w:val="0"/>
          <w:color w:val="000000"/>
          <w:sz w:val="22"/>
        </w:rPr>
        <w:t>This document follows the Week 5–7 mechanism. It is a Markdown record</w:t>
      </w:r>
    </w:p>
    <w:p>
      <w:r>
        <w:rPr>
          <w:rFonts w:ascii="Calibri" w:hAnsi="Calibri"/>
          <w:b w:val="0"/>
          <w:color w:val="000000"/>
          <w:sz w:val="22"/>
        </w:rPr>
        <w:t xml:space="preserve">rendered to </w:t>
      </w:r>
      <w:r>
        <w:rPr>
          <w:rFonts w:ascii="Consolas" w:hAnsi="Consolas"/>
          <w:b w:val="0"/>
          <w:color w:val="000000"/>
          <w:sz w:val="20"/>
        </w:rPr>
        <w:t>.docx</w:t>
      </w:r>
      <w:r>
        <w:rPr>
          <w:rFonts w:ascii="Calibri" w:hAnsi="Calibri"/>
          <w:b w:val="0"/>
          <w:color w:val="000000"/>
          <w:sz w:val="22"/>
        </w:rPr>
        <w:t xml:space="preserve"> by </w:t>
      </w:r>
      <w:r>
        <w:rPr>
          <w:rFonts w:ascii="Consolas" w:hAnsi="Consolas"/>
          <w:b w:val="0"/>
          <w:color w:val="000000"/>
          <w:sz w:val="20"/>
        </w:rPr>
        <w:t>scripts/render_docx.py</w:t>
      </w:r>
      <w:r>
        <w:rPr>
          <w:rFonts w:ascii="Calibri" w:hAnsi="Calibri"/>
          <w:b w:val="0"/>
          <w:color w:val="000000"/>
          <w:sz w:val="22"/>
        </w:rPr>
        <w:t>. The decision log, with</w:t>
      </w:r>
    </w:p>
    <w:p>
      <w:r>
        <w:rPr>
          <w:rFonts w:ascii="Calibri" w:hAnsi="Calibri"/>
          <w:b w:val="0"/>
          <w:color w:val="000000"/>
          <w:sz w:val="22"/>
        </w:rPr>
        <w:t>the Bogotá time of each checkpoint, is the closure section at the top of</w:t>
      </w:r>
    </w:p>
    <w:p>
      <w:r>
        <w:rPr>
          <w:rFonts w:ascii="Consolas" w:hAnsi="Consolas"/>
          <w:b w:val="0"/>
          <w:color w:val="000000"/>
          <w:sz w:val="20"/>
        </w:rPr>
        <w:t>thesis_docs/overnight_report.md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 w:val="0"/>
          <w:color w:val="000000"/>
          <w:sz w:val="22"/>
        </w:rPr>
        <w:t xml:space="preserve">The baseline for this run was HEAD </w:t>
      </w:r>
      <w:r>
        <w:rPr>
          <w:rFonts w:ascii="Consolas" w:hAnsi="Consolas"/>
          <w:b w:val="0"/>
          <w:color w:val="000000"/>
          <w:sz w:val="20"/>
        </w:rPr>
        <w:t>6f42b02</w:t>
      </w:r>
      <w:r>
        <w:rPr>
          <w:rFonts w:ascii="Calibri" w:hAnsi="Calibri"/>
          <w:b w:val="0"/>
          <w:color w:val="000000"/>
          <w:sz w:val="22"/>
        </w:rPr>
        <w:t xml:space="preserve"> with a clean working tree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thesis_docs/closure_baseline_status.txt</w:t>
      </w:r>
      <w:r>
        <w:rPr>
          <w:rFonts w:ascii="Calibri" w:hAnsi="Calibri"/>
          <w:b w:val="0"/>
          <w:color w:val="000000"/>
          <w:sz w:val="22"/>
        </w:rPr>
        <w:t>). Every file that differs from</w:t>
      </w:r>
    </w:p>
    <w:p>
      <w:r>
        <w:rPr>
          <w:rFonts w:ascii="Consolas" w:hAnsi="Consolas"/>
          <w:b w:val="0"/>
          <w:color w:val="000000"/>
          <w:sz w:val="20"/>
        </w:rPr>
        <w:t>6f42b02</w:t>
      </w:r>
      <w:r>
        <w:rPr>
          <w:rFonts w:ascii="Calibri" w:hAnsi="Calibri"/>
          <w:b w:val="0"/>
          <w:color w:val="000000"/>
          <w:sz w:val="22"/>
        </w:rPr>
        <w:t xml:space="preserve"> was therefore changed by this run.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Headline Results Summary</w:t>
      </w:r>
    </w:p>
    <w:p>
      <w:r>
        <w:rPr>
          <w:rFonts w:ascii="Calibri" w:hAnsi="Calibri"/>
          <w:b w:val="0"/>
          <w:color w:val="000000"/>
          <w:sz w:val="22"/>
        </w:rPr>
        <w:t>**1. EV2Gym silently drops arrivals at a full station, and the station is</w:t>
      </w:r>
    </w:p>
    <w:p>
      <w:r>
        <w:rPr>
          <w:rFonts w:ascii="Calibri" w:hAnsi="Calibri"/>
          <w:b w:val="0"/>
          <w:color w:val="000000"/>
          <w:sz w:val="22"/>
        </w:rPr>
        <w:t>port-limited at its reference demand.**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An arrival drawn for an occupied port is never created. Every registry</w:t>
      </w:r>
    </w:p>
    <w:p>
      <w:r>
        <w:rPr>
          <w:rFonts w:ascii="Calibri" w:hAnsi="Calibri"/>
          <w:b w:val="0"/>
          <w:color w:val="000000"/>
          <w:sz w:val="22"/>
        </w:rPr>
        <w:t xml:space="preserve">  metric therefore covers served EVs only.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Reconstructed from the simulator's own random draws, demand not served</w:t>
      </w:r>
    </w:p>
    <w:p>
      <w:r>
        <w:rPr>
          <w:rFonts w:ascii="Calibri" w:hAnsi="Calibri"/>
          <w:b w:val="0"/>
          <w:color w:val="000000"/>
          <w:sz w:val="22"/>
        </w:rPr>
        <w:t xml:space="preserve">  is </w:t>
      </w:r>
      <w:r>
        <w:rPr>
          <w:rFonts w:ascii="Calibri" w:hAnsi="Calibri"/>
          <w:b/>
          <w:color w:val="000000"/>
          <w:sz w:val="22"/>
        </w:rPr>
        <w:t>34.6% [30.8, 38.4]</w:t>
      </w:r>
      <w:r>
        <w:rPr>
          <w:rFonts w:ascii="Calibri" w:hAnsi="Calibri"/>
          <w:b w:val="0"/>
          <w:color w:val="000000"/>
          <w:sz w:val="22"/>
        </w:rPr>
        <w:t xml:space="preserve"> for Round Robin at the reference demand</w:t>
      </w:r>
    </w:p>
    <w:p>
      <w:r>
        <w:rPr>
          <w:rFonts w:ascii="Calibri" w:hAnsi="Calibri"/>
          <w:b w:val="0"/>
          <w:color w:val="000000"/>
          <w:sz w:val="22"/>
        </w:rPr>
        <w:t xml:space="preserve">  (rejected plus shortfall, lower bound; n_clusters = 50). AFAP and the</w:t>
      </w:r>
    </w:p>
    <w:p>
      <w:r>
        <w:rPr>
          <w:rFonts w:ascii="Calibri" w:hAnsi="Calibri"/>
          <w:b w:val="0"/>
          <w:color w:val="000000"/>
          <w:sz w:val="22"/>
        </w:rPr>
        <w:t xml:space="preserve">  RL model are within 1.6 points.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Week 7 claim that satisfaction "is unchanged" up to 1.6× is</w:t>
      </w:r>
    </w:p>
    <w:p>
      <w:r>
        <w:rPr>
          <w:rFonts w:ascii="Calibri" w:hAnsi="Calibri"/>
          <w:b w:val="0"/>
          <w:color w:val="000000"/>
          <w:sz w:val="22"/>
        </w:rPr>
        <w:t xml:space="preserve">  withdrawn as a statement about the station's users.</w:t>
      </w:r>
    </w:p>
    <w:p>
      <w:r>
        <w:rPr>
          <w:rFonts w:ascii="Calibri" w:hAnsi="Calibri"/>
          <w:b/>
          <w:color w:val="000000"/>
          <w:sz w:val="22"/>
        </w:rPr>
        <w:t>2. Capacity threshold.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Arm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Breaking level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First criterion broken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Value [95% CI]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n_clusters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 Robin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0.733× (holds at 0.5×)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demand not served &gt; 15%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15.80% [12.56, 19.13]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50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AFAP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0.5×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P95 peak &gt; 100 kW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133.1 kW [122.2, 156.3]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50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Final RL model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0.5×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P95 peak &gt; 100 kW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137.6 kW [121.6, 156.5]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50</w:t>
            </w:r>
          </w:p>
        </w:tc>
      </w:tr>
    </w:tbl>
    <w:p/>
    <w:p>
      <w:r>
        <w:rPr>
          <w:rFonts w:ascii="Calibri" w:hAnsi="Calibri"/>
          <w:b/>
          <w:color w:val="000000"/>
          <w:sz w:val="22"/>
        </w:rPr>
        <w:t>3. What closes the gap: ports, not the transformer.</w:t>
      </w:r>
      <w:r>
        <w:rPr>
          <w:rFonts w:ascii="Calibri" w:hAnsi="Calibri"/>
          <w:b w:val="0"/>
          <w:color w:val="000000"/>
          <w:sz w:val="22"/>
        </w:rPr>
        <w:t xml:space="preserve"> Read at constant</w:t>
      </w:r>
    </w:p>
    <w:p>
      <w:r>
        <w:rPr>
          <w:rFonts w:ascii="Calibri" w:hAnsi="Calibri"/>
          <w:b w:val="0"/>
          <w:color w:val="000000"/>
          <w:sz w:val="22"/>
        </w:rPr>
        <w:t>station demand: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*At 0.733×:* 10 ports bring Round Robin's demand not served to 4.7%</w:t>
      </w:r>
    </w:p>
    <w:p>
      <w:r>
        <w:rPr>
          <w:rFonts w:ascii="Calibri" w:hAnsi="Calibri"/>
          <w:b w:val="0"/>
          <w:color w:val="000000"/>
          <w:sz w:val="22"/>
        </w:rPr>
        <w:t xml:space="preserve">  [3.0, 6.7], with +12,159 COP/day.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*At 1.0×:* 12 ports bring it to 7.9% [5.6, 10.5], with +28,225 COP/day.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*Transformer:* 112.5 or 150 kVA changes nothing for Round Robin, whose</w:t>
      </w:r>
    </w:p>
    <w:p>
      <w:r>
        <w:rPr>
          <w:rFonts w:ascii="Calibri" w:hAnsi="Calibri"/>
          <w:b w:val="0"/>
          <w:color w:val="000000"/>
          <w:sz w:val="22"/>
        </w:rPr>
        <w:t xml:space="preserve">  P95 peak is ≤ 83 kW. It only reduces AFAP's overload.</w:t>
      </w:r>
    </w:p>
    <w:p>
      <w:r>
        <w:rPr>
          <w:rFonts w:ascii="Calibri" w:hAnsi="Calibri"/>
          <w:b w:val="0"/>
          <w:color w:val="000000"/>
          <w:sz w:val="22"/>
        </w:rPr>
        <w:t>Guideline per growth level (06, C3):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≤ 0.5×:</w:t>
      </w:r>
      <w:r>
        <w:rPr>
          <w:rFonts w:ascii="Calibri" w:hAnsi="Calibri"/>
          <w:b w:val="0"/>
          <w:color w:val="000000"/>
          <w:sz w:val="22"/>
        </w:rPr>
        <w:t xml:space="preserve"> the reference design meets every target.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0.733×:</w:t>
      </w:r>
      <w:r>
        <w:rPr>
          <w:rFonts w:ascii="Calibri" w:hAnsi="Calibri"/>
          <w:b w:val="0"/>
          <w:color w:val="000000"/>
          <w:sz w:val="22"/>
        </w:rPr>
        <w:t xml:space="preserve"> go to 10 ports.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1.0×:</w:t>
      </w:r>
      <w:r>
        <w:rPr>
          <w:rFonts w:ascii="Calibri" w:hAnsi="Calibri"/>
          <w:b w:val="0"/>
          <w:color w:val="000000"/>
          <w:sz w:val="22"/>
        </w:rPr>
        <w:t xml:space="preserve"> go to 12 ports.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&gt; 1.0×:</w:t>
      </w:r>
      <w:r>
        <w:rPr>
          <w:rFonts w:ascii="Calibri" w:hAnsi="Calibri"/>
          <w:b w:val="0"/>
          <w:color w:val="000000"/>
          <w:sz w:val="22"/>
        </w:rPr>
        <w:t xml:space="preserve"> keep the 100 kW unit with Round Robin. The number of ports</w:t>
      </w:r>
    </w:p>
    <w:p>
      <w:r>
        <w:rPr>
          <w:rFonts w:ascii="Calibri" w:hAnsi="Calibri"/>
          <w:b w:val="0"/>
          <w:color w:val="000000"/>
          <w:sz w:val="22"/>
        </w:rPr>
        <w:t xml:space="preserve">  needed is not simulated.</w:t>
      </w:r>
    </w:p>
    <w:p>
      <w:r>
        <w:rPr>
          <w:rFonts w:ascii="Calibri" w:hAnsi="Calibri"/>
          <w:b/>
          <w:color w:val="000000"/>
          <w:sz w:val="22"/>
        </w:rPr>
        <w:t>4. Six categoría especial cities.</w:t>
      </w:r>
      <w:r>
        <w:rPr>
          <w:rFonts w:ascii="Calibri" w:hAnsi="Calibri"/>
          <w:b w:val="0"/>
          <w:color w:val="000000"/>
          <w:sz w:val="22"/>
        </w:rPr>
        <w:t xml:space="preserve"> The list comes from the CGN workbook</w:t>
      </w:r>
    </w:p>
    <w:p>
      <w:r>
        <w:rPr>
          <w:rFonts w:ascii="Calibri" w:hAnsi="Calibri"/>
          <w:b w:val="0"/>
          <w:color w:val="000000"/>
          <w:sz w:val="22"/>
        </w:rPr>
        <w:t>for vigencia 2026, under Ley 617 de 2000.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The spread is small in four cities (≤ 1.57%).</w:t>
      </w:r>
      <w:r>
        <w:rPr>
          <w:rFonts w:ascii="Calibri" w:hAnsi="Calibri"/>
          <w:b w:val="0"/>
          <w:color w:val="000000"/>
          <w:sz w:val="22"/>
        </w:rPr>
        <w:t xml:space="preserve"> ESSA publishes no</w:t>
      </w:r>
    </w:p>
    <w:p>
      <w:r>
        <w:rPr>
          <w:rFonts w:ascii="Calibri" w:hAnsi="Calibri"/>
          <w:b w:val="0"/>
          <w:color w:val="000000"/>
          <w:sz w:val="22"/>
        </w:rPr>
        <w:t xml:space="preserve">  option.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Barranquilla is the exception.</w:t>
      </w:r>
      <w:r>
        <w:rPr>
          <w:rFonts w:ascii="Calibri" w:hAnsi="Calibri"/>
          <w:b w:val="0"/>
          <w:color w:val="000000"/>
          <w:sz w:val="22"/>
        </w:rPr>
        <w:t xml:space="preserve"> Air-e publishes a 10.03% two-band</w:t>
      </w:r>
    </w:p>
    <w:p>
      <w:r>
        <w:rPr>
          <w:rFonts w:ascii="Calibri" w:hAnsi="Calibri"/>
          <w:b w:val="0"/>
          <w:color w:val="000000"/>
          <w:sz w:val="22"/>
        </w:rPr>
        <w:t xml:space="preserve">  option. Under it, Round Robin's cost of the 100 kW limit rises from 523</w:t>
      </w:r>
    </w:p>
    <w:p>
      <w:r>
        <w:rPr>
          <w:rFonts w:ascii="Calibri" w:hAnsi="Calibri"/>
          <w:b w:val="0"/>
          <w:color w:val="000000"/>
          <w:sz w:val="22"/>
        </w:rPr>
        <w:t xml:space="preserve">  to </w:t>
      </w:r>
      <w:r>
        <w:rPr>
          <w:rFonts w:ascii="Calibri" w:hAnsi="Calibri"/>
          <w:b/>
          <w:color w:val="000000"/>
          <w:sz w:val="22"/>
        </w:rPr>
        <w:t>1,878 COP/day [1,426, 2,359]</w:t>
      </w:r>
      <w:r>
        <w:rPr>
          <w:rFonts w:ascii="Calibri" w:hAnsi="Calibri"/>
          <w:b w:val="0"/>
          <w:color w:val="000000"/>
          <w:sz w:val="22"/>
        </w:rPr>
        <w:t>, and the margin ranking shifts.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Proposition 7.1, with proof.</w:t>
      </w:r>
      <w:r>
        <w:rPr>
          <w:rFonts w:ascii="Calibri" w:hAnsi="Calibri"/>
          <w:b w:val="0"/>
          <w:color w:val="000000"/>
          <w:sz w:val="22"/>
        </w:rPr>
        <w:t xml:space="preserve"> Under a flat tariff, the margin</w:t>
      </w:r>
    </w:p>
    <w:p>
      <w:r>
        <w:rPr>
          <w:rFonts w:ascii="Calibri" w:hAnsi="Calibri"/>
          <w:b w:val="0"/>
          <w:color w:val="000000"/>
          <w:sz w:val="22"/>
        </w:rPr>
        <w:t xml:space="preserve">  ranking equals the energy ranking and the relative cost is</w:t>
      </w:r>
    </w:p>
    <w:p>
      <w:r>
        <w:rPr>
          <w:rFonts w:ascii="Calibri" w:hAnsi="Calibri"/>
          <w:b w:val="0"/>
          <w:color w:val="000000"/>
          <w:sz w:val="22"/>
        </w:rPr>
        <w:t xml:space="preserve">  price-independent. The Week 7 "48/48" check and the equal 0.47% are its</w:t>
      </w:r>
    </w:p>
    <w:p>
      <w:r>
        <w:rPr>
          <w:rFonts w:ascii="Calibri" w:hAnsi="Calibri"/>
          <w:b w:val="0"/>
          <w:color w:val="000000"/>
          <w:sz w:val="22"/>
        </w:rPr>
        <w:t xml:space="preserve">  consequences, not findings.</w:t>
      </w:r>
    </w:p>
    <w:p>
      <w:r>
        <w:rPr>
          <w:rFonts w:ascii="Calibri" w:hAnsi="Calibri"/>
          <w:b/>
          <w:color w:val="000000"/>
          <w:sz w:val="22"/>
        </w:rPr>
        <w:t>5. Voltage.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No feedback.</w:t>
      </w:r>
      <w:r>
        <w:rPr>
          <w:rFonts w:ascii="Calibri" w:hAnsi="Calibri"/>
          <w:b w:val="0"/>
          <w:color w:val="000000"/>
          <w:sz w:val="22"/>
        </w:rPr>
        <w:t xml:space="preserve"> EV2Gym has no feedback from the feeder to the station.</w:t>
      </w:r>
    </w:p>
    <w:p>
      <w:r>
        <w:rPr>
          <w:rFonts w:ascii="Calibri" w:hAnsi="Calibri"/>
          <w:b w:val="0"/>
          <w:color w:val="000000"/>
          <w:sz w:val="22"/>
        </w:rPr>
        <w:t xml:space="preserve">  This is confirmed in source (</w:t>
      </w:r>
      <w:r>
        <w:rPr>
          <w:rFonts w:ascii="Consolas" w:hAnsi="Consolas"/>
          <w:b w:val="0"/>
          <w:color w:val="000000"/>
          <w:sz w:val="20"/>
        </w:rPr>
        <w:t>ev2gym_env.py</w:t>
      </w:r>
      <w:r>
        <w:rPr>
          <w:rFonts w:ascii="Calibri" w:hAnsi="Calibri"/>
          <w:b w:val="0"/>
          <w:color w:val="000000"/>
          <w:sz w:val="22"/>
        </w:rPr>
        <w:t>, lines 365–397) and pinned</w:t>
      </w:r>
    </w:p>
    <w:p>
      <w:r>
        <w:rPr>
          <w:rFonts w:ascii="Calibri" w:hAnsi="Calibri"/>
          <w:b w:val="0"/>
          <w:color w:val="000000"/>
          <w:sz w:val="22"/>
        </w:rPr>
        <w:t xml:space="preserve">  by a test.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Shipped feeders.</w:t>
      </w:r>
      <w:r>
        <w:rPr>
          <w:rFonts w:ascii="Calibri" w:hAnsi="Calibri"/>
          <w:b w:val="0"/>
          <w:color w:val="000000"/>
          <w:sz w:val="22"/>
        </w:rPr>
        <w:t xml:space="preserve"> Of EV2Gym's four networks, only **node_123 is in</w:t>
      </w:r>
    </w:p>
    <w:p>
      <w:r>
        <w:rPr>
          <w:rFonts w:ascii="Calibri" w:hAnsi="Calibri"/>
          <w:b w:val="0"/>
          <w:color w:val="000000"/>
          <w:sz w:val="22"/>
        </w:rPr>
        <w:t xml:space="preserve">  band with the station idle** (20/20 cells, lowest 0.9738 p.u.). node_34</w:t>
      </w:r>
    </w:p>
    <w:p>
      <w:r>
        <w:rPr>
          <w:rFonts w:ascii="Calibri" w:hAnsi="Calibri"/>
          <w:b w:val="0"/>
          <w:color w:val="000000"/>
          <w:sz w:val="22"/>
        </w:rPr>
        <w:t xml:space="preserve">  is not, and node_25 and node_69 cannot run as shipped.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AFAP and Round Robin on node_123</w:t>
      </w:r>
      <w:r>
        <w:rPr>
          <w:rFonts w:ascii="Calibri" w:hAnsi="Calibri"/>
          <w:b w:val="0"/>
          <w:color w:val="000000"/>
          <w:sz w:val="22"/>
        </w:rPr>
        <w:t xml:space="preserve"> (50 seeds, 1.0/1.3/1.6×, weekday</w:t>
      </w:r>
    </w:p>
    <w:p>
      <w:r>
        <w:rPr>
          <w:rFonts w:ascii="Calibri" w:hAnsi="Calibri"/>
          <w:b w:val="0"/>
          <w:color w:val="000000"/>
          <w:sz w:val="22"/>
        </w:rPr>
        <w:t xml:space="preserve">  only, because EV2Gym's load generator stalls on the weekend day): **0 of</w:t>
      </w:r>
    </w:p>
    <w:p>
      <w:r>
        <w:rPr>
          <w:rFonts w:ascii="Calibri" w:hAnsi="Calibri"/>
          <w:b w:val="0"/>
          <w:color w:val="000000"/>
          <w:sz w:val="22"/>
        </w:rPr>
        <w:t xml:space="preserve">  50 cells leave the ±5% band** for either arm at any level, with the</w:t>
      </w:r>
    </w:p>
    <w:p>
      <w:r>
        <w:rPr>
          <w:rFonts w:ascii="Calibri" w:hAnsi="Calibri"/>
          <w:b w:val="0"/>
          <w:color w:val="000000"/>
          <w:sz w:val="22"/>
        </w:rPr>
        <w:t xml:space="preserve">  lowest bus at 0.9720 p.u. On that test network the band is met. On the</w:t>
      </w:r>
    </w:p>
    <w:p>
      <w:r>
        <w:rPr>
          <w:rFonts w:ascii="Calibri" w:hAnsi="Calibri"/>
          <w:b w:val="0"/>
          <w:color w:val="000000"/>
          <w:sz w:val="22"/>
        </w:rPr>
        <w:t xml:space="preserve">  34-node feeder, RETIE compliance remains not evaluable.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The 37% result.</w:t>
      </w:r>
      <w:r>
        <w:rPr>
          <w:rFonts w:ascii="Calibri" w:hAnsi="Calibri"/>
          <w:b w:val="0"/>
          <w:color w:val="000000"/>
          <w:sz w:val="22"/>
        </w:rPr>
        <w:t xml:space="preserve"> It is the ratio of the mean drops in the feeder-wide</w:t>
      </w:r>
    </w:p>
    <w:p>
      <w:r>
        <w:rPr>
          <w:rFonts w:ascii="Calibri" w:hAnsi="Calibri"/>
          <w:b w:val="0"/>
          <w:color w:val="000000"/>
          <w:sz w:val="22"/>
        </w:rPr>
        <w:t xml:space="preserve">  daily minimum voltage relative to the idle station: **36.4% [22.3,</w:t>
      </w:r>
    </w:p>
    <w:p>
      <w:r>
        <w:rPr>
          <w:rFonts w:ascii="Calibri" w:hAnsi="Calibri"/>
          <w:b w:val="0"/>
          <w:color w:val="000000"/>
          <w:sz w:val="22"/>
        </w:rPr>
        <w:t xml:space="preserve">  47.0]** at the base setting only. At 1.3× and 1.6× demand it is 24.7%</w:t>
      </w:r>
    </w:p>
    <w:p>
      <w:r>
        <w:rPr>
          <w:rFonts w:ascii="Calibri" w:hAnsi="Calibri"/>
          <w:b w:val="0"/>
          <w:color w:val="000000"/>
          <w:sz w:val="22"/>
        </w:rPr>
        <w:t xml:space="preserve">  and 22.7%. On node_123 the same reduction is 39.2% [18.6, 53.7] at 1.0×,</w:t>
      </w:r>
    </w:p>
    <w:p>
      <w:r>
        <w:rPr>
          <w:rFonts w:ascii="Calibri" w:hAnsi="Calibri"/>
          <w:b w:val="0"/>
          <w:color w:val="000000"/>
          <w:sz w:val="22"/>
        </w:rPr>
        <w:t xml:space="preserve">  which corroborates it.</w:t>
      </w:r>
    </w:p>
    <w:p>
      <w:r>
        <w:rPr>
          <w:rFonts w:ascii="Calibri" w:hAnsi="Calibri"/>
          <w:b/>
          <w:color w:val="000000"/>
          <w:sz w:val="22"/>
        </w:rPr>
        <w:t>6. Final compliance at the reference demand.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Satisfaction of served EVs is met by every arm.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**Satisfaction counting rejected arrivals and demand not served are not</w:t>
      </w:r>
    </w:p>
    <w:p>
      <w:r>
        <w:rPr>
          <w:rFonts w:ascii="Calibri" w:hAnsi="Calibri"/>
          <w:b w:val="0"/>
          <w:color w:val="000000"/>
          <w:sz w:val="22"/>
        </w:rPr>
        <w:t xml:space="preserve">  met by any arm.**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transformer target is met by Round Robin, MPC_TrackingG2V and the</w:t>
      </w:r>
    </w:p>
    <w:p>
      <w:r>
        <w:rPr>
          <w:rFonts w:ascii="Calibri" w:hAnsi="Calibri"/>
          <w:b w:val="0"/>
          <w:color w:val="000000"/>
          <w:sz w:val="22"/>
        </w:rPr>
        <w:t xml:space="preserve">  oracle, and not by AFAP or the RL model.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Voltage is met on node_123 for AFAP and Round Robin. It is not</w:t>
      </w:r>
    </w:p>
    <w:p>
      <w:r>
        <w:rPr>
          <w:rFonts w:ascii="Calibri" w:hAnsi="Calibri"/>
          <w:b w:val="0"/>
          <w:color w:val="000000"/>
          <w:sz w:val="22"/>
        </w:rPr>
        <w:t xml:space="preserve">  evaluable for the other arms, which were not rerun there.</w:t>
      </w:r>
    </w:p>
    <w:p>
      <w:r>
        <w:rPr>
          <w:rFonts w:ascii="Calibri" w:hAnsi="Calibri"/>
          <w:b w:val="0"/>
          <w:color w:val="000000"/>
          <w:sz w:val="22"/>
        </w:rPr>
        <w:t>The full table is in the overnight report's FINAL REPORT and in</w:t>
      </w:r>
    </w:p>
    <w:p>
      <w:r>
        <w:rPr>
          <w:rFonts w:ascii="Consolas" w:hAnsi="Consolas"/>
          <w:b w:val="0"/>
          <w:color w:val="000000"/>
          <w:sz w:val="20"/>
        </w:rPr>
        <w:t>results/closure_target_compliance.csv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7. Corrections (Part A).</w:t>
      </w:r>
      <w:r>
        <w:rPr>
          <w:rFonts w:ascii="Calibri" w:hAnsi="Calibri"/>
          <w:b w:val="0"/>
          <w:color w:val="000000"/>
          <w:sz w:val="22"/>
        </w:rPr>
        <w:t xml:space="preserve"> Each one carries a dated note: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battery is 70 kWh, not 60 kWh;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AFAP overload is 14.22 kWh/day, not the old 5-seed 5.33 kWh;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Round Robin's cost of the limit is 551.9 COP/day, not 503.9 or</w:t>
      </w:r>
    </w:p>
    <w:p>
      <w:r>
        <w:rPr>
          <w:rFonts w:ascii="Calibri" w:hAnsi="Calibri"/>
          <w:b w:val="0"/>
          <w:color w:val="000000"/>
          <w:sz w:val="22"/>
        </w:rPr>
        <w:t xml:space="preserve">  88.6 COP;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energy change is −0.47%, not −0.08%.</w:t>
      </w:r>
    </w:p>
    <w:p>
      <w:r>
        <w:rPr>
          <w:rFonts w:ascii="Calibri" w:hAnsi="Calibri"/>
          <w:b w:val="0"/>
          <w:color w:val="000000"/>
          <w:sz w:val="22"/>
        </w:rPr>
        <w:t xml:space="preserve">The </w:t>
      </w:r>
      <w:r>
        <w:rPr>
          <w:rFonts w:ascii="Consolas" w:hAnsi="Consolas"/>
          <w:b w:val="0"/>
          <w:color w:val="000000"/>
          <w:sz w:val="20"/>
        </w:rPr>
        <w:t>test_week4</w:t>
      </w:r>
      <w:r>
        <w:rPr>
          <w:rFonts w:ascii="Calibri" w:hAnsi="Calibri"/>
          <w:b w:val="0"/>
          <w:color w:val="000000"/>
          <w:sz w:val="22"/>
        </w:rPr>
        <w:t xml:space="preserve"> arm list was rewritten to 22 arms × 100 cells. It is</w:t>
      </w:r>
    </w:p>
    <w:p>
      <w:r>
        <w:rPr>
          <w:rFonts w:ascii="Calibri" w:hAnsi="Calibri"/>
          <w:b w:val="0"/>
          <w:color w:val="000000"/>
          <w:sz w:val="22"/>
        </w:rPr>
        <w:t>stricter than before, because it now checks the exact SEEDS × EVAL_DAYS</w:t>
      </w:r>
    </w:p>
    <w:p>
      <w:r>
        <w:rPr>
          <w:rFonts w:ascii="Calibri" w:hAnsi="Calibri"/>
          <w:b w:val="0"/>
          <w:color w:val="000000"/>
          <w:sz w:val="22"/>
        </w:rPr>
        <w:t>cover.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1 — Parameters and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Parameter / decision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Final RL model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TD3_vanilla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extended, seed 102, 850k steps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Fixed by the author (2026-10-05); never substituted.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Demand-not-served definition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(E_rejected + R_served − E_delivered) / (E_rejected + R_served)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Labelled method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Brief B: rejected plus shortfall over total requested.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Rejection bounds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lower: blocked draws no free port could absorb; upper: every blocked draw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Labelled assumption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EV2Gym gives each port its own arrival stream, while a real driver takes any free port. Both bounds are reported, and the lower one is primary (favourable to the station).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Energy of a rejected arrival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EV2Gym's mean requested energy for that arrival time, min(max(mean, 5), 70) kWh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Labelled assumption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It is the expectation of the draw that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spawn_single_EV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would have made (utils.py, line 207).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Breaking criteria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satisfaction CI lower &lt; 90%; DNS CI upper &gt; 15%; P95 peak CI upper &gt; 100 kW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Labelled assumption, conservative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CI side that makes compliance hardest to claim.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P95 peak CI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per-seed peak (max of two days), quantile CI by resampling seeds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Declared method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A quantile is not a mean, so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paired_cluster_bootstrap_ci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does not apply. The cluster unit is the same.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Demand levels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spawn 15 / 22 / 30 / 39 / 48 / 60 / 75 = 0.5 / </w:t>
            </w:r>
            <w:r>
              <w:rPr>
                <w:rFonts w:ascii="Calibri" w:hAnsi="Calibri"/>
                <w:b/>
                <w:color w:val="000000"/>
                <w:sz w:val="22"/>
              </w:rPr>
              <w:t>0.733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/ 1.0 / 1.3 / 1.6 / 2.0 / 2.5×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Declared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round(22.5) = 22. 3.0–5.0× were not run, because RR breaks well below them.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Non-grid configs for Part 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station_v0_bogota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with only spawn, ports and transformer changed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Week 7: grid and non-grid station metrics are identical (0.0 difference).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Constant-demand port variants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spawn × 8/P (e.g. 17.6, 14.67)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Labelled method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EV2Gym's per-port arrivals would otherwise add demand with the ports. The multiplier enters only as a factor (utils.py, line 538).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Transformer variants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100.6 and 134.2 kW = 112.5 and 150 kVA × 0.894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Sourced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ET-013 standard ratings; pf from CREG 015/2018.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Power factor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0.894 = cos(arctan 0.5)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Derived, with a caveat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CREG 015/2018 Ch. 12, 50% reactive threshold. Ratings are also given at unity power factor, with the same 225 kVA result.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City list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Bogotá, Medellín, Cali, Barranquilla, Cartagena, Bucaramanga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Sourced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CGN categorisation workbook, vigencia 2026 (2025 decrees); Ley 617/2000 Art. 6.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City cost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Nivel 2 commercial flat cost with 20% contribution, published where printed, else 1.20 × CU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Sourced / derived, labelled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Uniform definition across cities. Invariants checked (07 S7.7).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Two-band options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operator's own option and hours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Sourced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Applied to each run's 15-minute station power, with the simulation starting at 05:00.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Feeder probe criterion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 bus out of band in any of 20 idle cells at nominal load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Stated before the run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 parameter tuned. node_123 passed; the screen stops a feeder at its first out-of-band cell.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node_123 voltage runs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AFAP and RR, 1.0/1.3/1.6×, 50 seeds, weekday only, station on bus 115, idle baseline per level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Labelled scope reduction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The weekend build does not finish (EV2Gym load-generator loop). The idle run must match the level, because EVs are drawn before the background load from the same random stream.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2 — Implementation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`ev2gym_thesis/demand/censoring.py` (new)</w:t>
      </w:r>
    </w:p>
    <w:p>
      <w:r>
        <w:rPr>
          <w:rFonts w:ascii="Calibri" w:hAnsi="Calibri"/>
          <w:b w:val="0"/>
          <w:color w:val="000000"/>
          <w:sz w:val="22"/>
        </w:rPr>
        <w:t xml:space="preserve">This wraps the </w:t>
      </w:r>
      <w:r>
        <w:rPr>
          <w:rFonts w:ascii="Consolas" w:hAnsi="Consolas"/>
          <w:b w:val="0"/>
          <w:color w:val="000000"/>
          <w:sz w:val="20"/>
        </w:rPr>
        <w:t>EV_spawner</w:t>
      </w:r>
      <w:r>
        <w:rPr>
          <w:rFonts w:ascii="Calibri" w:hAnsi="Calibri"/>
          <w:b w:val="0"/>
          <w:color w:val="000000"/>
          <w:sz w:val="22"/>
        </w:rPr>
        <w:t xml:space="preserve"> name that </w:t>
      </w:r>
      <w:r>
        <w:rPr>
          <w:rFonts w:ascii="Consolas" w:hAnsi="Consolas"/>
          <w:b w:val="0"/>
          <w:color w:val="000000"/>
          <w:sz w:val="20"/>
        </w:rPr>
        <w:t>ev2gym/utilities/loaders.py</w:t>
      </w:r>
    </w:p>
    <w:p>
      <w:r>
        <w:rPr>
          <w:rFonts w:ascii="Calibri" w:hAnsi="Calibri"/>
          <w:b w:val="0"/>
          <w:color w:val="000000"/>
          <w:sz w:val="22"/>
        </w:rPr>
        <w:t>imports, without editing the library:</w:t>
      </w:r>
    </w:p>
    <w:p>
      <w:r>
        <w:rPr>
          <w:rFonts w:ascii="Calibri" w:hAnsi="Calibri"/>
          <w:b w:val="0"/>
          <w:color w:val="000000"/>
          <w:sz w:val="22"/>
        </w:rPr>
        <w:t>1. It snapshots the global NumPy state.</w:t>
      </w:r>
    </w:p>
    <w:p>
      <w:r>
        <w:rPr>
          <w:rFonts w:ascii="Calibri" w:hAnsi="Calibri"/>
          <w:b w:val="0"/>
          <w:color w:val="000000"/>
          <w:sz w:val="22"/>
        </w:rPr>
        <w:t>2. It lets the original spawner run.</w:t>
      </w:r>
    </w:p>
    <w:p>
      <w:r>
        <w:rPr>
          <w:rFonts w:ascii="Calibri" w:hAnsi="Calibri"/>
          <w:b w:val="0"/>
          <w:color w:val="000000"/>
          <w:sz w:val="22"/>
        </w:rPr>
        <w:t xml:space="preserve">3. It replays the snapshot to recover the </w:t>
      </w:r>
      <w:r>
        <w:rPr>
          <w:rFonts w:ascii="Consolas" w:hAnsi="Consolas"/>
          <w:b w:val="0"/>
          <w:color w:val="000000"/>
          <w:sz w:val="20"/>
        </w:rPr>
        <w:t>(ports × steps)</w:t>
      </w:r>
      <w:r>
        <w:rPr>
          <w:rFonts w:ascii="Calibri" w:hAnsi="Calibri"/>
          <w:b w:val="0"/>
          <w:color w:val="000000"/>
          <w:sz w:val="22"/>
        </w:rPr>
        <w:t xml:space="preserve"> arrival-draw</w:t>
      </w:r>
    </w:p>
    <w:p>
      <w:r>
        <w:rPr>
          <w:rFonts w:ascii="Calibri" w:hAnsi="Calibri"/>
          <w:b w:val="0"/>
          <w:color w:val="000000"/>
          <w:sz w:val="22"/>
        </w:rPr>
        <w:t xml:space="preserve">   matrix.</w:t>
      </w:r>
    </w:p>
    <w:p>
      <w:r>
        <w:rPr>
          <w:rFonts w:ascii="Calibri" w:hAnsi="Calibri"/>
          <w:b w:val="0"/>
          <w:color w:val="000000"/>
          <w:sz w:val="22"/>
        </w:rPr>
        <w:t>4. It restores the post-spawner state, so the simulation is unchanged.</w:t>
      </w:r>
    </w:p>
    <w:p>
      <w:r>
        <w:rPr>
          <w:rFonts w:ascii="Calibri" w:hAnsi="Calibri"/>
          <w:b w:val="0"/>
          <w:color w:val="000000"/>
          <w:sz w:val="22"/>
        </w:rPr>
        <w:t>5. It re-walks the spawner's loop with the same free-port and threshold</w:t>
      </w:r>
    </w:p>
    <w:p>
      <w:r>
        <w:rPr>
          <w:rFonts w:ascii="Calibri" w:hAnsi="Calibri"/>
          <w:b w:val="0"/>
          <w:color w:val="000000"/>
          <w:sz w:val="22"/>
        </w:rPr>
        <w:t xml:space="preserve">   tests.</w:t>
      </w:r>
    </w:p>
    <w:p>
      <w:r>
        <w:rPr>
          <w:rFonts w:ascii="Calibri" w:hAnsi="Calibri"/>
          <w:b w:val="0"/>
          <w:color w:val="000000"/>
          <w:sz w:val="22"/>
        </w:rPr>
        <w:t xml:space="preserve">It asserts that the replay re-finds every spawned EV. </w:t>
      </w:r>
      <w:r>
        <w:rPr>
          <w:rFonts w:ascii="Consolas" w:hAnsi="Consolas"/>
          <w:b w:val="0"/>
          <w:color w:val="000000"/>
          <w:sz w:val="20"/>
        </w:rPr>
        <w:t>scenario_demand()</w:t>
      </w:r>
    </w:p>
    <w:p>
      <w:r>
        <w:rPr>
          <w:rFonts w:ascii="Calibri" w:hAnsi="Calibri"/>
          <w:b w:val="0"/>
          <w:color w:val="000000"/>
          <w:sz w:val="22"/>
        </w:rPr>
        <w:t xml:space="preserve">returns the counts for one cell, and </w:t>
      </w:r>
      <w:r>
        <w:rPr>
          <w:rFonts w:ascii="Consolas" w:hAnsi="Consolas"/>
          <w:b w:val="0"/>
          <w:color w:val="000000"/>
          <w:sz w:val="20"/>
        </w:rPr>
        <w:t>demand_not_served()</w:t>
      </w:r>
      <w:r>
        <w:rPr>
          <w:rFonts w:ascii="Calibri" w:hAnsi="Calibri"/>
          <w:b w:val="0"/>
          <w:color w:val="000000"/>
          <w:sz w:val="22"/>
        </w:rPr>
        <w:t xml:space="preserve"> computes DNS.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`scripts/closure_demand_censoring.py`, `scripts/closure_dns_summary.py` (new)</w:t>
      </w:r>
    </w:p>
    <w:p>
      <w:r>
        <w:rPr>
          <w:rFonts w:ascii="Calibri" w:hAnsi="Calibri"/>
          <w:b w:val="0"/>
          <w:color w:val="000000"/>
          <w:sz w:val="22"/>
        </w:rPr>
        <w:t>The first script builds the censoring table: 11 levels × 100 cells for 8</w:t>
      </w:r>
    </w:p>
    <w:p>
      <w:r>
        <w:rPr>
          <w:rFonts w:ascii="Calibri" w:hAnsi="Calibri"/>
          <w:b w:val="0"/>
          <w:color w:val="000000"/>
          <w:sz w:val="22"/>
        </w:rPr>
        <w:t>ports, plus the 10- and 12-port variants, as run and at constant demand,</w:t>
      </w:r>
    </w:p>
    <w:p>
      <w:r>
        <w:rPr>
          <w:rFonts w:ascii="Calibri" w:hAnsi="Calibri"/>
          <w:b w:val="0"/>
          <w:color w:val="000000"/>
          <w:sz w:val="22"/>
        </w:rPr>
        <w:t>in a separate file. The second joins the table to each arm's delivered</w:t>
      </w:r>
    </w:p>
    <w:p>
      <w:r>
        <w:rPr>
          <w:rFonts w:ascii="Calibri" w:hAnsi="Calibri"/>
          <w:b w:val="0"/>
          <w:color w:val="000000"/>
          <w:sz w:val="22"/>
        </w:rPr>
        <w:t>energy, giving per-run and per-(level, arm) DNS with cluster CIs. Neither</w:t>
      </w:r>
    </w:p>
    <w:p>
      <w:r>
        <w:rPr>
          <w:rFonts w:ascii="Calibri" w:hAnsi="Calibri"/>
          <w:b w:val="0"/>
          <w:color w:val="000000"/>
          <w:sz w:val="22"/>
        </w:rPr>
        <w:t>writes the registry.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`scripts/run_closure_capacity.py`, `scripts/run_closure_worker.cmd` (new); `scripts/run_week7_grid.py` (extended)</w:t>
      </w:r>
    </w:p>
    <w:p>
      <w:r>
        <w:rPr>
          <w:rFonts w:ascii="Calibri" w:hAnsi="Calibri"/>
          <w:b w:val="0"/>
          <w:color w:val="000000"/>
          <w:sz w:val="22"/>
        </w:rPr>
        <w:t>These are detached, resumable workers with shard CSVs: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--prepare</w:t>
      </w:r>
      <w:r>
        <w:rPr>
          <w:rFonts w:ascii="Calibri" w:hAnsi="Calibri"/>
          <w:b w:val="0"/>
          <w:color w:val="000000"/>
          <w:sz w:val="22"/>
        </w:rPr>
        <w:t xml:space="preserve"> writes every variant config once. This fixed a worker crash</w:t>
      </w:r>
    </w:p>
    <w:p>
      <w:r>
        <w:rPr>
          <w:rFonts w:ascii="Calibri" w:hAnsi="Calibri"/>
          <w:b w:val="0"/>
          <w:color w:val="000000"/>
          <w:sz w:val="22"/>
        </w:rPr>
        <w:t xml:space="preserve">  caused by parallel config rewrites, the same failure class as Week 7's</w:t>
      </w:r>
    </w:p>
    <w:p>
      <w:r>
        <w:rPr>
          <w:rFonts w:ascii="Calibri" w:hAnsi="Calibri"/>
          <w:b w:val="0"/>
          <w:color w:val="000000"/>
          <w:sz w:val="22"/>
        </w:rPr>
        <w:t xml:space="preserve">  day-config race.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--merge</w:t>
      </w:r>
      <w:r>
        <w:rPr>
          <w:rFonts w:ascii="Calibri" w:hAnsi="Calibri"/>
          <w:b w:val="0"/>
          <w:color w:val="000000"/>
          <w:sz w:val="22"/>
        </w:rPr>
        <w:t xml:space="preserve"> appends once through </w:t>
      </w:r>
      <w:r>
        <w:rPr>
          <w:rFonts w:ascii="Consolas" w:hAnsi="Consolas"/>
          <w:b w:val="0"/>
          <w:color w:val="000000"/>
          <w:sz w:val="20"/>
        </w:rPr>
        <w:t>append_runs</w:t>
      </w:r>
      <w:r>
        <w:rPr>
          <w:rFonts w:ascii="Calibri" w:hAnsi="Calibri"/>
          <w:b w:val="0"/>
          <w:color w:val="000000"/>
          <w:sz w:val="22"/>
        </w:rPr>
        <w:t>, deduplicating on</w:t>
      </w:r>
    </w:p>
    <w:p>
      <w:r>
        <w:rPr>
          <w:rFonts w:ascii="Calibri" w:hAnsi="Calibri"/>
          <w:b w:val="0"/>
          <w:color w:val="000000"/>
          <w:sz w:val="22"/>
        </w:rPr>
        <w:t xml:space="preserve">  (config, algorithm, seed, day).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run_week7_grid.run_cell</w:t>
      </w:r>
      <w:r>
        <w:rPr>
          <w:rFonts w:ascii="Calibri" w:hAnsi="Calibri"/>
          <w:b w:val="0"/>
          <w:color w:val="000000"/>
          <w:sz w:val="22"/>
        </w:rPr>
        <w:t xml:space="preserve"> gained </w:t>
      </w:r>
      <w:r>
        <w:rPr>
          <w:rFonts w:ascii="Consolas" w:hAnsi="Consolas"/>
          <w:b w:val="0"/>
          <w:color w:val="000000"/>
          <w:sz w:val="20"/>
        </w:rPr>
        <w:t>require_voltage=False</w:t>
      </w:r>
      <w:r>
        <w:rPr>
          <w:rFonts w:ascii="Calibri" w:hAnsi="Calibri"/>
          <w:b w:val="0"/>
          <w:color w:val="000000"/>
          <w:sz w:val="22"/>
        </w:rPr>
        <w:t xml:space="preserve"> for non-grid RL</w:t>
      </w:r>
    </w:p>
    <w:p>
      <w:r>
        <w:rPr>
          <w:rFonts w:ascii="Calibri" w:hAnsi="Calibri"/>
          <w:b w:val="0"/>
          <w:color w:val="000000"/>
          <w:sz w:val="22"/>
        </w:rPr>
        <w:t xml:space="preserve">  rows.</w:t>
      </w:r>
    </w:p>
    <w:p>
      <w:r>
        <w:rPr>
          <w:rFonts w:ascii="Calibri" w:hAnsi="Calibri"/>
          <w:b w:val="0"/>
          <w:color w:val="000000"/>
          <w:sz w:val="22"/>
        </w:rPr>
        <w:t>The merge added 6,000 rows (</w:t>
      </w:r>
      <w:r>
        <w:rPr>
          <w:rFonts w:ascii="Consolas" w:hAnsi="Consolas"/>
          <w:b w:val="0"/>
          <w:color w:val="000000"/>
          <w:sz w:val="20"/>
        </w:rPr>
        <w:t>analysis_row=True</w:t>
      </w:r>
      <w:r>
        <w:rPr>
          <w:rFonts w:ascii="Calibri" w:hAnsi="Calibri"/>
          <w:b w:val="0"/>
          <w:color w:val="000000"/>
          <w:sz w:val="22"/>
        </w:rPr>
        <w:t xml:space="preserve">, </w:t>
      </w:r>
      <w:r>
        <w:rPr>
          <w:rFonts w:ascii="Consolas" w:hAnsi="Consolas"/>
          <w:b w:val="0"/>
          <w:color w:val="000000"/>
          <w:sz w:val="20"/>
        </w:rPr>
        <w:t>simulate_grid=False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r>
        <w:rPr>
          <w:rFonts w:ascii="Calibri" w:hAnsi="Calibri"/>
          <w:b w:val="0"/>
          <w:color w:val="000000"/>
          <w:sz w:val="22"/>
        </w:rPr>
        <w:t>Prior registry bytes were verified unchanged at both merges.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`scripts/analyze_closure_capacity.py` (new)</w:t>
      </w:r>
    </w:p>
    <w:p>
      <w:r>
        <w:rPr>
          <w:rFonts w:ascii="Calibri" w:hAnsi="Calibri"/>
          <w:b w:val="0"/>
          <w:color w:val="000000"/>
          <w:sz w:val="22"/>
        </w:rPr>
        <w:t>This produces the C1 thresholds and the C2 options (per arm, level, port</w:t>
      </w:r>
    </w:p>
    <w:p>
      <w:r>
        <w:rPr>
          <w:rFonts w:ascii="Calibri" w:hAnsi="Calibri"/>
          <w:b w:val="0"/>
          <w:color w:val="000000"/>
          <w:sz w:val="22"/>
        </w:rPr>
        <w:t>count, rating and demand treatment). It joins the censoring table by</w:t>
      </w:r>
    </w:p>
    <w:p>
      <w:r>
        <w:rPr>
          <w:rFonts w:ascii="Calibri" w:hAnsi="Calibri"/>
          <w:b w:val="0"/>
          <w:color w:val="000000"/>
          <w:sz w:val="22"/>
        </w:rPr>
        <w:t>(level, ports, demand treatment, seed, day) and asserts that the censoring</w:t>
      </w:r>
    </w:p>
    <w:p>
      <w:r>
        <w:rPr>
          <w:rFonts w:ascii="Calibri" w:hAnsi="Calibri"/>
          <w:b w:val="0"/>
          <w:color w:val="000000"/>
          <w:sz w:val="22"/>
        </w:rPr>
        <w:t xml:space="preserve">spawn count equals the registry's </w:t>
      </w:r>
      <w:r>
        <w:rPr>
          <w:rFonts w:ascii="Consolas" w:hAnsi="Consolas"/>
          <w:b w:val="0"/>
          <w:color w:val="000000"/>
          <w:sz w:val="20"/>
        </w:rPr>
        <w:t>total_ev_served</w:t>
      </w:r>
      <w:r>
        <w:rPr>
          <w:rFonts w:ascii="Calibri" w:hAnsi="Calibri"/>
          <w:b w:val="0"/>
          <w:color w:val="000000"/>
          <w:sz w:val="22"/>
        </w:rPr>
        <w:t xml:space="preserve"> for every run. Peaks</w:t>
      </w:r>
    </w:p>
    <w:p>
      <w:r>
        <w:rPr>
          <w:rFonts w:ascii="Calibri" w:hAnsi="Calibri"/>
          <w:b w:val="0"/>
          <w:color w:val="000000"/>
          <w:sz w:val="22"/>
        </w:rPr>
        <w:t>come from the saved timeseries.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`ev2gym_thesis/prices/cities.py` (new), `scripts/analyze_closure_multicity.py` (new)</w:t>
      </w:r>
    </w:p>
    <w:p>
      <w:r>
        <w:rPr>
          <w:rFonts w:ascii="Calibri" w:hAnsi="Calibri"/>
          <w:b w:val="0"/>
          <w:color w:val="000000"/>
          <w:sz w:val="22"/>
        </w:rPr>
        <w:t>These hold the transcribed Nivel 2 values for the six cities, each with</w:t>
      </w:r>
    </w:p>
    <w:p>
      <w:r>
        <w:rPr>
          <w:rFonts w:ascii="Calibri" w:hAnsi="Calibri"/>
          <w:b w:val="0"/>
          <w:color w:val="000000"/>
          <w:sz w:val="22"/>
        </w:rPr>
        <w:t>its saved sheet, plus the invariant checks, spreads, generation shares and</w:t>
      </w:r>
    </w:p>
    <w:p>
      <w:r>
        <w:rPr>
          <w:rFonts w:ascii="Calibri" w:hAnsi="Calibri"/>
          <w:b w:val="0"/>
          <w:color w:val="000000"/>
          <w:sz w:val="22"/>
        </w:rPr>
        <w:t>two-band timing. The analysis applies flat and two-band costs to every</w:t>
      </w:r>
    </w:p>
    <w:p>
      <w:r>
        <w:rPr>
          <w:rFonts w:ascii="Calibri" w:hAnsi="Calibri"/>
          <w:b w:val="0"/>
          <w:color w:val="000000"/>
          <w:sz w:val="22"/>
        </w:rPr>
        <w:t>run's 15-minute power profile. It asserts that the profile energy equals</w:t>
      </w:r>
    </w:p>
    <w:p>
      <w:r>
        <w:rPr>
          <w:rFonts w:ascii="Calibri" w:hAnsi="Calibri"/>
          <w:b w:val="0"/>
          <w:color w:val="000000"/>
          <w:sz w:val="22"/>
        </w:rPr>
        <w:t>the registry energy (maximum difference 0.000000 kWh over 2,200 runs).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`scripts/analyze_closure_lower_demand.py`, `scripts/closure_voltage_contribution.py`, `scripts/closure_feeder_probe.py`, `scripts/closure_target_compliance.py` (new)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analyze_closure_lower_demand.py</w:t>
      </w:r>
      <w:r>
        <w:rPr>
          <w:rFonts w:ascii="Calibri" w:hAnsi="Calibri"/>
          <w:b w:val="0"/>
          <w:color w:val="000000"/>
          <w:sz w:val="22"/>
        </w:rPr>
        <w:t>: D3, paired comparisons between demand</w:t>
      </w:r>
    </w:p>
    <w:p>
      <w:r>
        <w:rPr>
          <w:rFonts w:ascii="Calibri" w:hAnsi="Calibri"/>
          <w:b w:val="0"/>
          <w:color w:val="000000"/>
          <w:sz w:val="22"/>
        </w:rPr>
        <w:t xml:space="preserve">  levels.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closure_voltage_contribution.py</w:t>
      </w:r>
      <w:r>
        <w:rPr>
          <w:rFonts w:ascii="Calibri" w:hAnsi="Calibri"/>
          <w:b w:val="0"/>
          <w:color w:val="000000"/>
          <w:sz w:val="22"/>
        </w:rPr>
        <w:t>: E3, the exact definition and CI of</w:t>
      </w:r>
    </w:p>
    <w:p>
      <w:r>
        <w:rPr>
          <w:rFonts w:ascii="Calibri" w:hAnsi="Calibri"/>
          <w:b w:val="0"/>
          <w:color w:val="000000"/>
          <w:sz w:val="22"/>
        </w:rPr>
        <w:t xml:space="preserve">  the "37%".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closure_feeder_probe.py</w:t>
      </w:r>
      <w:r>
        <w:rPr>
          <w:rFonts w:ascii="Calibri" w:hAnsi="Calibri"/>
          <w:b w:val="0"/>
          <w:color w:val="000000"/>
          <w:sz w:val="22"/>
        </w:rPr>
        <w:t>: E2, idle-station probes of every shipped</w:t>
      </w:r>
    </w:p>
    <w:p>
      <w:r>
        <w:rPr>
          <w:rFonts w:ascii="Calibri" w:hAnsi="Calibri"/>
          <w:b w:val="0"/>
          <w:color w:val="000000"/>
          <w:sz w:val="22"/>
        </w:rPr>
        <w:t xml:space="preserve">  feeder.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closure_ieee123_voltage.py</w:t>
      </w:r>
      <w:r>
        <w:rPr>
          <w:rFonts w:ascii="Calibri" w:hAnsi="Calibri"/>
          <w:b w:val="0"/>
          <w:color w:val="000000"/>
          <w:sz w:val="22"/>
        </w:rPr>
        <w:t xml:space="preserve"> with </w:t>
      </w:r>
      <w:r>
        <w:rPr>
          <w:rFonts w:ascii="Consolas" w:hAnsi="Consolas"/>
          <w:b w:val="0"/>
          <w:color w:val="000000"/>
          <w:sz w:val="20"/>
        </w:rPr>
        <w:t>run_closure_ieee123_worker.cmd</w:t>
      </w:r>
      <w:r>
        <w:rPr>
          <w:rFonts w:ascii="Calibri" w:hAnsi="Calibri"/>
          <w:b w:val="0"/>
          <w:color w:val="000000"/>
          <w:sz w:val="22"/>
        </w:rPr>
        <w:t>, and</w:t>
      </w:r>
    </w:p>
    <w:p>
      <w:r>
        <w:rPr>
          <w:rFonts w:ascii="Calibri" w:hAnsi="Calibri"/>
          <w:b w:val="0"/>
          <w:color w:val="000000"/>
          <w:sz w:val="22"/>
        </w:rPr>
        <w:t xml:space="preserve">  </w:t>
      </w:r>
      <w:r>
        <w:rPr>
          <w:rFonts w:ascii="Consolas" w:hAnsi="Consolas"/>
          <w:b w:val="0"/>
          <w:color w:val="000000"/>
          <w:sz w:val="20"/>
        </w:rPr>
        <w:t>analyze_closure_ieee123.py</w:t>
      </w:r>
      <w:r>
        <w:rPr>
          <w:rFonts w:ascii="Calibri" w:hAnsi="Calibri"/>
          <w:b w:val="0"/>
          <w:color w:val="000000"/>
          <w:sz w:val="22"/>
        </w:rPr>
        <w:t>: E2, the node_123 reruns (450 runs,</w:t>
      </w:r>
    </w:p>
    <w:p>
      <w:r>
        <w:rPr>
          <w:rFonts w:ascii="Calibri" w:hAnsi="Calibri"/>
          <w:b w:val="0"/>
          <w:color w:val="000000"/>
          <w:sz w:val="22"/>
        </w:rPr>
        <w:t xml:space="preserve">  resumable shards) and their analysis.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closure_target_compliance.py</w:t>
      </w:r>
      <w:r>
        <w:rPr>
          <w:rFonts w:ascii="Calibri" w:hAnsi="Calibri"/>
          <w:b w:val="0"/>
          <w:color w:val="000000"/>
          <w:sz w:val="22"/>
        </w:rPr>
        <w:t>: the final compliance table.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`scripts/regenerate_margin_vs_overload.py` (new), `scripts/closure_audit.py` (new)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regenerate_margin_vs_overload.py</w:t>
      </w:r>
      <w:r>
        <w:rPr>
          <w:rFonts w:ascii="Calibri" w:hAnsi="Calibri"/>
          <w:b w:val="0"/>
          <w:color w:val="000000"/>
          <w:sz w:val="22"/>
        </w:rPr>
        <w:t>: A.2. It is the missing generator</w:t>
      </w:r>
    </w:p>
    <w:p>
      <w:r>
        <w:rPr>
          <w:rFonts w:ascii="Calibri" w:hAnsi="Calibri"/>
          <w:b w:val="0"/>
          <w:color w:val="000000"/>
          <w:sz w:val="22"/>
        </w:rPr>
        <w:t xml:space="preserve">  for </w:t>
      </w:r>
      <w:r>
        <w:rPr>
          <w:rFonts w:ascii="Consolas" w:hAnsi="Consolas"/>
          <w:b w:val="0"/>
          <w:color w:val="000000"/>
          <w:sz w:val="20"/>
        </w:rPr>
        <w:t>week5_margin_vs_overload.csv</w:t>
      </w:r>
      <w:r>
        <w:rPr>
          <w:rFonts w:ascii="Calibri" w:hAnsi="Calibri"/>
          <w:b w:val="0"/>
          <w:color w:val="000000"/>
          <w:sz w:val="22"/>
        </w:rPr>
        <w:t>, now regenerated from the analysis</w:t>
      </w:r>
    </w:p>
    <w:p>
      <w:r>
        <w:rPr>
          <w:rFonts w:ascii="Calibri" w:hAnsi="Calibri"/>
          <w:b w:val="0"/>
          <w:color w:val="000000"/>
          <w:sz w:val="22"/>
        </w:rPr>
        <w:t xml:space="preserve">  rows, plus the cluster-bootstrap companion.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closure_audit.py</w:t>
      </w:r>
      <w:r>
        <w:rPr>
          <w:rFonts w:ascii="Calibri" w:hAnsi="Calibri"/>
          <w:b w:val="0"/>
          <w:color w:val="000000"/>
          <w:sz w:val="22"/>
        </w:rPr>
        <w:t>: Part F. It is the audit table of stated against</w:t>
      </w:r>
    </w:p>
    <w:p>
      <w:r>
        <w:rPr>
          <w:rFonts w:ascii="Calibri" w:hAnsi="Calibri"/>
          <w:b w:val="0"/>
          <w:color w:val="000000"/>
          <w:sz w:val="22"/>
        </w:rPr>
        <w:t xml:space="preserve">  source values (</w:t>
      </w:r>
      <w:r>
        <w:rPr>
          <w:rFonts w:ascii="Consolas" w:hAnsi="Consolas"/>
          <w:b w:val="0"/>
          <w:color w:val="000000"/>
          <w:sz w:val="20"/>
        </w:rPr>
        <w:t>results/closure_audit_table.csv</w:t>
      </w:r>
      <w:r>
        <w:rPr>
          <w:rFonts w:ascii="Calibri" w:hAnsi="Calibri"/>
          <w:b w:val="0"/>
          <w:color w:val="000000"/>
          <w:sz w:val="22"/>
        </w:rPr>
        <w:t>), and it ends with 0</w:t>
      </w:r>
    </w:p>
    <w:p>
      <w:r>
        <w:rPr>
          <w:rFonts w:ascii="Calibri" w:hAnsi="Calibri"/>
          <w:b w:val="0"/>
          <w:color w:val="000000"/>
          <w:sz w:val="22"/>
        </w:rPr>
        <w:t xml:space="preserve">  unresolved occurrences.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`scripts/export_closure_results_xlsx.py` (new), `scripts/extend_progress_log.py` (extended)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export_closure_results_xlsx.py</w:t>
      </w:r>
      <w:r>
        <w:rPr>
          <w:rFonts w:ascii="Calibri" w:hAnsi="Calibri"/>
          <w:b w:val="0"/>
          <w:color w:val="000000"/>
          <w:sz w:val="22"/>
        </w:rPr>
        <w:t>: every closure table as a formatted</w:t>
      </w:r>
    </w:p>
    <w:p>
      <w:r>
        <w:rPr>
          <w:rFonts w:ascii="Calibri" w:hAnsi="Calibri"/>
          <w:b w:val="0"/>
          <w:color w:val="000000"/>
          <w:sz w:val="22"/>
        </w:rPr>
        <w:t xml:space="preserve">  </w:t>
      </w:r>
      <w:r>
        <w:rPr>
          <w:rFonts w:ascii="Consolas" w:hAnsi="Consolas"/>
          <w:b w:val="0"/>
          <w:color w:val="000000"/>
          <w:sz w:val="20"/>
        </w:rPr>
        <w:t>.xlsx</w:t>
      </w:r>
      <w:r>
        <w:rPr>
          <w:rFonts w:ascii="Calibri" w:hAnsi="Calibri"/>
          <w:b w:val="0"/>
          <w:color w:val="000000"/>
          <w:sz w:val="22"/>
        </w:rPr>
        <w:t xml:space="preserve"> through </w:t>
      </w:r>
      <w:r>
        <w:rPr>
          <w:rFonts w:ascii="Consolas" w:hAnsi="Consolas"/>
          <w:b w:val="0"/>
          <w:color w:val="000000"/>
          <w:sz w:val="20"/>
        </w:rPr>
        <w:t>export_formatted_xlsx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extend_progress_log.py</w:t>
      </w:r>
      <w:r>
        <w:rPr>
          <w:rFonts w:ascii="Calibri" w:hAnsi="Calibri"/>
          <w:b w:val="0"/>
          <w:color w:val="000000"/>
          <w:sz w:val="22"/>
        </w:rPr>
        <w:t>: Progress Log section 15, appended only. 15.1</w:t>
      </w:r>
    </w:p>
    <w:p>
      <w:r>
        <w:rPr>
          <w:rFonts w:ascii="Calibri" w:hAnsi="Calibri"/>
          <w:b w:val="0"/>
          <w:color w:val="000000"/>
          <w:sz w:val="22"/>
        </w:rPr>
        <w:t xml:space="preserve">  lists dated corrections to earlier paragraphs by section number.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Tests: `ev2gym_thesis/tests/test_closure.py` (new); `test_week4.py`, `test_week6_infra.py` (corrected)</w:t>
      </w:r>
    </w:p>
    <w:p>
      <w:r>
        <w:rPr>
          <w:rFonts w:ascii="Consolas" w:hAnsi="Consolas"/>
          <w:b w:val="0"/>
          <w:color w:val="000000"/>
          <w:sz w:val="20"/>
        </w:rPr>
        <w:t>test_closure.py</w:t>
      </w:r>
      <w:r>
        <w:rPr>
          <w:rFonts w:ascii="Calibri" w:hAnsi="Calibri"/>
          <w:b w:val="0"/>
          <w:color w:val="000000"/>
          <w:sz w:val="22"/>
        </w:rPr>
        <w:t xml:space="preserve"> covers: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censoring wrapper and its replay against the registry;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DNS formula, the tables, the thresholds and the C2 options;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city invariants, spreads and band timing;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D3 monotonicity;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the no-feedback source check and the feeder classification.</w:t>
      </w:r>
    </w:p>
    <w:p>
      <w:r>
        <w:rPr>
          <w:rFonts w:ascii="Calibri" w:hAnsi="Calibri"/>
          <w:b w:val="0"/>
          <w:color w:val="000000"/>
          <w:sz w:val="22"/>
        </w:rPr>
        <w:t>Two tests were corrected: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test_week4.TestRegistryCount</w:t>
      </w:r>
      <w:r>
        <w:rPr>
          <w:rFonts w:ascii="Calibri" w:hAnsi="Calibri"/>
          <w:b w:val="0"/>
          <w:color w:val="000000"/>
          <w:sz w:val="22"/>
        </w:rPr>
        <w:t xml:space="preserve"> now pins 22 arms × 100 cells and the</w:t>
      </w:r>
    </w:p>
    <w:p>
      <w:r>
        <w:rPr>
          <w:rFonts w:ascii="Calibri" w:hAnsi="Calibri"/>
          <w:b w:val="0"/>
          <w:color w:val="000000"/>
          <w:sz w:val="22"/>
        </w:rPr>
        <w:t xml:space="preserve">  exact cell cover.</w:t>
      </w:r>
    </w:p>
    <w:p>
      <w:pPr>
        <w:pStyle w:val="ListBullet"/>
      </w:pPr>
      <w:r>
        <w:rPr>
          <w:rFonts w:ascii="Consolas" w:hAnsi="Consolas"/>
          <w:b w:val="0"/>
          <w:color w:val="000000"/>
          <w:sz w:val="20"/>
        </w:rPr>
        <w:t>test_week6_infra.TestRegistryGridFlag</w:t>
      </w:r>
      <w:r>
        <w:rPr>
          <w:rFonts w:ascii="Calibri" w:hAnsi="Calibri"/>
          <w:b w:val="0"/>
          <w:color w:val="000000"/>
          <w:sz w:val="22"/>
        </w:rPr>
        <w:t xml:space="preserve"> keeps the pre-closure 2,200 pin</w:t>
      </w:r>
    </w:p>
    <w:p>
      <w:r>
        <w:rPr>
          <w:rFonts w:ascii="Calibri" w:hAnsi="Calibri"/>
          <w:b w:val="0"/>
          <w:color w:val="000000"/>
          <w:sz w:val="22"/>
        </w:rPr>
        <w:t xml:space="preserve">  and adds a separate 6,000 closure pin.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Sources added (`thesis_docs/sources/`, record in `SOURCES_closure.md`)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Regulation:</w:t>
      </w:r>
      <w:r>
        <w:rPr>
          <w:rFonts w:ascii="Calibri" w:hAnsi="Calibri"/>
          <w:b w:val="0"/>
          <w:color w:val="000000"/>
          <w:sz w:val="22"/>
        </w:rPr>
        <w:t xml:space="preserve"> CREG 015/2018 (</w:t>
      </w:r>
      <w:r>
        <w:rPr>
          <w:rFonts w:ascii="Consolas" w:hAnsi="Consolas"/>
          <w:b w:val="0"/>
          <w:color w:val="000000"/>
          <w:sz w:val="20"/>
        </w:rPr>
        <w:t>regulatory/creg_015_2018.htm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Standards:</w:t>
      </w:r>
      <w:r>
        <w:rPr>
          <w:rFonts w:ascii="Calibri" w:hAnsi="Calibri"/>
          <w:b w:val="0"/>
          <w:color w:val="000000"/>
          <w:sz w:val="22"/>
        </w:rPr>
        <w:t xml:space="preserve"> Enel ET-013, ET-009 and ET-012 (</w:t>
      </w:r>
      <w:r>
        <w:rPr>
          <w:rFonts w:ascii="Consolas" w:hAnsi="Consolas"/>
          <w:b w:val="0"/>
          <w:color w:val="000000"/>
          <w:sz w:val="20"/>
        </w:rPr>
        <w:t>standards/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Municipal categories:</w:t>
      </w:r>
      <w:r>
        <w:rPr>
          <w:rFonts w:ascii="Calibri" w:hAnsi="Calibri"/>
          <w:b w:val="0"/>
          <w:color w:val="000000"/>
          <w:sz w:val="22"/>
        </w:rPr>
        <w:t xml:space="preserve"> the CGN categorisation workbook and Res.</w:t>
      </w:r>
    </w:p>
    <w:p>
      <w:r>
        <w:rPr>
          <w:rFonts w:ascii="Calibri" w:hAnsi="Calibri"/>
          <w:b w:val="0"/>
          <w:color w:val="000000"/>
          <w:sz w:val="22"/>
        </w:rPr>
        <w:t xml:space="preserve">  338/2025, plus Ley 617/2000 (</w:t>
      </w:r>
      <w:r>
        <w:rPr>
          <w:rFonts w:ascii="Consolas" w:hAnsi="Consolas"/>
          <w:b w:val="0"/>
          <w:color w:val="000000"/>
          <w:sz w:val="20"/>
        </w:rPr>
        <w:t>municipal_categories/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Tariff sheets:</w:t>
      </w:r>
      <w:r>
        <w:rPr>
          <w:rFonts w:ascii="Calibri" w:hAnsi="Calibri"/>
          <w:b w:val="0"/>
          <w:color w:val="000000"/>
          <w:sz w:val="22"/>
        </w:rPr>
        <w:t xml:space="preserve"> ESSA Sep 2026, Afinia Sep 2026, Air-e Sep 2026 and</w:t>
      </w:r>
    </w:p>
    <w:p>
      <w:r>
        <w:rPr>
          <w:rFonts w:ascii="Calibri" w:hAnsi="Calibri"/>
          <w:b w:val="0"/>
          <w:color w:val="000000"/>
          <w:sz w:val="22"/>
        </w:rPr>
        <w:t xml:space="preserve">  EMCALI Jan 2026 (</w:t>
      </w:r>
      <w:r>
        <w:rPr>
          <w:rFonts w:ascii="Consolas" w:hAnsi="Consolas"/>
          <w:b w:val="0"/>
          <w:color w:val="000000"/>
          <w:sz w:val="20"/>
        </w:rPr>
        <w:t>tariffs_d2/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000000"/>
          <w:sz w:val="22"/>
        </w:rPr>
        <w:t>Charging-price press reports:</w:t>
      </w:r>
      <w:r>
        <w:rPr>
          <w:rFonts w:ascii="Calibri" w:hAnsi="Calibri"/>
          <w:b w:val="0"/>
          <w:color w:val="000000"/>
          <w:sz w:val="22"/>
        </w:rPr>
        <w:t xml:space="preserve"> El País (EMCALI) and Vanguardia (ESSA).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