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2"/>
        </w:rPr>
        <w:t>Customer Enrollment Center on SAP BTP</w:t>
      </w:r>
    </w:p>
    <w:p>
      <w:pPr>
        <w:jc w:val="center"/>
      </w:pPr>
      <w:r>
        <w:rPr>
          <w:b/>
          <w:color w:val="404040"/>
          <w:sz w:val="36"/>
        </w:rPr>
        <w:t>Technical Design Document</w:t>
      </w:r>
    </w:p>
    <w:p>
      <w:pPr>
        <w:jc w:val="center"/>
      </w:pPr>
      <w:r>
        <w:rPr>
          <w:b w:val="0"/>
          <w:color w:val="595959"/>
          <w:sz w:val="24"/>
        </w:rPr>
        <w:t>S/4HANA Utilities Data Sources, Standard APIs, CDS Views, BRFplus Applications and End-to-End Architecture</w:t>
      </w:r>
    </w:p>
    <w:p/>
    <w:p/>
    <w:p/>
    <w:p/>
    <w:p/>
    <w:p/>
    <w:p/>
    <w:tbl>
      <w:tblPr>
        <w:tblStyle w:val="TableGrid"/>
        <w:tblW w:type="auto" w:w="0"/>
        <w:jc w:val="center"/>
        <w:tblLayout w:type="fixed"/>
        <w:tblLook w:firstColumn="1" w:firstRow="1" w:lastColumn="0" w:lastRow="0" w:noHBand="0" w:noVBand="1" w:val="04A0"/>
      </w:tblPr>
      <w:tblGrid>
        <w:gridCol w:w="4320"/>
        <w:gridCol w:w="4320"/>
      </w:tblGrid>
      <w:tr>
        <w:tc>
          <w:tcPr>
            <w:tcW w:type="dxa" w:w="2448"/>
            <w:shd w:val="clear" w:fill="1F4E79"/>
          </w:tcPr>
          <w:p>
            <w:r/>
            <w:r>
              <w:rPr>
                <w:b/>
                <w:color w:val="FFFFFF"/>
                <w:sz w:val="19"/>
              </w:rPr>
              <w:t>Attribute</w:t>
            </w:r>
          </w:p>
        </w:tc>
        <w:tc>
          <w:tcPr>
            <w:tcW w:type="dxa" w:w="6912"/>
            <w:shd w:val="clear" w:fill="1F4E79"/>
          </w:tcPr>
          <w:p>
            <w:r/>
            <w:r>
              <w:rPr>
                <w:b/>
                <w:color w:val="FFFFFF"/>
                <w:sz w:val="19"/>
              </w:rPr>
              <w:t>Value</w:t>
            </w:r>
          </w:p>
        </w:tc>
      </w:tr>
      <w:tr>
        <w:tc>
          <w:tcPr>
            <w:tcW w:type="dxa" w:w="2448"/>
          </w:tcPr>
          <w:p>
            <w:r/>
            <w:r>
              <w:rPr>
                <w:sz w:val="19"/>
              </w:rPr>
              <w:t>Document</w:t>
            </w:r>
          </w:p>
        </w:tc>
        <w:tc>
          <w:tcPr>
            <w:tcW w:type="dxa" w:w="6912"/>
          </w:tcPr>
          <w:p>
            <w:r/>
            <w:r>
              <w:rPr>
                <w:sz w:val="19"/>
              </w:rPr>
              <w:t>Enrollment Center – Technical Design (TDD)</w:t>
            </w:r>
          </w:p>
        </w:tc>
      </w:tr>
      <w:tr>
        <w:tc>
          <w:tcPr>
            <w:tcW w:type="dxa" w:w="2448"/>
            <w:shd w:val="clear" w:fill="DEEAF6"/>
          </w:tcPr>
          <w:p>
            <w:r/>
            <w:r>
              <w:rPr>
                <w:sz w:val="19"/>
              </w:rPr>
              <w:t>Version / Status</w:t>
            </w:r>
          </w:p>
        </w:tc>
        <w:tc>
          <w:tcPr>
            <w:tcW w:type="dxa" w:w="6912"/>
            <w:shd w:val="clear" w:fill="DEEAF6"/>
          </w:tcPr>
          <w:p>
            <w:r/>
            <w:r>
              <w:rPr>
                <w:sz w:val="19"/>
              </w:rPr>
              <w:t>1.0 (Draft for Review)</w:t>
            </w:r>
          </w:p>
        </w:tc>
      </w:tr>
      <w:tr>
        <w:tc>
          <w:tcPr>
            <w:tcW w:type="dxa" w:w="2448"/>
          </w:tcPr>
          <w:p>
            <w:r/>
            <w:r>
              <w:rPr>
                <w:sz w:val="19"/>
              </w:rPr>
              <w:t>Date</w:t>
            </w:r>
          </w:p>
        </w:tc>
        <w:tc>
          <w:tcPr>
            <w:tcW w:type="dxa" w:w="6912"/>
          </w:tcPr>
          <w:p>
            <w:r/>
            <w:r>
              <w:rPr>
                <w:sz w:val="19"/>
              </w:rPr>
              <w:t>08 July 2026</w:t>
            </w:r>
          </w:p>
        </w:tc>
      </w:tr>
      <w:tr>
        <w:tc>
          <w:tcPr>
            <w:tcW w:type="dxa" w:w="2448"/>
            <w:shd w:val="clear" w:fill="DEEAF6"/>
          </w:tcPr>
          <w:p>
            <w:r/>
            <w:r>
              <w:rPr>
                <w:sz w:val="19"/>
              </w:rPr>
              <w:t>Related Documents</w:t>
            </w:r>
          </w:p>
        </w:tc>
        <w:tc>
          <w:tcPr>
            <w:tcW w:type="dxa" w:w="6912"/>
            <w:shd w:val="clear" w:fill="DEEAF6"/>
          </w:tcPr>
          <w:p>
            <w:r/>
            <w:r>
              <w:rPr>
                <w:sz w:val="19"/>
              </w:rPr>
              <w:t>Enrollment Center – SAP Service Cloud V2 Solution Design v2.0; CS-01 / CS-02 BPDs; interactive demo (3 URLs)</w:t>
            </w:r>
          </w:p>
        </w:tc>
      </w:tr>
      <w:tr>
        <w:tc>
          <w:tcPr>
            <w:tcW w:type="dxa" w:w="2448"/>
          </w:tcPr>
          <w:p>
            <w:r/>
            <w:r>
              <w:rPr>
                <w:sz w:val="19"/>
              </w:rPr>
              <w:t>Grounding Sources</w:t>
            </w:r>
          </w:p>
        </w:tc>
        <w:tc>
          <w:tcPr>
            <w:tcW w:type="dxa" w:w="6912"/>
          </w:tcPr>
          <w:p>
            <w:r/>
            <w:r>
              <w:rPr>
                <w:sz w:val="19"/>
              </w:rPr>
              <w:t>SAP S/4HANA Utilities CDS view catalog and API guide (client reference library); legacy CRM Enrollment Center FS/TS (FUNC_PGMENRL_PRECHECK, RS_DPP_INT_VALIDATION, ZRFC_GET_RATE_CATEGORY)</w:t>
            </w:r>
          </w:p>
        </w:tc>
      </w:tr>
      <w:tr>
        <w:tc>
          <w:tcPr>
            <w:tcW w:type="dxa" w:w="2448"/>
            <w:shd w:val="clear" w:fill="DEEAF6"/>
          </w:tcPr>
          <w:p>
            <w:r/>
            <w:r>
              <w:rPr>
                <w:sz w:val="19"/>
              </w:rPr>
              <w:t>Audience</w:t>
            </w:r>
          </w:p>
        </w:tc>
        <w:tc>
          <w:tcPr>
            <w:tcW w:type="dxa" w:w="6912"/>
            <w:shd w:val="clear" w:fill="DEEAF6"/>
          </w:tcPr>
          <w:p>
            <w:r/>
            <w:r>
              <w:rPr>
                <w:sz w:val="19"/>
              </w:rPr>
              <w:t>BTP developers, S/4HANA Utilities (ISU/FI-CA) developers, integration architects, Basis/security</w:t>
            </w:r>
          </w:p>
        </w:tc>
      </w:tr>
    </w:tbl>
    <w:p>
      <w:pPr>
        <w:spacing w:after="40"/>
      </w:pPr>
    </w:p>
    <w:p>
      <w:r>
        <w:br w:type="page"/>
      </w:r>
    </w:p>
    <w:p>
      <w:pPr>
        <w:pStyle w:val="Heading1"/>
      </w:pPr>
      <w:r>
        <w:t>1. Purpose and Scope</w:t>
      </w:r>
    </w:p>
    <w:p>
      <w:r>
        <w:rPr>
          <w:b w:val="0"/>
        </w:rPr>
        <w:t>This TDD specifies the technical building blocks for the custom Enrollment Center application: the BTP application components, the S/4HANA Utilities data sources it reads (CDS views, released APIs, underlying tables), the BRFplus applications that decide program eligibility, and the custom objects that bridge the two. It is the developer-facing companion to the Solution Design v2.0: functional behavior (four UI panels, dual access points, deferred move-in fulfillment, status model) is defined there and not repeated here.</w:t>
      </w:r>
    </w:p>
    <w:p>
      <w:r>
        <w:rPr>
          <w:b w:val="0"/>
        </w:rPr>
        <w:t>Design rule restated: S/4HANA Utilities is the system of record; the BTP application persists only process state (enrollment requests, audit) and reads all master/transactional context live from S/4HANA. BRFplus in S/4HANA remains the single eligibility rules engine, callable by every channel.</w:t>
      </w:r>
    </w:p>
    <w:p>
      <w:pPr>
        <w:pStyle w:val="Heading1"/>
      </w:pPr>
      <w:r>
        <w:t>2. End-to-End Architecture</w:t>
      </w:r>
    </w:p>
    <w:p>
      <w:pPr>
        <w:pStyle w:val="Heading2"/>
      </w:pPr>
      <w:r>
        <w:t>2.1 Runtime Components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1296"/>
            <w:shd w:val="clear" w:fill="1F4E79"/>
          </w:tcPr>
          <w:p>
            <w:r/>
            <w:r>
              <w:rPr>
                <w:b/>
                <w:color w:val="FFFFFF"/>
                <w:sz w:val="17"/>
              </w:rPr>
              <w:t>Layer</w:t>
            </w:r>
          </w:p>
        </w:tc>
        <w:tc>
          <w:tcPr>
            <w:tcW w:type="dxa" w:w="2160"/>
            <w:shd w:val="clear" w:fill="1F4E79"/>
          </w:tcPr>
          <w:p>
            <w:r/>
            <w:r>
              <w:rPr>
                <w:b/>
                <w:color w:val="FFFFFF"/>
                <w:sz w:val="17"/>
              </w:rPr>
              <w:t>Component</w:t>
            </w:r>
          </w:p>
        </w:tc>
        <w:tc>
          <w:tcPr>
            <w:tcW w:type="dxa" w:w="2448"/>
            <w:shd w:val="clear" w:fill="1F4E79"/>
          </w:tcPr>
          <w:p>
            <w:r/>
            <w:r>
              <w:rPr>
                <w:b/>
                <w:color w:val="FFFFFF"/>
                <w:sz w:val="17"/>
              </w:rPr>
              <w:t>Technology</w:t>
            </w:r>
          </w:p>
        </w:tc>
        <w:tc>
          <w:tcPr>
            <w:tcW w:type="dxa" w:w="3456"/>
            <w:shd w:val="clear" w:fill="1F4E79"/>
          </w:tcPr>
          <w:p>
            <w:r/>
            <w:r>
              <w:rPr>
                <w:b/>
                <w:color w:val="FFFFFF"/>
                <w:sz w:val="17"/>
              </w:rPr>
              <w:t>Responsibility</w:t>
            </w:r>
          </w:p>
        </w:tc>
      </w:tr>
      <w:tr>
        <w:tc>
          <w:tcPr>
            <w:tcW w:type="dxa" w:w="1296"/>
          </w:tcPr>
          <w:p>
            <w:r/>
            <w:r>
              <w:rPr>
                <w:sz w:val="17"/>
              </w:rPr>
              <w:t>SC V2</w:t>
            </w:r>
          </w:p>
        </w:tc>
        <w:tc>
          <w:tcPr>
            <w:tcW w:type="dxa" w:w="2160"/>
          </w:tcPr>
          <w:p>
            <w:r/>
            <w:r>
              <w:rPr>
                <w:sz w:val="17"/>
              </w:rPr>
              <w:t>Agent desktop + mashup / Move-In step</w:t>
            </w:r>
          </w:p>
        </w:tc>
        <w:tc>
          <w:tcPr>
            <w:tcW w:type="dxa" w:w="2448"/>
          </w:tcPr>
          <w:p>
            <w:r/>
            <w:r>
              <w:rPr>
                <w:sz w:val="17"/>
              </w:rPr>
              <w:t>SAP Service Cloud V2 UI integration</w:t>
            </w:r>
          </w:p>
        </w:tc>
        <w:tc>
          <w:tcPr>
            <w:tcW w:type="dxa" w:w="3456"/>
          </w:tcPr>
          <w:p>
            <w:r/>
            <w:r>
              <w:rPr>
                <w:sz w:val="17"/>
              </w:rPr>
              <w:t>Launch Enrollment Center with signed context (BP, CA, case / move-in ID)</w:t>
            </w:r>
          </w:p>
        </w:tc>
      </w:tr>
      <w:tr>
        <w:tc>
          <w:tcPr>
            <w:tcW w:type="dxa" w:w="1296"/>
            <w:shd w:val="clear" w:fill="DEEAF6"/>
          </w:tcPr>
          <w:p>
            <w:r/>
            <w:r>
              <w:rPr>
                <w:sz w:val="17"/>
              </w:rPr>
              <w:t>BTP – UI</w:t>
            </w:r>
          </w:p>
        </w:tc>
        <w:tc>
          <w:tcPr>
            <w:tcW w:type="dxa" w:w="2160"/>
            <w:shd w:val="clear" w:fill="DEEAF6"/>
          </w:tcPr>
          <w:p>
            <w:r/>
            <w:r>
              <w:rPr>
                <w:sz w:val="17"/>
              </w:rPr>
              <w:t>Enrollment Center UI</w:t>
            </w:r>
          </w:p>
        </w:tc>
        <w:tc>
          <w:tcPr>
            <w:tcW w:type="dxa" w:w="2448"/>
            <w:shd w:val="clear" w:fill="DEEAF6"/>
          </w:tcPr>
          <w:p>
            <w:r/>
            <w:r>
              <w:rPr>
                <w:sz w:val="17"/>
              </w:rPr>
              <w:t>SAPUI5 (TypeScript, Horizon), HTML5 App Repository, managed approuter</w:t>
            </w:r>
          </w:p>
        </w:tc>
        <w:tc>
          <w:tcPr>
            <w:tcW w:type="dxa" w:w="3456"/>
            <w:shd w:val="clear" w:fill="DEEAF6"/>
          </w:tcPr>
          <w:p>
            <w:r/>
            <w:r>
              <w:rPr>
                <w:sz w:val="17"/>
              </w:rPr>
              <w:t>Four-panel UI, enroll/de-enroll wizards, mode switch (standalone / move-in)</w:t>
            </w:r>
          </w:p>
        </w:tc>
      </w:tr>
      <w:tr>
        <w:tc>
          <w:tcPr>
            <w:tcW w:type="dxa" w:w="1296"/>
          </w:tcPr>
          <w:p>
            <w:r/>
            <w:r>
              <w:rPr>
                <w:sz w:val="17"/>
              </w:rPr>
              <w:t>BTP – Service</w:t>
            </w:r>
          </w:p>
        </w:tc>
        <w:tc>
          <w:tcPr>
            <w:tcW w:type="dxa" w:w="2160"/>
          </w:tcPr>
          <w:p>
            <w:r/>
            <w:r>
              <w:rPr>
                <w:sz w:val="17"/>
              </w:rPr>
              <w:t>Enrollment Service</w:t>
            </w:r>
          </w:p>
        </w:tc>
        <w:tc>
          <w:tcPr>
            <w:tcW w:type="dxa" w:w="2448"/>
          </w:tcPr>
          <w:p>
            <w:r/>
            <w:r>
              <w:rPr>
                <w:sz w:val="17"/>
              </w:rPr>
              <w:t>CAP (Node.js) on Cloud Foundry</w:t>
            </w:r>
          </w:p>
        </w:tc>
        <w:tc>
          <w:tcPr>
            <w:tcW w:type="dxa" w:w="3456"/>
          </w:tcPr>
          <w:p>
            <w:r/>
            <w:r>
              <w:rPr>
                <w:sz w:val="17"/>
              </w:rPr>
              <w:t>APIs /enrollment/v1/*; state machine; validation; audit; program catalog</w:t>
            </w:r>
          </w:p>
        </w:tc>
      </w:tr>
      <w:tr>
        <w:tc>
          <w:tcPr>
            <w:tcW w:type="dxa" w:w="1296"/>
            <w:shd w:val="clear" w:fill="DEEAF6"/>
          </w:tcPr>
          <w:p>
            <w:r/>
            <w:r>
              <w:rPr>
                <w:sz w:val="17"/>
              </w:rPr>
              <w:t>BTP – Rules facade</w:t>
            </w:r>
          </w:p>
        </w:tc>
        <w:tc>
          <w:tcPr>
            <w:tcW w:type="dxa" w:w="2160"/>
            <w:shd w:val="clear" w:fill="DEEAF6"/>
          </w:tcPr>
          <w:p>
            <w:r/>
            <w:r>
              <w:rPr>
                <w:sz w:val="17"/>
              </w:rPr>
              <w:t>Eligibility Adapter</w:t>
            </w:r>
          </w:p>
        </w:tc>
        <w:tc>
          <w:tcPr>
            <w:tcW w:type="dxa" w:w="2448"/>
            <w:shd w:val="clear" w:fill="DEEAF6"/>
          </w:tcPr>
          <w:p>
            <w:r/>
            <w:r>
              <w:rPr>
                <w:sz w:val="17"/>
              </w:rPr>
              <w:t>CAP module + destination (RFC/OData)</w:t>
            </w:r>
          </w:p>
        </w:tc>
        <w:tc>
          <w:tcPr>
            <w:tcW w:type="dxa" w:w="3456"/>
            <w:shd w:val="clear" w:fill="DEEAF6"/>
          </w:tcPr>
          <w:p>
            <w:r/>
            <w:r>
              <w:rPr>
                <w:sz w:val="17"/>
              </w:rPr>
              <w:t>Batches eligibility calls to S/4HANA BRFplus wrapper; normalizes messages/severities</w:t>
            </w:r>
          </w:p>
        </w:tc>
      </w:tr>
      <w:tr>
        <w:tc>
          <w:tcPr>
            <w:tcW w:type="dxa" w:w="1296"/>
          </w:tcPr>
          <w:p>
            <w:r/>
            <w:r>
              <w:rPr>
                <w:sz w:val="17"/>
              </w:rPr>
              <w:t>BTP – Persistence</w:t>
            </w:r>
          </w:p>
        </w:tc>
        <w:tc>
          <w:tcPr>
            <w:tcW w:type="dxa" w:w="2160"/>
          </w:tcPr>
          <w:p>
            <w:r/>
            <w:r>
              <w:rPr>
                <w:sz w:val="17"/>
              </w:rPr>
              <w:t>Enrollment DB</w:t>
            </w:r>
          </w:p>
        </w:tc>
        <w:tc>
          <w:tcPr>
            <w:tcW w:type="dxa" w:w="2448"/>
          </w:tcPr>
          <w:p>
            <w:r/>
            <w:r>
              <w:rPr>
                <w:sz w:val="17"/>
              </w:rPr>
              <w:t>SAP HANA Cloud (HDI)</w:t>
            </w:r>
          </w:p>
        </w:tc>
        <w:tc>
          <w:tcPr>
            <w:tcW w:type="dxa" w:w="3456"/>
          </w:tcPr>
          <w:p>
            <w:r/>
            <w:r>
              <w:rPr>
                <w:sz w:val="17"/>
              </w:rPr>
              <w:t>EnrollmentRequest, ProgramCatalog, OverrideRecord, AuditLog, EventInbox</w:t>
            </w:r>
          </w:p>
        </w:tc>
      </w:tr>
      <w:tr>
        <w:tc>
          <w:tcPr>
            <w:tcW w:type="dxa" w:w="1296"/>
            <w:shd w:val="clear" w:fill="DEEAF6"/>
          </w:tcPr>
          <w:p>
            <w:r/>
            <w:r>
              <w:rPr>
                <w:sz w:val="17"/>
              </w:rPr>
              <w:t>BTP – Workflow</w:t>
            </w:r>
          </w:p>
        </w:tc>
        <w:tc>
          <w:tcPr>
            <w:tcW w:type="dxa" w:w="2160"/>
            <w:shd w:val="clear" w:fill="DEEAF6"/>
          </w:tcPr>
          <w:p>
            <w:r/>
            <w:r>
              <w:rPr>
                <w:sz w:val="17"/>
              </w:rPr>
              <w:t>Exception &amp; override workflow</w:t>
            </w:r>
          </w:p>
        </w:tc>
        <w:tc>
          <w:tcPr>
            <w:tcW w:type="dxa" w:w="2448"/>
            <w:shd w:val="clear" w:fill="DEEAF6"/>
          </w:tcPr>
          <w:p>
            <w:r/>
            <w:r>
              <w:rPr>
                <w:sz w:val="17"/>
              </w:rPr>
              <w:t>SAP Build Process Automation</w:t>
            </w:r>
          </w:p>
        </w:tc>
        <w:tc>
          <w:tcPr>
            <w:tcW w:type="dxa" w:w="3456"/>
            <w:shd w:val="clear" w:fill="DEEAF6"/>
          </w:tcPr>
          <w:p>
            <w:r/>
            <w:r>
              <w:rPr>
                <w:sz w:val="17"/>
              </w:rPr>
              <w:t>Supervisor override, Error-In-Review handling</w:t>
            </w:r>
          </w:p>
        </w:tc>
      </w:tr>
      <w:tr>
        <w:tc>
          <w:tcPr>
            <w:tcW w:type="dxa" w:w="1296"/>
          </w:tcPr>
          <w:p>
            <w:r/>
            <w:r>
              <w:rPr>
                <w:sz w:val="17"/>
              </w:rPr>
              <w:t>Integration</w:t>
            </w:r>
          </w:p>
        </w:tc>
        <w:tc>
          <w:tcPr>
            <w:tcW w:type="dxa" w:w="2160"/>
          </w:tcPr>
          <w:p>
            <w:r/>
            <w:r>
              <w:rPr>
                <w:sz w:val="17"/>
              </w:rPr>
              <w:t>iFlows IF-01…IF-09</w:t>
            </w:r>
          </w:p>
        </w:tc>
        <w:tc>
          <w:tcPr>
            <w:tcW w:type="dxa" w:w="2448"/>
          </w:tcPr>
          <w:p>
            <w:r/>
            <w:r>
              <w:rPr>
                <w:sz w:val="17"/>
              </w:rPr>
              <w:t>SAP Integration Suite (Cloud Integration + API Management)</w:t>
            </w:r>
          </w:p>
        </w:tc>
        <w:tc>
          <w:tcPr>
            <w:tcW w:type="dxa" w:w="3456"/>
          </w:tcPr>
          <w:p>
            <w:r/>
            <w:r>
              <w:rPr>
                <w:sz w:val="17"/>
              </w:rPr>
              <w:t>Mediation to S/4HANA OData/RFC/SOAP; mapping; retry; DLQ</w:t>
            </w:r>
          </w:p>
        </w:tc>
      </w:tr>
      <w:tr>
        <w:tc>
          <w:tcPr>
            <w:tcW w:type="dxa" w:w="1296"/>
            <w:shd w:val="clear" w:fill="DEEAF6"/>
          </w:tcPr>
          <w:p>
            <w:r/>
            <w:r>
              <w:rPr>
                <w:sz w:val="17"/>
              </w:rPr>
              <w:t>Eventing</w:t>
            </w:r>
          </w:p>
        </w:tc>
        <w:tc>
          <w:tcPr>
            <w:tcW w:type="dxa" w:w="2160"/>
            <w:shd w:val="clear" w:fill="DEEAF6"/>
          </w:tcPr>
          <w:p>
            <w:r/>
            <w:r>
              <w:rPr>
                <w:sz w:val="17"/>
              </w:rPr>
              <w:t>Event backbone</w:t>
            </w:r>
          </w:p>
        </w:tc>
        <w:tc>
          <w:tcPr>
            <w:tcW w:type="dxa" w:w="2448"/>
            <w:shd w:val="clear" w:fill="DEEAF6"/>
          </w:tcPr>
          <w:p>
            <w:r/>
            <w:r>
              <w:rPr>
                <w:sz w:val="17"/>
              </w:rPr>
              <w:t>SAP Event Mesh</w:t>
            </w:r>
          </w:p>
        </w:tc>
        <w:tc>
          <w:tcPr>
            <w:tcW w:type="dxa" w:w="3456"/>
            <w:shd w:val="clear" w:fill="DEEAF6"/>
          </w:tcPr>
          <w:p>
            <w:r/>
            <w:r>
              <w:rPr>
                <w:sz w:val="17"/>
              </w:rPr>
              <w:t>utilco/s4/movein/*, utilco/s4/enrollment/*, utilco/ec/fulfillment/*</w:t>
            </w:r>
          </w:p>
        </w:tc>
      </w:tr>
      <w:tr>
        <w:tc>
          <w:tcPr>
            <w:tcW w:type="dxa" w:w="1296"/>
          </w:tcPr>
          <w:p>
            <w:r/>
            <w:r>
              <w:rPr>
                <w:sz w:val="17"/>
              </w:rPr>
              <w:t>Connectivity</w:t>
            </w:r>
          </w:p>
        </w:tc>
        <w:tc>
          <w:tcPr>
            <w:tcW w:type="dxa" w:w="2160"/>
          </w:tcPr>
          <w:p>
            <w:r/>
            <w:r>
              <w:rPr>
                <w:sz w:val="17"/>
              </w:rPr>
              <w:t>Destinations + Cloud Connector</w:t>
            </w:r>
          </w:p>
        </w:tc>
        <w:tc>
          <w:tcPr>
            <w:tcW w:type="dxa" w:w="2448"/>
          </w:tcPr>
          <w:p>
            <w:r/>
            <w:r>
              <w:rPr>
                <w:sz w:val="17"/>
              </w:rPr>
              <w:t>BTP Destination/Connectivity service</w:t>
            </w:r>
          </w:p>
        </w:tc>
        <w:tc>
          <w:tcPr>
            <w:tcW w:type="dxa" w:w="3456"/>
          </w:tcPr>
          <w:p>
            <w:r/>
            <w:r>
              <w:rPr>
                <w:sz w:val="17"/>
              </w:rPr>
              <w:t>Principal propagation (OAuth2SAMLBearer) and RFC tunnel to on-premise S/4HANA</w:t>
            </w:r>
          </w:p>
        </w:tc>
      </w:tr>
      <w:tr>
        <w:tc>
          <w:tcPr>
            <w:tcW w:type="dxa" w:w="1296"/>
            <w:shd w:val="clear" w:fill="DEEAF6"/>
          </w:tcPr>
          <w:p>
            <w:r/>
            <w:r>
              <w:rPr>
                <w:sz w:val="17"/>
              </w:rPr>
              <w:t>Identity</w:t>
            </w:r>
          </w:p>
        </w:tc>
        <w:tc>
          <w:tcPr>
            <w:tcW w:type="dxa" w:w="2160"/>
            <w:shd w:val="clear" w:fill="DEEAF6"/>
          </w:tcPr>
          <w:p>
            <w:r/>
            <w:r>
              <w:rPr>
                <w:sz w:val="17"/>
              </w:rPr>
              <w:t>IAS + XSUAA</w:t>
            </w:r>
          </w:p>
        </w:tc>
        <w:tc>
          <w:tcPr>
            <w:tcW w:type="dxa" w:w="2448"/>
            <w:shd w:val="clear" w:fill="DEEAF6"/>
          </w:tcPr>
          <w:p>
            <w:r/>
            <w:r>
              <w:rPr>
                <w:sz w:val="17"/>
              </w:rPr>
              <w:t>SAP Cloud Identity Services</w:t>
            </w:r>
          </w:p>
        </w:tc>
        <w:tc>
          <w:tcPr>
            <w:tcW w:type="dxa" w:w="3456"/>
            <w:shd w:val="clear" w:fill="DEEAF6"/>
          </w:tcPr>
          <w:p>
            <w:r/>
            <w:r>
              <w:rPr>
                <w:sz w:val="17"/>
              </w:rPr>
              <w:t>SSO from SC V2; role collections EC_Agent / EC_Supervisor / EC_Admin</w:t>
            </w:r>
          </w:p>
        </w:tc>
      </w:tr>
      <w:tr>
        <w:tc>
          <w:tcPr>
            <w:tcW w:type="dxa" w:w="1296"/>
          </w:tcPr>
          <w:p>
            <w:r/>
            <w:r>
              <w:rPr>
                <w:sz w:val="17"/>
              </w:rPr>
              <w:t>Backend</w:t>
            </w:r>
          </w:p>
        </w:tc>
        <w:tc>
          <w:tcPr>
            <w:tcW w:type="dxa" w:w="2160"/>
          </w:tcPr>
          <w:p>
            <w:r/>
            <w:r>
              <w:rPr>
                <w:sz w:val="17"/>
              </w:rPr>
              <w:t>S/4HANA Utilities</w:t>
            </w:r>
          </w:p>
        </w:tc>
        <w:tc>
          <w:tcPr>
            <w:tcW w:type="dxa" w:w="2448"/>
          </w:tcPr>
          <w:p>
            <w:r/>
            <w:r>
              <w:rPr>
                <w:sz w:val="17"/>
              </w:rPr>
              <w:t>ISU + FI-CA + BRFplus + BPEM</w:t>
            </w:r>
          </w:p>
        </w:tc>
        <w:tc>
          <w:tcPr>
            <w:tcW w:type="dxa" w:w="3456"/>
          </w:tcPr>
          <w:p>
            <w:r/>
            <w:r>
              <w:rPr>
                <w:sz w:val="17"/>
              </w:rPr>
              <w:t>Master/transactional data, rules, fulfillment objects, exception cases</w:t>
            </w:r>
          </w:p>
        </w:tc>
      </w:tr>
    </w:tbl>
    <w:p>
      <w:pPr>
        <w:spacing w:after="40"/>
      </w:pPr>
    </w:p>
    <w:p>
      <w:pPr>
        <w:pStyle w:val="Heading2"/>
      </w:pPr>
      <w:r>
        <w:t>2.2 Data Flow Summary</w:t>
      </w:r>
    </w:p>
    <w:p>
      <w:pPr>
        <w:pStyle w:val="ListNumber"/>
      </w:pPr>
      <w:r>
        <w:t>UI loads → Enrollment Service GET /context aggregates: BP (API_BUSINESS_PARTNER), premise/installation/contract (utilities CDS OData), contract account + financial flags (FI-CA services), device/AMI capability (device CDS), participation (Z-table OData + HANA Cloud state).</w:t>
      </w:r>
    </w:p>
    <w:p>
      <w:pPr>
        <w:pStyle w:val="ListNumber"/>
      </w:pPr>
      <w:r>
        <w:t>POST /eligibility:evaluate → one RFC call to Z_EC_ELIGIBILITY_PRECHECK → BRFplus evaluates all program rulesets for all contract accounts in parallel → messages (severity E/W/I) returned and cached for the interaction.</w:t>
      </w:r>
    </w:p>
    <w:p>
      <w:pPr>
        <w:pStyle w:val="ListNumber"/>
      </w:pPr>
      <w:r>
        <w:t>POST /enrollments → server-side re-validation → persist (HANA Cloud) → fulfillment recipe dispatch via Cloud Integration to the S/4HANA API for the program type (rate change, installment plan, account attribute, service order, prepay).</w:t>
      </w:r>
    </w:p>
    <w:p>
      <w:pPr>
        <w:pStyle w:val="ListNumber"/>
      </w:pPr>
      <w:r>
        <w:t>S/4HANA emits confirmation/business events → Event Mesh → Enrollment Service updates status, writes SC V2 case timeline.</w:t>
      </w:r>
    </w:p>
    <w:p>
      <w:pPr>
        <w:pStyle w:val="ListNumber"/>
      </w:pPr>
      <w:r>
        <w:t>Move-in mode: requests parked; utilco/s4/movein/completed releases them (re-validate + dispatch); cancellation cascades.</w:t>
      </w:r>
    </w:p>
    <w:p>
      <w:r>
        <w:br w:type="page"/>
      </w:r>
    </w:p>
    <w:p>
      <w:pPr>
        <w:pStyle w:val="Heading1"/>
      </w:pPr>
      <w:r>
        <w:t>3. Data Requirements and S/4HANA Sources</w:t>
      </w:r>
    </w:p>
    <w:p>
      <w:r>
        <w:rPr>
          <w:b w:val="0"/>
        </w:rPr>
        <w:t>Mapping of every data need of the Enrollment Center to its S/4HANA Utilities source. CDS view names are taken from the S/4HANA Utilities view catalog in the client reference library; underlying tables are listed for developer orientation and debugging — all access goes through CDS/APIs, never direct table reads.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736"/>
            <w:shd w:val="clear" w:fill="1F4E79"/>
          </w:tcPr>
          <w:p>
            <w:r/>
            <w:r>
              <w:rPr>
                <w:b/>
                <w:color w:val="FFFFFF"/>
                <w:sz w:val="17"/>
              </w:rPr>
              <w:t>Data Need (UI element)</w:t>
            </w:r>
          </w:p>
        </w:tc>
        <w:tc>
          <w:tcPr>
            <w:tcW w:type="dxa" w:w="3600"/>
            <w:shd w:val="clear" w:fill="1F4E79"/>
          </w:tcPr>
          <w:p>
            <w:r/>
            <w:r>
              <w:rPr>
                <w:b/>
                <w:color w:val="FFFFFF"/>
                <w:sz w:val="17"/>
              </w:rPr>
              <w:t>CDS View / API Source</w:t>
            </w:r>
          </w:p>
        </w:tc>
        <w:tc>
          <w:tcPr>
            <w:tcW w:type="dxa" w:w="3024"/>
            <w:shd w:val="clear" w:fill="1F4E79"/>
          </w:tcPr>
          <w:p>
            <w:r/>
            <w:r>
              <w:rPr>
                <w:b/>
                <w:color w:val="FFFFFF"/>
                <w:sz w:val="17"/>
              </w:rPr>
              <w:t>Underlying Tables (reference)</w:t>
            </w:r>
          </w:p>
        </w:tc>
      </w:tr>
      <w:tr>
        <w:tc>
          <w:tcPr>
            <w:tcW w:type="dxa" w:w="2736"/>
          </w:tcPr>
          <w:p>
            <w:r/>
            <w:r>
              <w:rPr>
                <w:sz w:val="17"/>
              </w:rPr>
              <w:t>Business partner header, addresses, comm data</w:t>
            </w:r>
          </w:p>
        </w:tc>
        <w:tc>
          <w:tcPr>
            <w:tcW w:type="dxa" w:w="3600"/>
          </w:tcPr>
          <w:p>
            <w:r/>
            <w:r>
              <w:rPr>
                <w:sz w:val="17"/>
              </w:rPr>
              <w:t>API_BUSINESS_PARTNER (OData V2, A2X)</w:t>
            </w:r>
          </w:p>
        </w:tc>
        <w:tc>
          <w:tcPr>
            <w:tcW w:type="dxa" w:w="3024"/>
          </w:tcPr>
          <w:p>
            <w:r/>
            <w:r>
              <w:rPr>
                <w:sz w:val="17"/>
              </w:rPr>
              <w:t>BUT000, BUT020/ADRC, BUT0BK</w:t>
            </w:r>
          </w:p>
        </w:tc>
      </w:tr>
      <w:tr>
        <w:tc>
          <w:tcPr>
            <w:tcW w:type="dxa" w:w="2736"/>
            <w:shd w:val="clear" w:fill="DEEAF6"/>
          </w:tcPr>
          <w:p>
            <w:r/>
            <w:r>
              <w:rPr>
                <w:sz w:val="17"/>
              </w:rPr>
              <w:t>Contract account attributes, locks, dunning level</w:t>
            </w:r>
          </w:p>
        </w:tc>
        <w:tc>
          <w:tcPr>
            <w:tcW w:type="dxa" w:w="3600"/>
            <w:shd w:val="clear" w:fill="DEEAF6"/>
          </w:tcPr>
          <w:p>
            <w:r/>
            <w:r>
              <w:rPr>
                <w:sz w:val="17"/>
              </w:rPr>
              <w:t>FI-CA contract account read (custom OData Z_CA_SRV wrapping FKK_* reads; SOAP CONTRACTACCOUNTBULKREPLICATEREQUEST_OUT exists for replication scenarios)</w:t>
            </w:r>
          </w:p>
        </w:tc>
        <w:tc>
          <w:tcPr>
            <w:tcW w:type="dxa" w:w="3024"/>
            <w:shd w:val="clear" w:fill="DEEAF6"/>
          </w:tcPr>
          <w:p>
            <w:r/>
            <w:r>
              <w:rPr>
                <w:sz w:val="17"/>
              </w:rPr>
              <w:t>FKKVK, FKKVKP, DFKKLOCKS</w:t>
            </w:r>
          </w:p>
        </w:tc>
      </w:tr>
      <w:tr>
        <w:tc>
          <w:tcPr>
            <w:tcW w:type="dxa" w:w="2736"/>
          </w:tcPr>
          <w:p>
            <w:r/>
            <w:r>
              <w:rPr>
                <w:sz w:val="17"/>
              </w:rPr>
              <w:t>Open items / arrears (DPP qualification)</w:t>
            </w:r>
          </w:p>
        </w:tc>
        <w:tc>
          <w:tcPr>
            <w:tcW w:type="dxa" w:w="3600"/>
          </w:tcPr>
          <w:p>
            <w:r/>
            <w:r>
              <w:rPr>
                <w:sz w:val="17"/>
              </w:rPr>
              <w:t>Custom CDS Z_C_CaOpenItems on FI-CA line items</w:t>
            </w:r>
          </w:p>
        </w:tc>
        <w:tc>
          <w:tcPr>
            <w:tcW w:type="dxa" w:w="3024"/>
          </w:tcPr>
          <w:p>
            <w:r/>
            <w:r>
              <w:rPr>
                <w:sz w:val="17"/>
              </w:rPr>
              <w:t>DFKKOP, DFKKKO</w:t>
            </w:r>
          </w:p>
        </w:tc>
      </w:tr>
      <w:tr>
        <w:tc>
          <w:tcPr>
            <w:tcW w:type="dxa" w:w="2736"/>
            <w:shd w:val="clear" w:fill="DEEAF6"/>
          </w:tcPr>
          <w:p>
            <w:r/>
            <w:r>
              <w:rPr>
                <w:sz w:val="17"/>
              </w:rPr>
              <w:t>Installment plan existence (DPP hard stop)</w:t>
            </w:r>
          </w:p>
        </w:tc>
        <w:tc>
          <w:tcPr>
            <w:tcW w:type="dxa" w:w="3600"/>
            <w:shd w:val="clear" w:fill="DEEAF6"/>
          </w:tcPr>
          <w:p>
            <w:r/>
            <w:r>
              <w:rPr>
                <w:sz w:val="17"/>
              </w:rPr>
              <w:t>FI-CA installment plan check inside BRFplus rules (FM-based)</w:t>
            </w:r>
          </w:p>
        </w:tc>
        <w:tc>
          <w:tcPr>
            <w:tcW w:type="dxa" w:w="3024"/>
            <w:shd w:val="clear" w:fill="DEEAF6"/>
          </w:tcPr>
          <w:p>
            <w:r/>
            <w:r>
              <w:rPr>
                <w:sz w:val="17"/>
              </w:rPr>
              <w:t>DFKKOP (statistical items), installment plan header via FI-CA FMs</w:t>
            </w:r>
          </w:p>
        </w:tc>
      </w:tr>
      <w:tr>
        <w:tc>
          <w:tcPr>
            <w:tcW w:type="dxa" w:w="2736"/>
          </w:tcPr>
          <w:p>
            <w:r/>
            <w:r>
              <w:rPr>
                <w:sz w:val="17"/>
              </w:rPr>
              <w:t>Budget billing participation</w:t>
            </w:r>
          </w:p>
        </w:tc>
        <w:tc>
          <w:tcPr>
            <w:tcW w:type="dxa" w:w="3600"/>
          </w:tcPr>
          <w:p>
            <w:r/>
            <w:r>
              <w:rPr>
                <w:sz w:val="17"/>
              </w:rPr>
              <w:t>Custom CDS / FM check in rules</w:t>
            </w:r>
          </w:p>
        </w:tc>
        <w:tc>
          <w:tcPr>
            <w:tcW w:type="dxa" w:w="3024"/>
          </w:tcPr>
          <w:p>
            <w:r/>
            <w:r>
              <w:rPr>
                <w:sz w:val="17"/>
              </w:rPr>
              <w:t>EABP (budget billing plan)</w:t>
            </w:r>
          </w:p>
        </w:tc>
      </w:tr>
      <w:tr>
        <w:tc>
          <w:tcPr>
            <w:tcW w:type="dxa" w:w="2736"/>
            <w:shd w:val="clear" w:fill="DEEAF6"/>
          </w:tcPr>
          <w:p>
            <w:r/>
            <w:r>
              <w:rPr>
                <w:sz w:val="17"/>
              </w:rPr>
              <w:t>Premise / service location</w:t>
            </w:r>
          </w:p>
        </w:tc>
        <w:tc>
          <w:tcPr>
            <w:tcW w:type="dxa" w:w="3600"/>
            <w:shd w:val="clear" w:fill="DEEAF6"/>
          </w:tcPr>
          <w:p>
            <w:r/>
            <w:r>
              <w:rPr>
                <w:sz w:val="17"/>
              </w:rPr>
              <w:t>I_UtilitiesPremise (+ I_UtilsPremiseKeyDateAnalysis)</w:t>
            </w:r>
          </w:p>
        </w:tc>
        <w:tc>
          <w:tcPr>
            <w:tcW w:type="dxa" w:w="3024"/>
            <w:shd w:val="clear" w:fill="DEEAF6"/>
          </w:tcPr>
          <w:p>
            <w:r/>
            <w:r>
              <w:rPr>
                <w:sz w:val="17"/>
              </w:rPr>
              <w:t>EVBS</w:t>
            </w:r>
          </w:p>
        </w:tc>
      </w:tr>
      <w:tr>
        <w:tc>
          <w:tcPr>
            <w:tcW w:type="dxa" w:w="2736"/>
          </w:tcPr>
          <w:p>
            <w:r/>
            <w:r>
              <w:rPr>
                <w:sz w:val="17"/>
              </w:rPr>
              <w:t>Connection object</w:t>
            </w:r>
          </w:p>
        </w:tc>
        <w:tc>
          <w:tcPr>
            <w:tcW w:type="dxa" w:w="3600"/>
          </w:tcPr>
          <w:p>
            <w:r/>
            <w:r>
              <w:rPr>
                <w:sz w:val="17"/>
              </w:rPr>
              <w:t>I_UtilitiesConnectionObject</w:t>
            </w:r>
          </w:p>
        </w:tc>
        <w:tc>
          <w:tcPr>
            <w:tcW w:type="dxa" w:w="3024"/>
          </w:tcPr>
          <w:p>
            <w:r/>
            <w:r>
              <w:rPr>
                <w:sz w:val="17"/>
              </w:rPr>
              <w:t>IFLOT/ILOA (functional location), EHAU</w:t>
            </w:r>
          </w:p>
        </w:tc>
      </w:tr>
      <w:tr>
        <w:tc>
          <w:tcPr>
            <w:tcW w:type="dxa" w:w="2736"/>
            <w:shd w:val="clear" w:fill="DEEAF6"/>
          </w:tcPr>
          <w:p>
            <w:r/>
            <w:r>
              <w:rPr>
                <w:sz w:val="17"/>
              </w:rPr>
              <w:t>Installation incl. rate category (product change basis)</w:t>
            </w:r>
          </w:p>
        </w:tc>
        <w:tc>
          <w:tcPr>
            <w:tcW w:type="dxa" w:w="3600"/>
            <w:shd w:val="clear" w:fill="DEEAF6"/>
          </w:tcPr>
          <w:p>
            <w:r/>
            <w:r>
              <w:rPr>
                <w:sz w:val="17"/>
              </w:rPr>
              <w:t>I_UtilitiesInstallation, I_UtilitiesInstallationHist</w:t>
            </w:r>
          </w:p>
        </w:tc>
        <w:tc>
          <w:tcPr>
            <w:tcW w:type="dxa" w:w="3024"/>
            <w:shd w:val="clear" w:fill="DEEAF6"/>
          </w:tcPr>
          <w:p>
            <w:r/>
            <w:r>
              <w:rPr>
                <w:sz w:val="17"/>
              </w:rPr>
              <w:t>EANL, EANLH (TARIFTYP = rate category)</w:t>
            </w:r>
          </w:p>
        </w:tc>
      </w:tr>
      <w:tr>
        <w:tc>
          <w:tcPr>
            <w:tcW w:type="dxa" w:w="2736"/>
          </w:tcPr>
          <w:p>
            <w:r/>
            <w:r>
              <w:rPr>
                <w:sz w:val="17"/>
              </w:rPr>
              <w:t>Utilities contract (active/history, move-in date)</w:t>
            </w:r>
          </w:p>
        </w:tc>
        <w:tc>
          <w:tcPr>
            <w:tcW w:type="dxa" w:w="3600"/>
          </w:tcPr>
          <w:p>
            <w:r/>
            <w:r>
              <w:rPr>
                <w:sz w:val="17"/>
              </w:rPr>
              <w:t>I_UtilitiesContract, I_UtilitiesContractHistory, I_UtilsContractChangeHistory</w:t>
            </w:r>
          </w:p>
        </w:tc>
        <w:tc>
          <w:tcPr>
            <w:tcW w:type="dxa" w:w="3024"/>
          </w:tcPr>
          <w:p>
            <w:r/>
            <w:r>
              <w:rPr>
                <w:sz w:val="17"/>
              </w:rPr>
              <w:t>EVER</w:t>
            </w:r>
          </w:p>
        </w:tc>
      </w:tr>
      <w:tr>
        <w:tc>
          <w:tcPr>
            <w:tcW w:type="dxa" w:w="2736"/>
            <w:shd w:val="clear" w:fill="DEEAF6"/>
          </w:tcPr>
          <w:p>
            <w:r/>
            <w:r>
              <w:rPr>
                <w:sz w:val="17"/>
              </w:rPr>
              <w:t>Move-out / move-in context</w:t>
            </w:r>
          </w:p>
        </w:tc>
        <w:tc>
          <w:tcPr>
            <w:tcW w:type="dxa" w:w="3600"/>
            <w:shd w:val="clear" w:fill="DEEAF6"/>
          </w:tcPr>
          <w:p>
            <w:r/>
            <w:r>
              <w:rPr>
                <w:sz w:val="17"/>
              </w:rPr>
              <w:t>I_UtilitiesMoveOutDocument + move-in APIs (Section 5)</w:t>
            </w:r>
          </w:p>
        </w:tc>
        <w:tc>
          <w:tcPr>
            <w:tcW w:type="dxa" w:w="3024"/>
            <w:shd w:val="clear" w:fill="DEEAF6"/>
          </w:tcPr>
          <w:p>
            <w:r/>
            <w:r>
              <w:rPr>
                <w:sz w:val="17"/>
              </w:rPr>
              <w:t>EVER/EANLH change docs</w:t>
            </w:r>
          </w:p>
        </w:tc>
      </w:tr>
      <w:tr>
        <w:tc>
          <w:tcPr>
            <w:tcW w:type="dxa" w:w="2736"/>
          </w:tcPr>
          <w:p>
            <w:r/>
            <w:r>
              <w:rPr>
                <w:sz w:val="17"/>
              </w:rPr>
              <w:t>Point of delivery</w:t>
            </w:r>
          </w:p>
        </w:tc>
        <w:tc>
          <w:tcPr>
            <w:tcW w:type="dxa" w:w="3600"/>
          </w:tcPr>
          <w:p>
            <w:r/>
            <w:r>
              <w:rPr>
                <w:sz w:val="17"/>
              </w:rPr>
              <w:t>I_UtilsAllocOfInstToPoD, external PoD mapping</w:t>
            </w:r>
          </w:p>
        </w:tc>
        <w:tc>
          <w:tcPr>
            <w:tcW w:type="dxa" w:w="3024"/>
          </w:tcPr>
          <w:p>
            <w:r/>
            <w:r>
              <w:rPr>
                <w:sz w:val="17"/>
              </w:rPr>
              <w:t>EUIHEAD, EUITRANS, EUIINSTLN</w:t>
            </w:r>
          </w:p>
        </w:tc>
      </w:tr>
      <w:tr>
        <w:tc>
          <w:tcPr>
            <w:tcW w:type="dxa" w:w="2736"/>
            <w:shd w:val="clear" w:fill="DEEAF6"/>
          </w:tcPr>
          <w:p>
            <w:r/>
            <w:r>
              <w:rPr>
                <w:sz w:val="17"/>
              </w:rPr>
              <w:t>Installed device + AMI capability (PTR/CPP/PrePay checks)</w:t>
            </w:r>
          </w:p>
        </w:tc>
        <w:tc>
          <w:tcPr>
            <w:tcW w:type="dxa" w:w="3600"/>
            <w:shd w:val="clear" w:fill="DEEAF6"/>
          </w:tcPr>
          <w:p>
            <w:r/>
            <w:r>
              <w:rPr>
                <w:sz w:val="17"/>
              </w:rPr>
              <w:t>I_UtilsInstalledDevice, I_UtilitiesDeviceHeader/History, I_UtilsAdvncdMeteringSystem, C_UtilsInstalledDeviceQuery</w:t>
            </w:r>
          </w:p>
        </w:tc>
        <w:tc>
          <w:tcPr>
            <w:tcW w:type="dxa" w:w="3024"/>
            <w:shd w:val="clear" w:fill="DEEAF6"/>
          </w:tcPr>
          <w:p>
            <w:r/>
            <w:r>
              <w:rPr>
                <w:sz w:val="17"/>
              </w:rPr>
              <w:t>EQUI, EQKT, EGERH, ETDZ</w:t>
            </w:r>
          </w:p>
        </w:tc>
      </w:tr>
      <w:tr>
        <w:tc>
          <w:tcPr>
            <w:tcW w:type="dxa" w:w="2736"/>
          </w:tcPr>
          <w:p>
            <w:r/>
            <w:r>
              <w:rPr>
                <w:sz w:val="17"/>
              </w:rPr>
              <w:t>Meter reading context (validation prompts)</w:t>
            </w:r>
          </w:p>
        </w:tc>
        <w:tc>
          <w:tcPr>
            <w:tcW w:type="dxa" w:w="3600"/>
          </w:tcPr>
          <w:p>
            <w:r/>
            <w:r>
              <w:rPr>
                <w:sz w:val="17"/>
              </w:rPr>
              <w:t>I_MeterReadingDocument, C_MeterReadingDocumentQuery</w:t>
            </w:r>
          </w:p>
        </w:tc>
        <w:tc>
          <w:tcPr>
            <w:tcW w:type="dxa" w:w="3024"/>
          </w:tcPr>
          <w:p>
            <w:r/>
            <w:r>
              <w:rPr>
                <w:sz w:val="17"/>
              </w:rPr>
              <w:t>EABL, EABLG</w:t>
            </w:r>
          </w:p>
        </w:tc>
      </w:tr>
      <w:tr>
        <w:tc>
          <w:tcPr>
            <w:tcW w:type="dxa" w:w="2736"/>
            <w:shd w:val="clear" w:fill="DEEAF6"/>
          </w:tcPr>
          <w:p>
            <w:r/>
            <w:r>
              <w:rPr>
                <w:sz w:val="17"/>
              </w:rPr>
              <w:t>Billing history (eligibility rules: 12-month history, high-bill context)</w:t>
            </w:r>
          </w:p>
        </w:tc>
        <w:tc>
          <w:tcPr>
            <w:tcW w:type="dxa" w:w="3600"/>
            <w:shd w:val="clear" w:fill="DEEAF6"/>
          </w:tcPr>
          <w:p>
            <w:r/>
            <w:r>
              <w:rPr>
                <w:sz w:val="17"/>
              </w:rPr>
              <w:t>I_ActualUtilsBillingDocument, C_UtilsContractToBeBilledQ</w:t>
            </w:r>
          </w:p>
        </w:tc>
        <w:tc>
          <w:tcPr>
            <w:tcW w:type="dxa" w:w="3024"/>
            <w:shd w:val="clear" w:fill="DEEAF6"/>
          </w:tcPr>
          <w:p>
            <w:r/>
            <w:r>
              <w:rPr>
                <w:sz w:val="17"/>
              </w:rPr>
              <w:t>ERCH, ERDK, DBERCHZ*</w:t>
            </w:r>
          </w:p>
        </w:tc>
      </w:tr>
      <w:tr>
        <w:tc>
          <w:tcPr>
            <w:tcW w:type="dxa" w:w="2736"/>
          </w:tcPr>
          <w:p>
            <w:r/>
            <w:r>
              <w:rPr>
                <w:sz w:val="17"/>
              </w:rPr>
              <w:t>Owner allocation (landlord scenarios)</w:t>
            </w:r>
          </w:p>
        </w:tc>
        <w:tc>
          <w:tcPr>
            <w:tcW w:type="dxa" w:w="3600"/>
          </w:tcPr>
          <w:p>
            <w:r/>
            <w:r>
              <w:rPr>
                <w:sz w:val="17"/>
              </w:rPr>
              <w:t>I_UtilitiesOwnerAllocation, I_AllocOfInstToOwnership</w:t>
            </w:r>
          </w:p>
        </w:tc>
        <w:tc>
          <w:tcPr>
            <w:tcW w:type="dxa" w:w="3024"/>
          </w:tcPr>
          <w:p>
            <w:r/>
            <w:r>
              <w:rPr>
                <w:sz w:val="17"/>
              </w:rPr>
              <w:t>EVBS/EIGENTUM structures</w:t>
            </w:r>
          </w:p>
        </w:tc>
      </w:tr>
      <w:tr>
        <w:tc>
          <w:tcPr>
            <w:tcW w:type="dxa" w:w="2736"/>
            <w:shd w:val="clear" w:fill="DEEAF6"/>
          </w:tcPr>
          <w:p>
            <w:r/>
            <w:r>
              <w:rPr>
                <w:sz w:val="17"/>
              </w:rPr>
              <w:t>BPEM exception cases (status panel / exception links)</w:t>
            </w:r>
          </w:p>
        </w:tc>
        <w:tc>
          <w:tcPr>
            <w:tcW w:type="dxa" w:w="3600"/>
            <w:shd w:val="clear" w:fill="DEEAF6"/>
          </w:tcPr>
          <w:p>
            <w:r/>
            <w:r>
              <w:rPr>
                <w:sz w:val="17"/>
              </w:rPr>
              <w:t>I_BPEMCaseQuery / C_BPEMCaseQuery</w:t>
            </w:r>
          </w:p>
        </w:tc>
        <w:tc>
          <w:tcPr>
            <w:tcW w:type="dxa" w:w="3024"/>
            <w:shd w:val="clear" w:fill="DEEAF6"/>
          </w:tcPr>
          <w:p>
            <w:r/>
            <w:r>
              <w:rPr>
                <w:sz w:val="17"/>
              </w:rPr>
              <w:t>EMMA_CASE</w:t>
            </w:r>
          </w:p>
        </w:tc>
      </w:tr>
      <w:tr>
        <w:tc>
          <w:tcPr>
            <w:tcW w:type="dxa" w:w="2736"/>
          </w:tcPr>
          <w:p>
            <w:r/>
            <w:r>
              <w:rPr>
                <w:sz w:val="17"/>
              </w:rPr>
              <w:t>Program participation + enrollment history</w:t>
            </w:r>
          </w:p>
        </w:tc>
        <w:tc>
          <w:tcPr>
            <w:tcW w:type="dxa" w:w="3600"/>
          </w:tcPr>
          <w:p>
            <w:r/>
            <w:r>
              <w:rPr>
                <w:sz w:val="17"/>
              </w:rPr>
              <w:t>Custom Z-table OData Z_EC_ENROLLMENT_SRV (Section 6) + HANA Cloud process store</w:t>
            </w:r>
          </w:p>
        </w:tc>
        <w:tc>
          <w:tcPr>
            <w:tcW w:type="dxa" w:w="3024"/>
          </w:tcPr>
          <w:p>
            <w:r/>
            <w:r>
              <w:rPr>
                <w:sz w:val="17"/>
              </w:rPr>
              <w:t>ZEC_ENROLL_HDR, ZEC_ENROLL_HIST (custom)</w:t>
            </w:r>
          </w:p>
        </w:tc>
      </w:tr>
      <w:tr>
        <w:tc>
          <w:tcPr>
            <w:tcW w:type="dxa" w:w="2736"/>
            <w:shd w:val="clear" w:fill="DEEAF6"/>
          </w:tcPr>
          <w:p>
            <w:r/>
            <w:r>
              <w:rPr>
                <w:sz w:val="17"/>
              </w:rPr>
              <w:t>Rate catalog / allowed target rates</w:t>
            </w:r>
          </w:p>
        </w:tc>
        <w:tc>
          <w:tcPr>
            <w:tcW w:type="dxa" w:w="3600"/>
            <w:shd w:val="clear" w:fill="DEEAF6"/>
          </w:tcPr>
          <w:p>
            <w:r/>
            <w:r>
              <w:rPr>
                <w:sz w:val="17"/>
              </w:rPr>
              <w:t>Re-use legacy services ZRFC_GET_RATE_CATEGORY, Z_MIMO_MI/MO_RES_ALLOWED_RATES</w:t>
            </w:r>
          </w:p>
        </w:tc>
        <w:tc>
          <w:tcPr>
            <w:tcW w:type="dxa" w:w="3024"/>
            <w:shd w:val="clear" w:fill="DEEAF6"/>
          </w:tcPr>
          <w:p>
            <w:r/>
            <w:r>
              <w:rPr>
                <w:sz w:val="17"/>
              </w:rPr>
              <w:t>Rate config tables via FM</w:t>
            </w:r>
          </w:p>
        </w:tc>
      </w:tr>
    </w:tbl>
    <w:p>
      <w:pPr>
        <w:spacing w:after="40"/>
      </w:pPr>
    </w:p>
    <w:p>
      <w:r>
        <w:rPr>
          <w:b w:val="0"/>
        </w:rPr>
        <w:t>Note: table names are for orientation and debugging; where a released CDS view exists it is the mandated interface. Objects marked custom (Z…) are specified in Section 6. Names of FI-CA function-module-based checks are finalized during realization against the installed release.</w:t>
      </w:r>
    </w:p>
    <w:p>
      <w:pPr>
        <w:pStyle w:val="Heading1"/>
      </w:pPr>
      <w:r>
        <w:t>4. CDS View Inventory (from the S/4HANA Utilities catalog)</w:t>
      </w:r>
    </w:p>
    <w:tbl>
      <w:tblPr>
        <w:tblStyle w:val="TableGrid"/>
        <w:tblW w:type="auto" w:w="0"/>
        <w:jc w:val="center"/>
        <w:tblLayout w:type="fixed"/>
        <w:tblLook w:firstColumn="1" w:firstRow="1" w:lastColumn="0" w:lastRow="0" w:noHBand="0" w:noVBand="1" w:val="04A0"/>
      </w:tblPr>
      <w:tblGrid>
        <w:gridCol w:w="4320"/>
        <w:gridCol w:w="4320"/>
      </w:tblGrid>
      <w:tr>
        <w:tc>
          <w:tcPr>
            <w:tcW w:type="dxa" w:w="1872"/>
            <w:shd w:val="clear" w:fill="1F4E79"/>
          </w:tcPr>
          <w:p>
            <w:r/>
            <w:r>
              <w:rPr>
                <w:b/>
                <w:color w:val="FFFFFF"/>
                <w:sz w:val="18"/>
              </w:rPr>
              <w:t>Area</w:t>
            </w:r>
          </w:p>
        </w:tc>
        <w:tc>
          <w:tcPr>
            <w:tcW w:type="dxa" w:w="7488"/>
            <w:shd w:val="clear" w:fill="1F4E79"/>
          </w:tcPr>
          <w:p>
            <w:r/>
            <w:r>
              <w:rPr>
                <w:b/>
                <w:color w:val="FFFFFF"/>
                <w:sz w:val="18"/>
              </w:rPr>
              <w:t>CDS Views</w:t>
            </w:r>
          </w:p>
        </w:tc>
      </w:tr>
      <w:tr>
        <w:tc>
          <w:tcPr>
            <w:tcW w:type="dxa" w:w="1872"/>
          </w:tcPr>
          <w:p>
            <w:r/>
            <w:r>
              <w:rPr>
                <w:sz w:val="18"/>
              </w:rPr>
              <w:t>Master data</w:t>
            </w:r>
          </w:p>
        </w:tc>
        <w:tc>
          <w:tcPr>
            <w:tcW w:type="dxa" w:w="7488"/>
          </w:tcPr>
          <w:p>
            <w:r/>
            <w:r>
              <w:rPr>
                <w:sz w:val="18"/>
              </w:rPr>
              <w:t>I_UtilitiesPremise, I_UtilitiesConnectionObject, I_UtilitiesInstallation, I_UtilitiesInstallationHist, I_UtilitiesContract, I_UtilitiesContractHistory, I_UtilitiesSalesContract, I_UtilitiesSalesContractItem, I_UtilitiesOwnerAllocation, I_AllocOfInstToOwnership, I_UtilitiesServiceProvider</w:t>
            </w:r>
          </w:p>
        </w:tc>
      </w:tr>
      <w:tr>
        <w:tc>
          <w:tcPr>
            <w:tcW w:type="dxa" w:w="1872"/>
            <w:shd w:val="clear" w:fill="DEEAF6"/>
          </w:tcPr>
          <w:p>
            <w:r/>
            <w:r>
              <w:rPr>
                <w:sz w:val="18"/>
              </w:rPr>
              <w:t>Device / metering</w:t>
            </w:r>
          </w:p>
        </w:tc>
        <w:tc>
          <w:tcPr>
            <w:tcW w:type="dxa" w:w="7488"/>
            <w:shd w:val="clear" w:fill="DEEAF6"/>
          </w:tcPr>
          <w:p>
            <w:r/>
            <w:r>
              <w:rPr>
                <w:sz w:val="18"/>
              </w:rPr>
              <w:t>I_UtilitiesDeviceHeader, I_UtilitiesDeviceHistory, I_UtilsInstalledDevice, I_UtilsTechlyInstalledDevice, I_UtilsDeviceCategory, I_UtilsAdvncdMeteringSystem (AMI), I_UtilitiesRegister, I_UtilsDeviceRateData, C_UtilsInstalledDeviceQuery, C_UtilsDeviceStockQuery</w:t>
            </w:r>
          </w:p>
        </w:tc>
      </w:tr>
      <w:tr>
        <w:tc>
          <w:tcPr>
            <w:tcW w:type="dxa" w:w="1872"/>
          </w:tcPr>
          <w:p>
            <w:r/>
            <w:r>
              <w:rPr>
                <w:sz w:val="18"/>
              </w:rPr>
              <w:t>Meter reading</w:t>
            </w:r>
          </w:p>
        </w:tc>
        <w:tc>
          <w:tcPr>
            <w:tcW w:type="dxa" w:w="7488"/>
          </w:tcPr>
          <w:p>
            <w:r/>
            <w:r>
              <w:rPr>
                <w:sz w:val="18"/>
              </w:rPr>
              <w:t>I_MeterReadingDocument, I_MeterReadingDocumentReason, I_MeterReadingUnit, C_MeterReadingDocumentQuery, C_MissingMtrRdngOrderQuery</w:t>
            </w:r>
          </w:p>
        </w:tc>
      </w:tr>
      <w:tr>
        <w:tc>
          <w:tcPr>
            <w:tcW w:type="dxa" w:w="1872"/>
            <w:shd w:val="clear" w:fill="DEEAF6"/>
          </w:tcPr>
          <w:p>
            <w:r/>
            <w:r>
              <w:rPr>
                <w:sz w:val="18"/>
              </w:rPr>
              <w:t>Billing / invoicing</w:t>
            </w:r>
          </w:p>
        </w:tc>
        <w:tc>
          <w:tcPr>
            <w:tcW w:type="dxa" w:w="7488"/>
            <w:shd w:val="clear" w:fill="DEEAF6"/>
          </w:tcPr>
          <w:p>
            <w:r/>
            <w:r>
              <w:rPr>
                <w:sz w:val="18"/>
              </w:rPr>
              <w:t>I_ActualUtilsBillingDocument, I_ReversedUtilsBillingDocument, I_UtilsBillgOrderForContract, I_UtilsContractToBeBilled, C_ActualUtilsBillingDocumentQ, C_UtilitiesInvoicingDocumentQ, C_UtilsContractBlkdForBillgQ</w:t>
            </w:r>
          </w:p>
        </w:tc>
      </w:tr>
      <w:tr>
        <w:tc>
          <w:tcPr>
            <w:tcW w:type="dxa" w:w="1872"/>
          </w:tcPr>
          <w:p>
            <w:r/>
            <w:r>
              <w:rPr>
                <w:sz w:val="18"/>
              </w:rPr>
              <w:t>Analysis / key-date</w:t>
            </w:r>
          </w:p>
        </w:tc>
        <w:tc>
          <w:tcPr>
            <w:tcW w:type="dxa" w:w="7488"/>
          </w:tcPr>
          <w:p>
            <w:r/>
            <w:r>
              <w:rPr>
                <w:sz w:val="18"/>
              </w:rPr>
              <w:t>I_UtilsContractKeyDateAnalysis, I_UtilsInstKeyDateAnalysisC, I_UtilsPremiseKeyDateAnalysis, I_UtilsContractChangeHistory, C_UtilsContrKeyDateAnalysisQ</w:t>
            </w:r>
          </w:p>
        </w:tc>
      </w:tr>
      <w:tr>
        <w:tc>
          <w:tcPr>
            <w:tcW w:type="dxa" w:w="1872"/>
            <w:shd w:val="clear" w:fill="DEEAF6"/>
          </w:tcPr>
          <w:p>
            <w:r/>
            <w:r>
              <w:rPr>
                <w:sz w:val="18"/>
              </w:rPr>
              <w:t>Exception mgmt</w:t>
            </w:r>
          </w:p>
        </w:tc>
        <w:tc>
          <w:tcPr>
            <w:tcW w:type="dxa" w:w="7488"/>
            <w:shd w:val="clear" w:fill="DEEAF6"/>
          </w:tcPr>
          <w:p>
            <w:r/>
            <w:r>
              <w:rPr>
                <w:sz w:val="18"/>
              </w:rPr>
              <w:t>I_BPEMCaseQuery, I_BPEMCaseCube, C_BPEMCaseQuery</w:t>
            </w:r>
          </w:p>
        </w:tc>
      </w:tr>
      <w:tr>
        <w:tc>
          <w:tcPr>
            <w:tcW w:type="dxa" w:w="1872"/>
          </w:tcPr>
          <w:p>
            <w:r/>
            <w:r>
              <w:rPr>
                <w:sz w:val="18"/>
              </w:rPr>
              <w:t>Move processes</w:t>
            </w:r>
          </w:p>
        </w:tc>
        <w:tc>
          <w:tcPr>
            <w:tcW w:type="dxa" w:w="7488"/>
          </w:tcPr>
          <w:p>
            <w:r/>
            <w:r>
              <w:rPr>
                <w:sz w:val="18"/>
              </w:rPr>
              <w:t>I_UtilitiesMoveOutDocument</w:t>
            </w:r>
          </w:p>
        </w:tc>
      </w:tr>
      <w:tr>
        <w:tc>
          <w:tcPr>
            <w:tcW w:type="dxa" w:w="1872"/>
            <w:shd w:val="clear" w:fill="DEEAF6"/>
          </w:tcPr>
          <w:p>
            <w:r/>
            <w:r>
              <w:rPr>
                <w:sz w:val="18"/>
              </w:rPr>
              <w:t>Data export (federation to marketing/CX)</w:t>
            </w:r>
          </w:p>
        </w:tc>
        <w:tc>
          <w:tcPr>
            <w:tcW w:type="dxa" w:w="7488"/>
            <w:shd w:val="clear" w:fill="DEEAF6"/>
          </w:tcPr>
          <w:p>
            <w:r/>
            <w:r>
              <w:rPr>
                <w:sz w:val="18"/>
              </w:rPr>
              <w:t>C_UtilsContractHistoryDEX, C_UtilsInstallationHistoryDEX</w:t>
            </w:r>
          </w:p>
        </w:tc>
      </w:tr>
    </w:tbl>
    <w:p>
      <w:pPr>
        <w:spacing w:after="40"/>
      </w:pPr>
    </w:p>
    <w:p>
      <w:r>
        <w:rPr>
          <w:b w:val="0"/>
        </w:rPr>
        <w:t>Consumption pattern: expose the required I_* views as OData services via custom service bindings (ABAP RESTful service binding or SEGW gateway projects per release), grouped into one consolidated service Z_EC_CONTEXT_SRV to minimize round trips from Cloud Integration (IF-01 performs parallel reads).</w:t>
      </w:r>
    </w:p>
    <w:p>
      <w:r>
        <w:br w:type="page"/>
      </w:r>
    </w:p>
    <w:p>
      <w:pPr>
        <w:pStyle w:val="Heading1"/>
      </w:pPr>
      <w:r>
        <w:t>5. Standard API Inventory</w:t>
      </w:r>
    </w:p>
    <w:p>
      <w:pPr>
        <w:pStyle w:val="Heading2"/>
      </w:pPr>
      <w:r>
        <w:t>5.1 OData APIs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3312"/>
            <w:shd w:val="clear" w:fill="1F4E79"/>
          </w:tcPr>
          <w:p>
            <w:r/>
            <w:r>
              <w:rPr>
                <w:b/>
                <w:color w:val="FFFFFF"/>
                <w:sz w:val="18"/>
              </w:rPr>
              <w:t>API</w:t>
            </w:r>
          </w:p>
        </w:tc>
        <w:tc>
          <w:tcPr>
            <w:tcW w:type="dxa" w:w="1872"/>
            <w:shd w:val="clear" w:fill="1F4E79"/>
          </w:tcPr>
          <w:p>
            <w:r/>
            <w:r>
              <w:rPr>
                <w:b/>
                <w:color w:val="FFFFFF"/>
                <w:sz w:val="18"/>
              </w:rPr>
              <w:t>Type</w:t>
            </w:r>
          </w:p>
        </w:tc>
        <w:tc>
          <w:tcPr>
            <w:tcW w:type="dxa" w:w="4176"/>
            <w:shd w:val="clear" w:fill="1F4E79"/>
          </w:tcPr>
          <w:p>
            <w:r/>
            <w:r>
              <w:rPr>
                <w:b/>
                <w:color w:val="FFFFFF"/>
                <w:sz w:val="18"/>
              </w:rPr>
              <w:t>Use in Enrollment Center</w:t>
            </w:r>
          </w:p>
        </w:tc>
      </w:tr>
      <w:tr>
        <w:tc>
          <w:tcPr>
            <w:tcW w:type="dxa" w:w="3312"/>
          </w:tcPr>
          <w:p>
            <w:r/>
            <w:r>
              <w:rPr>
                <w:sz w:val="18"/>
              </w:rPr>
              <w:t>API_BUSINESS_PARTNER</w:t>
            </w:r>
          </w:p>
        </w:tc>
        <w:tc>
          <w:tcPr>
            <w:tcW w:type="dxa" w:w="1872"/>
          </w:tcPr>
          <w:p>
            <w:r/>
            <w:r>
              <w:rPr>
                <w:sz w:val="18"/>
              </w:rPr>
              <w:t>OData V2 (A2X)</w:t>
            </w:r>
          </w:p>
        </w:tc>
        <w:tc>
          <w:tcPr>
            <w:tcW w:type="dxa" w:w="4176"/>
          </w:tcPr>
          <w:p>
            <w:r/>
            <w:r>
              <w:rPr>
                <w:sz w:val="18"/>
              </w:rPr>
              <w:t>BP read: names, addresses, communication, bank (display-only)</w:t>
            </w:r>
          </w:p>
        </w:tc>
      </w:tr>
      <w:tr>
        <w:tc>
          <w:tcPr>
            <w:tcW w:type="dxa" w:w="3312"/>
            <w:shd w:val="clear" w:fill="DEEAF6"/>
          </w:tcPr>
          <w:p>
            <w:r/>
            <w:r>
              <w:rPr>
                <w:sz w:val="18"/>
              </w:rPr>
              <w:t>Utilities CDS-based OData (Section 4)</w:t>
            </w:r>
          </w:p>
        </w:tc>
        <w:tc>
          <w:tcPr>
            <w:tcW w:type="dxa" w:w="1872"/>
            <w:shd w:val="clear" w:fill="DEEAF6"/>
          </w:tcPr>
          <w:p>
            <w:r/>
            <w:r>
              <w:rPr>
                <w:sz w:val="18"/>
              </w:rPr>
              <w:t>OData V2/V4 service bindings</w:t>
            </w:r>
          </w:p>
        </w:tc>
        <w:tc>
          <w:tcPr>
            <w:tcW w:type="dxa" w:w="4176"/>
            <w:shd w:val="clear" w:fill="DEEAF6"/>
          </w:tcPr>
          <w:p>
            <w:r/>
            <w:r>
              <w:rPr>
                <w:sz w:val="18"/>
              </w:rPr>
              <w:t>Premise, installation, contract, device, billing context reads</w:t>
            </w:r>
          </w:p>
        </w:tc>
      </w:tr>
      <w:tr>
        <w:tc>
          <w:tcPr>
            <w:tcW w:type="dxa" w:w="3312"/>
          </w:tcPr>
          <w:p>
            <w:r/>
            <w:r>
              <w:rPr>
                <w:sz w:val="18"/>
              </w:rPr>
              <w:t>BPEM case OData (on I_BPEMCaseQuery)</w:t>
            </w:r>
          </w:p>
        </w:tc>
        <w:tc>
          <w:tcPr>
            <w:tcW w:type="dxa" w:w="1872"/>
          </w:tcPr>
          <w:p>
            <w:r/>
            <w:r>
              <w:rPr>
                <w:sz w:val="18"/>
              </w:rPr>
              <w:t>OData</w:t>
            </w:r>
          </w:p>
        </w:tc>
        <w:tc>
          <w:tcPr>
            <w:tcW w:type="dxa" w:w="4176"/>
          </w:tcPr>
          <w:p>
            <w:r/>
            <w:r>
              <w:rPr>
                <w:sz w:val="18"/>
              </w:rPr>
              <w:t>Exception case status linkage</w:t>
            </w:r>
          </w:p>
        </w:tc>
      </w:tr>
    </w:tbl>
    <w:p>
      <w:pPr>
        <w:spacing w:after="40"/>
      </w:pPr>
    </w:p>
    <w:p>
      <w:pPr>
        <w:pStyle w:val="Heading2"/>
      </w:pPr>
      <w:r>
        <w:t>5.2 SOAP Services (from the client's S/4HANA Utilities API guide)</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4176"/>
            <w:shd w:val="clear" w:fill="1F4E79"/>
          </w:tcPr>
          <w:p>
            <w:r/>
            <w:r>
              <w:rPr>
                <w:b/>
                <w:color w:val="FFFFFF"/>
                <w:sz w:val="18"/>
              </w:rPr>
              <w:t>Service (technical name)</w:t>
            </w:r>
          </w:p>
        </w:tc>
        <w:tc>
          <w:tcPr>
            <w:tcW w:type="dxa" w:w="1296"/>
            <w:shd w:val="clear" w:fill="1F4E79"/>
          </w:tcPr>
          <w:p>
            <w:r/>
            <w:r>
              <w:rPr>
                <w:b/>
                <w:color w:val="FFFFFF"/>
                <w:sz w:val="18"/>
              </w:rPr>
              <w:t>Direction</w:t>
            </w:r>
          </w:p>
        </w:tc>
        <w:tc>
          <w:tcPr>
            <w:tcW w:type="dxa" w:w="3888"/>
            <w:shd w:val="clear" w:fill="1F4E79"/>
          </w:tcPr>
          <w:p>
            <w:r/>
            <w:r>
              <w:rPr>
                <w:b/>
                <w:color w:val="FFFFFF"/>
                <w:sz w:val="18"/>
              </w:rPr>
              <w:t>Use</w:t>
            </w:r>
          </w:p>
        </w:tc>
      </w:tr>
      <w:tr>
        <w:tc>
          <w:tcPr>
            <w:tcW w:type="dxa" w:w="4176"/>
          </w:tcPr>
          <w:p>
            <w:r/>
            <w:r>
              <w:rPr>
                <w:sz w:val="18"/>
              </w:rPr>
              <w:t>CONTRACTACCOUNTBULKREPLICATEREQUEST_OUT</w:t>
            </w:r>
          </w:p>
        </w:tc>
        <w:tc>
          <w:tcPr>
            <w:tcW w:type="dxa" w:w="1296"/>
          </w:tcPr>
          <w:p>
            <w:r/>
            <w:r>
              <w:rPr>
                <w:sz w:val="18"/>
              </w:rPr>
              <w:t>S/4 → out</w:t>
            </w:r>
          </w:p>
        </w:tc>
        <w:tc>
          <w:tcPr>
            <w:tcW w:type="dxa" w:w="3888"/>
          </w:tcPr>
          <w:p>
            <w:r/>
            <w:r>
              <w:rPr>
                <w:sz w:val="18"/>
              </w:rPr>
              <w:t>Contract account replication (used by SC V2 utilities federation; EC reads replicated key data where present)</w:t>
            </w:r>
          </w:p>
        </w:tc>
      </w:tr>
      <w:tr>
        <w:tc>
          <w:tcPr>
            <w:tcW w:type="dxa" w:w="4176"/>
            <w:shd w:val="clear" w:fill="DEEAF6"/>
          </w:tcPr>
          <w:p>
            <w:r/>
            <w:r>
              <w:rPr>
                <w:sz w:val="18"/>
              </w:rPr>
              <w:t>UtilitiesPremiseBulkReplicateRequest_Out</w:t>
            </w:r>
          </w:p>
        </w:tc>
        <w:tc>
          <w:tcPr>
            <w:tcW w:type="dxa" w:w="1296"/>
            <w:shd w:val="clear" w:fill="DEEAF6"/>
          </w:tcPr>
          <w:p>
            <w:r/>
            <w:r>
              <w:rPr>
                <w:sz w:val="18"/>
              </w:rPr>
              <w:t>S/4 → out</w:t>
            </w:r>
          </w:p>
        </w:tc>
        <w:tc>
          <w:tcPr>
            <w:tcW w:type="dxa" w:w="3888"/>
            <w:shd w:val="clear" w:fill="DEEAF6"/>
          </w:tcPr>
          <w:p>
            <w:r/>
            <w:r>
              <w:rPr>
                <w:sz w:val="18"/>
              </w:rPr>
              <w:t>Premise replication to CX/marketing consumers</w:t>
            </w:r>
          </w:p>
        </w:tc>
      </w:tr>
      <w:tr>
        <w:tc>
          <w:tcPr>
            <w:tcW w:type="dxa" w:w="4176"/>
          </w:tcPr>
          <w:p>
            <w:r/>
            <w:r>
              <w:rPr>
                <w:sz w:val="18"/>
              </w:rPr>
              <w:t>UtilitiesContractBulkReplicateRequest_Out</w:t>
            </w:r>
          </w:p>
        </w:tc>
        <w:tc>
          <w:tcPr>
            <w:tcW w:type="dxa" w:w="1296"/>
          </w:tcPr>
          <w:p>
            <w:r/>
            <w:r>
              <w:rPr>
                <w:sz w:val="18"/>
              </w:rPr>
              <w:t>S/4 → out</w:t>
            </w:r>
          </w:p>
        </w:tc>
        <w:tc>
          <w:tcPr>
            <w:tcW w:type="dxa" w:w="3888"/>
          </w:tcPr>
          <w:p>
            <w:r/>
            <w:r>
              <w:rPr>
                <w:sz w:val="18"/>
              </w:rPr>
              <w:t>Utilities contract replication</w:t>
            </w:r>
          </w:p>
        </w:tc>
      </w:tr>
      <w:tr>
        <w:tc>
          <w:tcPr>
            <w:tcW w:type="dxa" w:w="4176"/>
            <w:shd w:val="clear" w:fill="DEEAF6"/>
          </w:tcPr>
          <w:p>
            <w:r/>
            <w:r>
              <w:rPr>
                <w:sz w:val="18"/>
              </w:rPr>
              <w:t>UtilitiesInstallationBulkReplicateRequest_Out</w:t>
            </w:r>
          </w:p>
        </w:tc>
        <w:tc>
          <w:tcPr>
            <w:tcW w:type="dxa" w:w="1296"/>
            <w:shd w:val="clear" w:fill="DEEAF6"/>
          </w:tcPr>
          <w:p>
            <w:r/>
            <w:r>
              <w:rPr>
                <w:sz w:val="18"/>
              </w:rPr>
              <w:t>S/4 → out</w:t>
            </w:r>
          </w:p>
        </w:tc>
        <w:tc>
          <w:tcPr>
            <w:tcW w:type="dxa" w:w="3888"/>
            <w:shd w:val="clear" w:fill="DEEAF6"/>
          </w:tcPr>
          <w:p>
            <w:r/>
            <w:r>
              <w:rPr>
                <w:sz w:val="18"/>
              </w:rPr>
              <w:t>Installation + installation facts replication</w:t>
            </w:r>
          </w:p>
        </w:tc>
      </w:tr>
      <w:tr>
        <w:tc>
          <w:tcPr>
            <w:tcW w:type="dxa" w:w="4176"/>
          </w:tcPr>
          <w:p>
            <w:r/>
            <w:r>
              <w:rPr>
                <w:sz w:val="18"/>
              </w:rPr>
              <w:t>UtilitiesSalesContractBulkReplicateRequest_Out</w:t>
            </w:r>
          </w:p>
        </w:tc>
        <w:tc>
          <w:tcPr>
            <w:tcW w:type="dxa" w:w="1296"/>
          </w:tcPr>
          <w:p>
            <w:r/>
            <w:r>
              <w:rPr>
                <w:sz w:val="18"/>
              </w:rPr>
              <w:t>S/4 → out</w:t>
            </w:r>
          </w:p>
        </w:tc>
        <w:tc>
          <w:tcPr>
            <w:tcW w:type="dxa" w:w="3888"/>
          </w:tcPr>
          <w:p>
            <w:r/>
            <w:r>
              <w:rPr>
                <w:sz w:val="18"/>
              </w:rPr>
              <w:t>Sales contract replication</w:t>
            </w:r>
          </w:p>
        </w:tc>
      </w:tr>
      <w:tr>
        <w:tc>
          <w:tcPr>
            <w:tcW w:type="dxa" w:w="4176"/>
            <w:shd w:val="clear" w:fill="DEEAF6"/>
          </w:tcPr>
          <w:p>
            <w:r/>
            <w:r>
              <w:rPr>
                <w:sz w:val="18"/>
              </w:rPr>
              <w:t>UtilitiesGeneralDataBulkRequest_Out</w:t>
            </w:r>
          </w:p>
        </w:tc>
        <w:tc>
          <w:tcPr>
            <w:tcW w:type="dxa" w:w="1296"/>
            <w:shd w:val="clear" w:fill="DEEAF6"/>
          </w:tcPr>
          <w:p>
            <w:r/>
            <w:r>
              <w:rPr>
                <w:sz w:val="18"/>
              </w:rPr>
              <w:t>S/4 → out</w:t>
            </w:r>
          </w:p>
        </w:tc>
        <w:tc>
          <w:tcPr>
            <w:tcW w:type="dxa" w:w="3888"/>
            <w:shd w:val="clear" w:fill="DEEAF6"/>
          </w:tcPr>
          <w:p>
            <w:r/>
            <w:r>
              <w:rPr>
                <w:sz w:val="18"/>
              </w:rPr>
              <w:t>General utilities data bulk requests</w:t>
            </w:r>
          </w:p>
        </w:tc>
      </w:tr>
    </w:tbl>
    <w:p>
      <w:pPr>
        <w:spacing w:after="40"/>
      </w:pPr>
    </w:p>
    <w:p>
      <w:r>
        <w:rPr>
          <w:b w:val="0"/>
        </w:rPr>
        <w:t>These A2A services support the surrounding landscape (SC V2 utilities add-on, marketing). The Enrollment Center itself prefers synchronous CDS/OData reads; the replication services are listed because IF-01 falls back to replicated data for latency-critical fields where the landscape already maintains them.</w:t>
      </w:r>
    </w:p>
    <w:p>
      <w:pPr>
        <w:pStyle w:val="Heading2"/>
      </w:pPr>
      <w:r>
        <w:t>5.3 RFC / BAPI Layer (fulfillment writes)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736"/>
            <w:shd w:val="clear" w:fill="1F4E79"/>
          </w:tcPr>
          <w:p>
            <w:r/>
            <w:r>
              <w:rPr>
                <w:b/>
                <w:color w:val="FFFFFF"/>
                <w:sz w:val="17"/>
              </w:rPr>
              <w:t>Operation</w:t>
            </w:r>
          </w:p>
        </w:tc>
        <w:tc>
          <w:tcPr>
            <w:tcW w:type="dxa" w:w="4320"/>
            <w:shd w:val="clear" w:fill="1F4E79"/>
          </w:tcPr>
          <w:p>
            <w:r/>
            <w:r>
              <w:rPr>
                <w:b/>
                <w:color w:val="FFFFFF"/>
                <w:sz w:val="17"/>
              </w:rPr>
              <w:t>Interface (representative — verify against release)</w:t>
            </w:r>
          </w:p>
        </w:tc>
        <w:tc>
          <w:tcPr>
            <w:tcW w:type="dxa" w:w="2304"/>
            <w:shd w:val="clear" w:fill="1F4E79"/>
          </w:tcPr>
          <w:p>
            <w:r/>
            <w:r>
              <w:rPr>
                <w:b/>
                <w:color w:val="FFFFFF"/>
                <w:sz w:val="17"/>
              </w:rPr>
              <w:t>Program Types</w:t>
            </w:r>
          </w:p>
        </w:tc>
      </w:tr>
      <w:tr>
        <w:tc>
          <w:tcPr>
            <w:tcW w:type="dxa" w:w="2736"/>
          </w:tcPr>
          <w:p>
            <w:r/>
            <w:r>
              <w:rPr>
                <w:sz w:val="17"/>
              </w:rPr>
              <w:t>Move-in creation (from SC V2 guided flow)</w:t>
            </w:r>
          </w:p>
        </w:tc>
        <w:tc>
          <w:tcPr>
            <w:tcW w:type="dxa" w:w="4320"/>
          </w:tcPr>
          <w:p>
            <w:r/>
            <w:r>
              <w:rPr>
                <w:sz w:val="17"/>
              </w:rPr>
              <w:t>Standard utilities move-in API / ISU move-in FM wrapped as Z_EC_MOVEIN_SRV</w:t>
            </w:r>
          </w:p>
        </w:tc>
        <w:tc>
          <w:tcPr>
            <w:tcW w:type="dxa" w:w="2304"/>
          </w:tcPr>
          <w:p>
            <w:r/>
            <w:r>
              <w:rPr>
                <w:sz w:val="17"/>
              </w:rPr>
              <w:t>Move-in embedded mode</w:t>
            </w:r>
          </w:p>
        </w:tc>
      </w:tr>
      <w:tr>
        <w:tc>
          <w:tcPr>
            <w:tcW w:type="dxa" w:w="2736"/>
            <w:shd w:val="clear" w:fill="DEEAF6"/>
          </w:tcPr>
          <w:p>
            <w:r/>
            <w:r>
              <w:rPr>
                <w:sz w:val="17"/>
              </w:rPr>
              <w:t>Rate/product change on installation</w:t>
            </w:r>
          </w:p>
        </w:tc>
        <w:tc>
          <w:tcPr>
            <w:tcW w:type="dxa" w:w="4320"/>
            <w:shd w:val="clear" w:fill="DEEAF6"/>
          </w:tcPr>
          <w:p>
            <w:r/>
            <w:r>
              <w:rPr>
                <w:sz w:val="17"/>
              </w:rPr>
              <w:t>Installation change FMs (EANLH/TARIFTYP update) wrapped as Z_EC_RATECHANGE; re-use legacy Z_GET_NEW_MI_RATE_CAT, Z_MIMO_* allowed-rate checks</w:t>
            </w:r>
          </w:p>
        </w:tc>
        <w:tc>
          <w:tcPr>
            <w:tcW w:type="dxa" w:w="2304"/>
            <w:shd w:val="clear" w:fill="DEEAF6"/>
          </w:tcPr>
          <w:p>
            <w:r/>
            <w:r>
              <w:rPr>
                <w:sz w:val="17"/>
              </w:rPr>
              <w:t>PTR, CPP, TOU, CARE rate variants</w:t>
            </w:r>
          </w:p>
        </w:tc>
      </w:tr>
      <w:tr>
        <w:tc>
          <w:tcPr>
            <w:tcW w:type="dxa" w:w="2736"/>
          </w:tcPr>
          <w:p>
            <w:r/>
            <w:r>
              <w:rPr>
                <w:sz w:val="17"/>
              </w:rPr>
              <w:t>Installment plan create/deactivate</w:t>
            </w:r>
          </w:p>
        </w:tc>
        <w:tc>
          <w:tcPr>
            <w:tcW w:type="dxa" w:w="4320"/>
          </w:tcPr>
          <w:p>
            <w:r/>
            <w:r>
              <w:rPr>
                <w:sz w:val="17"/>
              </w:rPr>
              <w:t>FI-CA installment plan FMs wrapped as Z_EC_INSTPLAN</w:t>
            </w:r>
          </w:p>
        </w:tc>
        <w:tc>
          <w:tcPr>
            <w:tcW w:type="dxa" w:w="2304"/>
          </w:tcPr>
          <w:p>
            <w:r/>
            <w:r>
              <w:rPr>
                <w:sz w:val="17"/>
              </w:rPr>
              <w:t>DPP</w:t>
            </w:r>
          </w:p>
        </w:tc>
      </w:tr>
      <w:tr>
        <w:tc>
          <w:tcPr>
            <w:tcW w:type="dxa" w:w="2736"/>
            <w:shd w:val="clear" w:fill="DEEAF6"/>
          </w:tcPr>
          <w:p>
            <w:r/>
            <w:r>
              <w:rPr>
                <w:sz w:val="17"/>
              </w:rPr>
              <w:t>Budget billing plan create/end</w:t>
            </w:r>
          </w:p>
        </w:tc>
        <w:tc>
          <w:tcPr>
            <w:tcW w:type="dxa" w:w="4320"/>
            <w:shd w:val="clear" w:fill="DEEAF6"/>
          </w:tcPr>
          <w:p>
            <w:r/>
            <w:r>
              <w:rPr>
                <w:sz w:val="17"/>
              </w:rPr>
              <w:t>Budget billing FMs wrapped as Z_EC_BUDGETBILL</w:t>
            </w:r>
          </w:p>
        </w:tc>
        <w:tc>
          <w:tcPr>
            <w:tcW w:type="dxa" w:w="2304"/>
            <w:shd w:val="clear" w:fill="DEEAF6"/>
          </w:tcPr>
          <w:p>
            <w:r/>
            <w:r>
              <w:rPr>
                <w:sz w:val="17"/>
              </w:rPr>
              <w:t>Budget Billing</w:t>
            </w:r>
          </w:p>
        </w:tc>
      </w:tr>
      <w:tr>
        <w:tc>
          <w:tcPr>
            <w:tcW w:type="dxa" w:w="2736"/>
          </w:tcPr>
          <w:p>
            <w:r/>
            <w:r>
              <w:rPr>
                <w:sz w:val="17"/>
              </w:rPr>
              <w:t>Contract account attribute update (due date, eBill, prepay flag)</w:t>
            </w:r>
          </w:p>
        </w:tc>
        <w:tc>
          <w:tcPr>
            <w:tcW w:type="dxa" w:w="4320"/>
          </w:tcPr>
          <w:p>
            <w:r/>
            <w:r>
              <w:rPr>
                <w:sz w:val="17"/>
              </w:rPr>
              <w:t>Contract account change FM/BAPI wrapped as Z_EC_CAUPDATE</w:t>
            </w:r>
          </w:p>
        </w:tc>
        <w:tc>
          <w:tcPr>
            <w:tcW w:type="dxa" w:w="2304"/>
          </w:tcPr>
          <w:p>
            <w:r/>
            <w:r>
              <w:rPr>
                <w:sz w:val="17"/>
              </w:rPr>
              <w:t>CSDD, eBill, PrePay settings</w:t>
            </w:r>
          </w:p>
        </w:tc>
      </w:tr>
      <w:tr>
        <w:tc>
          <w:tcPr>
            <w:tcW w:type="dxa" w:w="2736"/>
            <w:shd w:val="clear" w:fill="DEEAF6"/>
          </w:tcPr>
          <w:p>
            <w:r/>
            <w:r>
              <w:rPr>
                <w:sz w:val="17"/>
              </w:rPr>
              <w:t>Service order creation (device programs)</w:t>
            </w:r>
          </w:p>
        </w:tc>
        <w:tc>
          <w:tcPr>
            <w:tcW w:type="dxa" w:w="4320"/>
            <w:shd w:val="clear" w:fill="DEEAF6"/>
          </w:tcPr>
          <w:p>
            <w:r/>
            <w:r>
              <w:rPr>
                <w:sz w:val="17"/>
              </w:rPr>
              <w:t>Service order API wrapped as Z_EC_SERVICEORDER</w:t>
            </w:r>
          </w:p>
        </w:tc>
        <w:tc>
          <w:tcPr>
            <w:tcW w:type="dxa" w:w="2304"/>
            <w:shd w:val="clear" w:fill="DEEAF6"/>
          </w:tcPr>
          <w:p>
            <w:r/>
            <w:r>
              <w:rPr>
                <w:sz w:val="17"/>
              </w:rPr>
              <w:t>Smart Thermostat, PPS, AMI exchange</w:t>
            </w:r>
          </w:p>
        </w:tc>
      </w:tr>
      <w:tr>
        <w:tc>
          <w:tcPr>
            <w:tcW w:type="dxa" w:w="2736"/>
          </w:tcPr>
          <w:p>
            <w:r/>
            <w:r>
              <w:rPr>
                <w:sz w:val="17"/>
              </w:rPr>
              <w:t>Eligibility pre-check</w:t>
            </w:r>
          </w:p>
        </w:tc>
        <w:tc>
          <w:tcPr>
            <w:tcW w:type="dxa" w:w="4320"/>
          </w:tcPr>
          <w:p>
            <w:r/>
            <w:r>
              <w:rPr>
                <w:sz w:val="17"/>
              </w:rPr>
              <w:t>Z_EC_ELIGIBILITY_PRECHECK (successor of legacy FUNC_PGMENRL_PRECHECK)</w:t>
            </w:r>
          </w:p>
        </w:tc>
        <w:tc>
          <w:tcPr>
            <w:tcW w:type="dxa" w:w="2304"/>
          </w:tcPr>
          <w:p>
            <w:r/>
            <w:r>
              <w:rPr>
                <w:sz w:val="17"/>
              </w:rPr>
              <w:t>All programs</w:t>
            </w:r>
          </w:p>
        </w:tc>
      </w:tr>
      <w:tr>
        <w:tc>
          <w:tcPr>
            <w:tcW w:type="dxa" w:w="2736"/>
            <w:shd w:val="clear" w:fill="DEEAF6"/>
          </w:tcPr>
          <w:p>
            <w:r/>
            <w:r>
              <w:rPr>
                <w:sz w:val="17"/>
              </w:rPr>
              <w:t>De-enrollment exit check</w:t>
            </w:r>
          </w:p>
        </w:tc>
        <w:tc>
          <w:tcPr>
            <w:tcW w:type="dxa" w:w="4320"/>
            <w:shd w:val="clear" w:fill="DEEAF6"/>
          </w:tcPr>
          <w:p>
            <w:r/>
            <w:r>
              <w:rPr>
                <w:sz w:val="17"/>
              </w:rPr>
              <w:t>Z_EC_DEENROLL_CHECK</w:t>
            </w:r>
          </w:p>
        </w:tc>
        <w:tc>
          <w:tcPr>
            <w:tcW w:type="dxa" w:w="2304"/>
            <w:shd w:val="clear" w:fill="DEEAF6"/>
          </w:tcPr>
          <w:p>
            <w:r/>
            <w:r>
              <w:rPr>
                <w:sz w:val="17"/>
              </w:rPr>
              <w:t>All programs</w:t>
            </w:r>
          </w:p>
        </w:tc>
      </w:tr>
    </w:tbl>
    <w:p>
      <w:pPr>
        <w:spacing w:after="40"/>
      </w:pPr>
    </w:p>
    <w:p>
      <w:pPr>
        <w:pStyle w:val="Heading2"/>
      </w:pPr>
      <w:r>
        <w:t>5.4 Events (Event Mesh topics)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880"/>
            <w:shd w:val="clear" w:fill="1F4E79"/>
          </w:tcPr>
          <w:p>
            <w:r/>
            <w:r>
              <w:rPr>
                <w:b/>
                <w:color w:val="FFFFFF"/>
                <w:sz w:val="18"/>
              </w:rPr>
              <w:t>Topic</w:t>
            </w:r>
          </w:p>
        </w:tc>
        <w:tc>
          <w:tcPr>
            <w:tcW w:type="dxa" w:w="2448"/>
            <w:shd w:val="clear" w:fill="1F4E79"/>
          </w:tcPr>
          <w:p>
            <w:r/>
            <w:r>
              <w:rPr>
                <w:b/>
                <w:color w:val="FFFFFF"/>
                <w:sz w:val="18"/>
              </w:rPr>
              <w:t>Producer</w:t>
            </w:r>
          </w:p>
        </w:tc>
        <w:tc>
          <w:tcPr>
            <w:tcW w:type="dxa" w:w="4032"/>
            <w:shd w:val="clear" w:fill="1F4E79"/>
          </w:tcPr>
          <w:p>
            <w:r/>
            <w:r>
              <w:rPr>
                <w:b/>
                <w:color w:val="FFFFFF"/>
                <w:sz w:val="18"/>
              </w:rPr>
              <w:t>Payload / Trigger</w:t>
            </w:r>
          </w:p>
        </w:tc>
      </w:tr>
      <w:tr>
        <w:tc>
          <w:tcPr>
            <w:tcW w:type="dxa" w:w="2880"/>
          </w:tcPr>
          <w:p>
            <w:r/>
            <w:r>
              <w:rPr>
                <w:sz w:val="18"/>
              </w:rPr>
              <w:t>utilco/s4/movein/completed</w:t>
            </w:r>
          </w:p>
        </w:tc>
        <w:tc>
          <w:tcPr>
            <w:tcW w:type="dxa" w:w="2448"/>
          </w:tcPr>
          <w:p>
            <w:r/>
            <w:r>
              <w:rPr>
                <w:sz w:val="18"/>
              </w:rPr>
              <w:t>S/4HANA (event enablement on move-in completion)</w:t>
            </w:r>
          </w:p>
        </w:tc>
        <w:tc>
          <w:tcPr>
            <w:tcW w:type="dxa" w:w="4032"/>
          </w:tcPr>
          <w:p>
            <w:r/>
            <w:r>
              <w:rPr>
                <w:sz w:val="18"/>
              </w:rPr>
              <w:t>Move-in ID, BP, CA, contract, activation date — releases parked Enrollment Requests</w:t>
            </w:r>
          </w:p>
        </w:tc>
      </w:tr>
      <w:tr>
        <w:tc>
          <w:tcPr>
            <w:tcW w:type="dxa" w:w="2880"/>
            <w:shd w:val="clear" w:fill="DEEAF6"/>
          </w:tcPr>
          <w:p>
            <w:r/>
            <w:r>
              <w:rPr>
                <w:sz w:val="18"/>
              </w:rPr>
              <w:t>utilco/s4/movein/cancelled</w:t>
            </w:r>
          </w:p>
        </w:tc>
        <w:tc>
          <w:tcPr>
            <w:tcW w:type="dxa" w:w="2448"/>
            <w:shd w:val="clear" w:fill="DEEAF6"/>
          </w:tcPr>
          <w:p>
            <w:r/>
            <w:r>
              <w:rPr>
                <w:sz w:val="18"/>
              </w:rPr>
              <w:t>S/4HANA</w:t>
            </w:r>
          </w:p>
        </w:tc>
        <w:tc>
          <w:tcPr>
            <w:tcW w:type="dxa" w:w="4032"/>
            <w:shd w:val="clear" w:fill="DEEAF6"/>
          </w:tcPr>
          <w:p>
            <w:r/>
            <w:r>
              <w:rPr>
                <w:sz w:val="18"/>
              </w:rPr>
              <w:t>Move-in ID — cascade-cancels linked requests</w:t>
            </w:r>
          </w:p>
        </w:tc>
      </w:tr>
      <w:tr>
        <w:tc>
          <w:tcPr>
            <w:tcW w:type="dxa" w:w="2880"/>
          </w:tcPr>
          <w:p>
            <w:r/>
            <w:r>
              <w:rPr>
                <w:sz w:val="18"/>
              </w:rPr>
              <w:t>utilco/s4/enrollment/confirmed</w:t>
            </w:r>
          </w:p>
        </w:tc>
        <w:tc>
          <w:tcPr>
            <w:tcW w:type="dxa" w:w="2448"/>
          </w:tcPr>
          <w:p>
            <w:r/>
            <w:r>
              <w:rPr>
                <w:sz w:val="18"/>
              </w:rPr>
              <w:t>S/4HANA outbound event from fulfillment commit</w:t>
            </w:r>
          </w:p>
        </w:tc>
        <w:tc>
          <w:tcPr>
            <w:tcW w:type="dxa" w:w="4032"/>
          </w:tcPr>
          <w:p>
            <w:r/>
            <w:r>
              <w:rPr>
                <w:sz w:val="18"/>
              </w:rPr>
              <w:t>Request ID, backend object keys, actual dates</w:t>
            </w:r>
          </w:p>
        </w:tc>
      </w:tr>
      <w:tr>
        <w:tc>
          <w:tcPr>
            <w:tcW w:type="dxa" w:w="2880"/>
            <w:shd w:val="clear" w:fill="DEEAF6"/>
          </w:tcPr>
          <w:p>
            <w:r/>
            <w:r>
              <w:rPr>
                <w:sz w:val="18"/>
              </w:rPr>
              <w:t>utilco/s4/bpem/casechanged</w:t>
            </w:r>
          </w:p>
        </w:tc>
        <w:tc>
          <w:tcPr>
            <w:tcW w:type="dxa" w:w="2448"/>
            <w:shd w:val="clear" w:fill="DEEAF6"/>
          </w:tcPr>
          <w:p>
            <w:r/>
            <w:r>
              <w:rPr>
                <w:sz w:val="18"/>
              </w:rPr>
              <w:t>S/4HANA BPEM</w:t>
            </w:r>
          </w:p>
        </w:tc>
        <w:tc>
          <w:tcPr>
            <w:tcW w:type="dxa" w:w="4032"/>
            <w:shd w:val="clear" w:fill="DEEAF6"/>
          </w:tcPr>
          <w:p>
            <w:r/>
            <w:r>
              <w:rPr>
                <w:sz w:val="18"/>
              </w:rPr>
              <w:t>Case number/status — updates Error-In-Review items</w:t>
            </w:r>
          </w:p>
        </w:tc>
      </w:tr>
      <w:tr>
        <w:tc>
          <w:tcPr>
            <w:tcW w:type="dxa" w:w="2880"/>
          </w:tcPr>
          <w:p>
            <w:r/>
            <w:r>
              <w:rPr>
                <w:sz w:val="18"/>
              </w:rPr>
              <w:t>utilco/ec/fulfillment/dispatch</w:t>
            </w:r>
          </w:p>
        </w:tc>
        <w:tc>
          <w:tcPr>
            <w:tcW w:type="dxa" w:w="2448"/>
          </w:tcPr>
          <w:p>
            <w:r/>
            <w:r>
              <w:rPr>
                <w:sz w:val="18"/>
              </w:rPr>
              <w:t>Enrollment Service</w:t>
            </w:r>
          </w:p>
        </w:tc>
        <w:tc>
          <w:tcPr>
            <w:tcW w:type="dxa" w:w="4032"/>
          </w:tcPr>
          <w:p>
            <w:r/>
            <w:r>
              <w:rPr>
                <w:sz w:val="18"/>
              </w:rPr>
              <w:t>Recipe execution command consumed by IF-03</w:t>
            </w:r>
          </w:p>
        </w:tc>
      </w:tr>
    </w:tbl>
    <w:p>
      <w:pPr>
        <w:spacing w:after="40"/>
      </w:pPr>
    </w:p>
    <w:p>
      <w:r>
        <w:br w:type="page"/>
      </w:r>
    </w:p>
    <w:p>
      <w:pPr>
        <w:pStyle w:val="Heading1"/>
      </w:pPr>
      <w:r>
        <w:t>6. BRFplus Application Design</w:t>
      </w:r>
    </w:p>
    <w:p>
      <w:pPr>
        <w:pStyle w:val="Heading2"/>
      </w:pPr>
      <w:r>
        <w:t>6.1 Application Structure</w:t>
      </w:r>
    </w:p>
    <w:p>
      <w:r>
        <w:rPr>
          <w:b w:val="0"/>
        </w:rPr>
        <w:t>One BRFplus application ZEC_PROGRAM_ELIGIBILITY in S/4HANA (client-independent storage, transportable), modeled on the proven legacy design (DPP/DLA/PrePay rulesets called through one pre-check function). The legacy ruleset RS_DPP_INT_VALIDATION and function FUNC_PGMENRL_PRECHECK are migrated/renamed into this application.</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1872"/>
            <w:shd w:val="clear" w:fill="1F4E79"/>
          </w:tcPr>
          <w:p>
            <w:r/>
            <w:r>
              <w:rPr>
                <w:b/>
                <w:color w:val="FFFFFF"/>
                <w:sz w:val="17"/>
              </w:rPr>
              <w:t>BRFplus Object</w:t>
            </w:r>
          </w:p>
        </w:tc>
        <w:tc>
          <w:tcPr>
            <w:tcW w:type="dxa" w:w="3744"/>
            <w:shd w:val="clear" w:fill="1F4E79"/>
          </w:tcPr>
          <w:p>
            <w:r/>
            <w:r>
              <w:rPr>
                <w:b/>
                <w:color w:val="FFFFFF"/>
                <w:sz w:val="17"/>
              </w:rPr>
              <w:t>Name</w:t>
            </w:r>
          </w:p>
        </w:tc>
        <w:tc>
          <w:tcPr>
            <w:tcW w:type="dxa" w:w="3744"/>
            <w:shd w:val="clear" w:fill="1F4E79"/>
          </w:tcPr>
          <w:p>
            <w:r/>
            <w:r>
              <w:rPr>
                <w:b/>
                <w:color w:val="FFFFFF"/>
                <w:sz w:val="17"/>
              </w:rPr>
              <w:t>Purpose</w:t>
            </w:r>
          </w:p>
        </w:tc>
      </w:tr>
      <w:tr>
        <w:tc>
          <w:tcPr>
            <w:tcW w:type="dxa" w:w="1872"/>
          </w:tcPr>
          <w:p>
            <w:r/>
            <w:r>
              <w:rPr>
                <w:sz w:val="17"/>
              </w:rPr>
              <w:t>Application</w:t>
            </w:r>
          </w:p>
        </w:tc>
        <w:tc>
          <w:tcPr>
            <w:tcW w:type="dxa" w:w="3744"/>
          </w:tcPr>
          <w:p>
            <w:r/>
            <w:r>
              <w:rPr>
                <w:sz w:val="17"/>
              </w:rPr>
              <w:t>ZEC_PROGRAM_ELIGIBILITY</w:t>
            </w:r>
          </w:p>
        </w:tc>
        <w:tc>
          <w:tcPr>
            <w:tcW w:type="dxa" w:w="3744"/>
          </w:tcPr>
          <w:p>
            <w:r/>
            <w:r>
              <w:rPr>
                <w:sz w:val="17"/>
              </w:rPr>
              <w:t>Container; storage type S (system); transported via workbench request</w:t>
            </w:r>
          </w:p>
        </w:tc>
      </w:tr>
      <w:tr>
        <w:tc>
          <w:tcPr>
            <w:tcW w:type="dxa" w:w="1872"/>
            <w:shd w:val="clear" w:fill="DEEAF6"/>
          </w:tcPr>
          <w:p>
            <w:r/>
            <w:r>
              <w:rPr>
                <w:sz w:val="17"/>
              </w:rPr>
              <w:t>Function</w:t>
            </w:r>
          </w:p>
        </w:tc>
        <w:tc>
          <w:tcPr>
            <w:tcW w:type="dxa" w:w="3744"/>
            <w:shd w:val="clear" w:fill="DEEAF6"/>
          </w:tcPr>
          <w:p>
            <w:r/>
            <w:r>
              <w:rPr>
                <w:sz w:val="17"/>
              </w:rPr>
              <w:t>F_EC_ELIGIBILITY_ALL</w:t>
            </w:r>
          </w:p>
        </w:tc>
        <w:tc>
          <w:tcPr>
            <w:tcW w:type="dxa" w:w="3744"/>
            <w:shd w:val="clear" w:fill="DEEAF6"/>
          </w:tcPr>
          <w:p>
            <w:r/>
            <w:r>
              <w:rPr>
                <w:sz w:val="17"/>
              </w:rPr>
              <w:t>Entry point: evaluates all requested programs for all supplied contract accounts; mode PRE_ACTIVE for move-in context</w:t>
            </w:r>
          </w:p>
        </w:tc>
      </w:tr>
      <w:tr>
        <w:tc>
          <w:tcPr>
            <w:tcW w:type="dxa" w:w="1872"/>
          </w:tcPr>
          <w:p>
            <w:r/>
            <w:r>
              <w:rPr>
                <w:sz w:val="17"/>
              </w:rPr>
              <w:t>Function</w:t>
            </w:r>
          </w:p>
        </w:tc>
        <w:tc>
          <w:tcPr>
            <w:tcW w:type="dxa" w:w="3744"/>
          </w:tcPr>
          <w:p>
            <w:r/>
            <w:r>
              <w:rPr>
                <w:sz w:val="17"/>
              </w:rPr>
              <w:t>F_EC_DEENROLL_CHECK</w:t>
            </w:r>
          </w:p>
        </w:tc>
        <w:tc>
          <w:tcPr>
            <w:tcW w:type="dxa" w:w="3744"/>
          </w:tcPr>
          <w:p>
            <w:r/>
            <w:r>
              <w:rPr>
                <w:sz w:val="17"/>
              </w:rPr>
              <w:t>Exit-rule evaluation per participation</w:t>
            </w:r>
          </w:p>
        </w:tc>
      </w:tr>
      <w:tr>
        <w:tc>
          <w:tcPr>
            <w:tcW w:type="dxa" w:w="1872"/>
            <w:shd w:val="clear" w:fill="DEEAF6"/>
          </w:tcPr>
          <w:p>
            <w:r/>
            <w:r>
              <w:rPr>
                <w:sz w:val="17"/>
              </w:rPr>
              <w:t>Ruleset (per program)</w:t>
            </w:r>
          </w:p>
        </w:tc>
        <w:tc>
          <w:tcPr>
            <w:tcW w:type="dxa" w:w="3744"/>
            <w:shd w:val="clear" w:fill="DEEAF6"/>
          </w:tcPr>
          <w:p>
            <w:r/>
            <w:r>
              <w:rPr>
                <w:sz w:val="17"/>
              </w:rPr>
              <w:t>RS_PTR_VALIDATION, RS_CPP_VALIDATION, RS_TOU_VALIDATION, RS_PPS_VALIDATION, RS_THERM_VALIDATION, RS_CSDD_VALIDATION, RS_EBILL_VALIDATION, RS_DPP_INT_VALIDATION (migrated), RS_BB_VALIDATION, RS_PREPAY_VALIDATION, RS_CARE_VALIDATION, RS_MED_VALIDATION, RS_CDR_VALIDATION</w:t>
            </w:r>
          </w:p>
        </w:tc>
        <w:tc>
          <w:tcPr>
            <w:tcW w:type="dxa" w:w="3744"/>
            <w:shd w:val="clear" w:fill="DEEAF6"/>
          </w:tcPr>
          <w:p>
            <w:r/>
            <w:r>
              <w:rPr>
                <w:sz w:val="17"/>
              </w:rPr>
              <w:t>All rules of a ruleset execute completely — every failure is returned (no first-fail exit), per legacy design</w:t>
            </w:r>
          </w:p>
        </w:tc>
      </w:tr>
      <w:tr>
        <w:tc>
          <w:tcPr>
            <w:tcW w:type="dxa" w:w="1872"/>
          </w:tcPr>
          <w:p>
            <w:r/>
            <w:r>
              <w:rPr>
                <w:sz w:val="17"/>
              </w:rPr>
              <w:t>Decision tables</w:t>
            </w:r>
          </w:p>
        </w:tc>
        <w:tc>
          <w:tcPr>
            <w:tcW w:type="dxa" w:w="3744"/>
          </w:tcPr>
          <w:p>
            <w:r/>
            <w:r>
              <w:rPr>
                <w:sz w:val="17"/>
              </w:rPr>
              <w:t>DT_&lt;PGM&gt;_HARDSTOPS, DT_&lt;PGM&gt;_WARNINGS, DT_WAITING_PERIODS, DT_RATECLASS_MATRIX, DT_PROGRAM_EXCLUSIONS</w:t>
            </w:r>
          </w:p>
        </w:tc>
        <w:tc>
          <w:tcPr>
            <w:tcW w:type="dxa" w:w="3744"/>
          </w:tcPr>
          <w:p>
            <w:r/>
            <w:r>
              <w:rPr>
                <w:sz w:val="17"/>
              </w:rPr>
              <w:t>Maintainable rule content: rate class restrictions, AMI requirement, waiting periods, mutual program exclusions (e.g., PrePay vs Medical Alert), credit thresholds</w:t>
            </w:r>
          </w:p>
        </w:tc>
      </w:tr>
      <w:tr>
        <w:tc>
          <w:tcPr>
            <w:tcW w:type="dxa" w:w="1872"/>
            <w:shd w:val="clear" w:fill="DEEAF6"/>
          </w:tcPr>
          <w:p>
            <w:r/>
            <w:r>
              <w:rPr>
                <w:sz w:val="17"/>
              </w:rPr>
              <w:t>Expressions</w:t>
            </w:r>
          </w:p>
        </w:tc>
        <w:tc>
          <w:tcPr>
            <w:tcW w:type="dxa" w:w="3744"/>
            <w:shd w:val="clear" w:fill="DEEAF6"/>
          </w:tcPr>
          <w:p>
            <w:r/>
            <w:r>
              <w:rPr>
                <w:sz w:val="17"/>
              </w:rPr>
              <w:t>EX_AMI_CHECK, EX_ARREARS_AMOUNT, EX_RETURNED_PAYMENTS_12M, EX_ACTIVE_INSTPLAN, EX_MEDICAL_FLAG, EX_BILLING_HISTORY_MONTHS</w:t>
            </w:r>
          </w:p>
        </w:tc>
        <w:tc>
          <w:tcPr>
            <w:tcW w:type="dxa" w:w="3744"/>
            <w:shd w:val="clear" w:fill="DEEAF6"/>
          </w:tcPr>
          <w:p>
            <w:r/>
            <w:r>
              <w:rPr>
                <w:sz w:val="17"/>
              </w:rPr>
              <w:t>DB lookups/procedure calls feeding the decision tables</w:t>
            </w:r>
          </w:p>
        </w:tc>
      </w:tr>
      <w:tr>
        <w:tc>
          <w:tcPr>
            <w:tcW w:type="dxa" w:w="1872"/>
          </w:tcPr>
          <w:p>
            <w:r/>
            <w:r>
              <w:rPr>
                <w:sz w:val="17"/>
              </w:rPr>
              <w:t>Context data object</w:t>
            </w:r>
          </w:p>
        </w:tc>
        <w:tc>
          <w:tcPr>
            <w:tcW w:type="dxa" w:w="3744"/>
          </w:tcPr>
          <w:p>
            <w:r/>
            <w:r>
              <w:rPr>
                <w:sz w:val="17"/>
              </w:rPr>
              <w:t>CTX_EC_ELIG (structure)</w:t>
            </w:r>
          </w:p>
        </w:tc>
        <w:tc>
          <w:tcPr>
            <w:tcW w:type="dxa" w:w="3744"/>
          </w:tcPr>
          <w:p>
            <w:r/>
            <w:r>
              <w:rPr>
                <w:sz w:val="17"/>
              </w:rPr>
              <w:t>BP, CA list, division, rate category, premise, installation, device AMI flag, dunning level, medical flag, program history table, mode (STANDALONE/PRE_ACTIVE)</w:t>
            </w:r>
          </w:p>
        </w:tc>
      </w:tr>
      <w:tr>
        <w:tc>
          <w:tcPr>
            <w:tcW w:type="dxa" w:w="1872"/>
            <w:shd w:val="clear" w:fill="DEEAF6"/>
          </w:tcPr>
          <w:p>
            <w:r/>
            <w:r>
              <w:rPr>
                <w:sz w:val="17"/>
              </w:rPr>
              <w:t>Result data object</w:t>
            </w:r>
          </w:p>
        </w:tc>
        <w:tc>
          <w:tcPr>
            <w:tcW w:type="dxa" w:w="3744"/>
            <w:shd w:val="clear" w:fill="DEEAF6"/>
          </w:tcPr>
          <w:p>
            <w:r/>
            <w:r>
              <w:rPr>
                <w:sz w:val="17"/>
              </w:rPr>
              <w:t>RES_EC_ELIG (table)</w:t>
            </w:r>
          </w:p>
        </w:tc>
        <w:tc>
          <w:tcPr>
            <w:tcW w:type="dxa" w:w="3744"/>
            <w:shd w:val="clear" w:fill="DEEAF6"/>
          </w:tcPr>
          <w:p>
            <w:r/>
            <w:r>
              <w:rPr>
                <w:sz w:val="17"/>
              </w:rPr>
              <w:t>Program ID, CA, eligible flag, message class/number, severity (E=hard stop, W=warning, I=not-yet-eligible), message variables</w:t>
            </w:r>
          </w:p>
        </w:tc>
      </w:tr>
    </w:tbl>
    <w:p>
      <w:pPr>
        <w:spacing w:after="40"/>
      </w:pPr>
    </w:p>
    <w:p>
      <w:pPr>
        <w:pStyle w:val="Heading2"/>
      </w:pPr>
      <w:r>
        <w:t>6.2 Invocation and Performance</w:t>
      </w:r>
    </w:p>
    <w:p>
      <w:pPr>
        <w:pStyle w:val="ListBullet"/>
      </w:pPr>
      <w:r>
        <w:t>Wrapper RFC Z_EC_ELIGIBILITY_PRECHECK builds CTX_EC_ELIG (parallel CDS reads via aRFC), calls F_EC_ELIGIBILITY_ALL once for all programs and contract accounts, and returns RES_EC_ELIG — one round trip per Enrollment Center load, matching the legacy contract.</w:t>
      </w:r>
    </w:p>
    <w:p>
      <w:pPr>
        <w:pStyle w:val="ListBullet"/>
      </w:pPr>
      <w:r>
        <w:t>BRFplus functions generated (not interpreted) for performance; generation refreshed in transport pipeline.</w:t>
      </w:r>
    </w:p>
    <w:p>
      <w:pPr>
        <w:pStyle w:val="ListBullet"/>
      </w:pPr>
      <w:r>
        <w:t>Rule content changes (decision table rows) are business-maintainable via BRFplus workbench with change-log; structural changes follow WRICEF governance.</w:t>
      </w:r>
    </w:p>
    <w:p>
      <w:pPr>
        <w:pStyle w:val="ListBullet"/>
      </w:pPr>
      <w:r>
        <w:t>PRE_ACTIVE mode: rules referencing billing history or active contract return severity I ('not yet eligible') instead of E, enabling the move-in catalog behavior.</w:t>
      </w:r>
    </w:p>
    <w:p>
      <w:pPr>
        <w:pStyle w:val="ListBullet"/>
      </w:pPr>
      <w:r>
        <w:t>All messages come from message class ZEC_ELIG (number ranges: 0xx hard stops, 3xx warnings, 9xx not-yet-eligible) so the UI and audit log are language-enabled.</w:t>
      </w:r>
    </w:p>
    <w:p>
      <w:pPr>
        <w:pStyle w:val="Heading1"/>
      </w:pPr>
      <w:r>
        <w:t>7. Custom Development Inventory (S/4HANA side)</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3024"/>
            <w:shd w:val="clear" w:fill="1F4E79"/>
          </w:tcPr>
          <w:p>
            <w:r/>
            <w:r>
              <w:rPr>
                <w:b/>
                <w:color w:val="FFFFFF"/>
                <w:sz w:val="18"/>
              </w:rPr>
              <w:t>Object</w:t>
            </w:r>
          </w:p>
        </w:tc>
        <w:tc>
          <w:tcPr>
            <w:tcW w:type="dxa" w:w="1728"/>
            <w:shd w:val="clear" w:fill="1F4E79"/>
          </w:tcPr>
          <w:p>
            <w:r/>
            <w:r>
              <w:rPr>
                <w:b/>
                <w:color w:val="FFFFFF"/>
                <w:sz w:val="18"/>
              </w:rPr>
              <w:t>Type</w:t>
            </w:r>
          </w:p>
        </w:tc>
        <w:tc>
          <w:tcPr>
            <w:tcW w:type="dxa" w:w="4608"/>
            <w:shd w:val="clear" w:fill="1F4E79"/>
          </w:tcPr>
          <w:p>
            <w:r/>
            <w:r>
              <w:rPr>
                <w:b/>
                <w:color w:val="FFFFFF"/>
                <w:sz w:val="18"/>
              </w:rPr>
              <w:t>Description</w:t>
            </w:r>
          </w:p>
        </w:tc>
      </w:tr>
      <w:tr>
        <w:tc>
          <w:tcPr>
            <w:tcW w:type="dxa" w:w="3024"/>
          </w:tcPr>
          <w:p>
            <w:r/>
            <w:r>
              <w:rPr>
                <w:sz w:val="18"/>
              </w:rPr>
              <w:t>Z_EC_ELIGIBILITY_PRECHECK</w:t>
            </w:r>
          </w:p>
        </w:tc>
        <w:tc>
          <w:tcPr>
            <w:tcW w:type="dxa" w:w="1728"/>
          </w:tcPr>
          <w:p>
            <w:r/>
            <w:r>
              <w:rPr>
                <w:sz w:val="18"/>
              </w:rPr>
              <w:t>RFC FM</w:t>
            </w:r>
          </w:p>
        </w:tc>
        <w:tc>
          <w:tcPr>
            <w:tcW w:type="dxa" w:w="4608"/>
          </w:tcPr>
          <w:p>
            <w:r/>
            <w:r>
              <w:rPr>
                <w:sz w:val="18"/>
              </w:rPr>
              <w:t>BRFplus wrapper; exposed to BTP via destination (RFC) or thin OData</w:t>
            </w:r>
          </w:p>
        </w:tc>
      </w:tr>
      <w:tr>
        <w:tc>
          <w:tcPr>
            <w:tcW w:type="dxa" w:w="3024"/>
            <w:shd w:val="clear" w:fill="DEEAF6"/>
          </w:tcPr>
          <w:p>
            <w:r/>
            <w:r>
              <w:rPr>
                <w:sz w:val="18"/>
              </w:rPr>
              <w:t>Z_EC_DEENROLL_CHECK</w:t>
            </w:r>
          </w:p>
        </w:tc>
        <w:tc>
          <w:tcPr>
            <w:tcW w:type="dxa" w:w="1728"/>
            <w:shd w:val="clear" w:fill="DEEAF6"/>
          </w:tcPr>
          <w:p>
            <w:r/>
            <w:r>
              <w:rPr>
                <w:sz w:val="18"/>
              </w:rPr>
              <w:t>RFC FM</w:t>
            </w:r>
          </w:p>
        </w:tc>
        <w:tc>
          <w:tcPr>
            <w:tcW w:type="dxa" w:w="4608"/>
            <w:shd w:val="clear" w:fill="DEEAF6"/>
          </w:tcPr>
          <w:p>
            <w:r/>
            <w:r>
              <w:rPr>
                <w:sz w:val="18"/>
              </w:rPr>
              <w:t>Exit rules: minimum participation, balances, pending device orders</w:t>
            </w:r>
          </w:p>
        </w:tc>
      </w:tr>
      <w:tr>
        <w:tc>
          <w:tcPr>
            <w:tcW w:type="dxa" w:w="3024"/>
          </w:tcPr>
          <w:p>
            <w:r/>
            <w:r>
              <w:rPr>
                <w:sz w:val="18"/>
              </w:rPr>
              <w:t>Z_EC_CONTEXT_SRV</w:t>
            </w:r>
          </w:p>
        </w:tc>
        <w:tc>
          <w:tcPr>
            <w:tcW w:type="dxa" w:w="1728"/>
          </w:tcPr>
          <w:p>
            <w:r/>
            <w:r>
              <w:rPr>
                <w:sz w:val="18"/>
              </w:rPr>
              <w:t>OData service</w:t>
            </w:r>
          </w:p>
        </w:tc>
        <w:tc>
          <w:tcPr>
            <w:tcW w:type="dxa" w:w="4608"/>
          </w:tcPr>
          <w:p>
            <w:r/>
            <w:r>
              <w:rPr>
                <w:sz w:val="18"/>
              </w:rPr>
              <w:t>Consolidated context read over the Section 4 CDS views</w:t>
            </w:r>
          </w:p>
        </w:tc>
      </w:tr>
      <w:tr>
        <w:tc>
          <w:tcPr>
            <w:tcW w:type="dxa" w:w="3024"/>
            <w:shd w:val="clear" w:fill="DEEAF6"/>
          </w:tcPr>
          <w:p>
            <w:r/>
            <w:r>
              <w:rPr>
                <w:sz w:val="18"/>
              </w:rPr>
              <w:t>Z_EC_ENROLLMENT_SRV</w:t>
            </w:r>
          </w:p>
        </w:tc>
        <w:tc>
          <w:tcPr>
            <w:tcW w:type="dxa" w:w="1728"/>
            <w:shd w:val="clear" w:fill="DEEAF6"/>
          </w:tcPr>
          <w:p>
            <w:r/>
            <w:r>
              <w:rPr>
                <w:sz w:val="18"/>
              </w:rPr>
              <w:t>OData service</w:t>
            </w:r>
          </w:p>
        </w:tc>
        <w:tc>
          <w:tcPr>
            <w:tcW w:type="dxa" w:w="4608"/>
            <w:shd w:val="clear" w:fill="DEEAF6"/>
          </w:tcPr>
          <w:p>
            <w:r/>
            <w:r>
              <w:rPr>
                <w:sz w:val="18"/>
              </w:rPr>
              <w:t>CRUD on ZEC_ENROLL_HDR/ZEC_ENROLL_HIST program participation tables</w:t>
            </w:r>
          </w:p>
        </w:tc>
      </w:tr>
      <w:tr>
        <w:tc>
          <w:tcPr>
            <w:tcW w:type="dxa" w:w="3024"/>
          </w:tcPr>
          <w:p>
            <w:r/>
            <w:r>
              <w:rPr>
                <w:sz w:val="18"/>
              </w:rPr>
              <w:t>ZEC_ENROLL_HDR / ZEC_ENROLL_HIST</w:t>
            </w:r>
          </w:p>
        </w:tc>
        <w:tc>
          <w:tcPr>
            <w:tcW w:type="dxa" w:w="1728"/>
          </w:tcPr>
          <w:p>
            <w:r/>
            <w:r>
              <w:rPr>
                <w:sz w:val="18"/>
              </w:rPr>
              <w:t>Tables</w:t>
            </w:r>
          </w:p>
        </w:tc>
        <w:tc>
          <w:tcPr>
            <w:tcW w:type="dxa" w:w="4608"/>
          </w:tcPr>
          <w:p>
            <w:r/>
            <w:r>
              <w:rPr>
                <w:sz w:val="18"/>
              </w:rPr>
              <w:t>Program participation + history in S/4HANA (system of record for participation; BTP holds process state only)</w:t>
            </w:r>
          </w:p>
        </w:tc>
      </w:tr>
      <w:tr>
        <w:tc>
          <w:tcPr>
            <w:tcW w:type="dxa" w:w="3024"/>
            <w:shd w:val="clear" w:fill="DEEAF6"/>
          </w:tcPr>
          <w:p>
            <w:r/>
            <w:r>
              <w:rPr>
                <w:sz w:val="18"/>
              </w:rPr>
              <w:t>Z_EC_RATECHANGE / Z_EC_INSTPLAN / Z_EC_BUDGETBILL / Z_EC_CAUPDATE / Z_EC_SERVICEORDER / Z_EC_MOVEIN_SRV</w:t>
            </w:r>
          </w:p>
        </w:tc>
        <w:tc>
          <w:tcPr>
            <w:tcW w:type="dxa" w:w="1728"/>
            <w:shd w:val="clear" w:fill="DEEAF6"/>
          </w:tcPr>
          <w:p>
            <w:r/>
            <w:r>
              <w:rPr>
                <w:sz w:val="18"/>
              </w:rPr>
              <w:t>RFC/OData wrappers</w:t>
            </w:r>
          </w:p>
        </w:tc>
        <w:tc>
          <w:tcPr>
            <w:tcW w:type="dxa" w:w="4608"/>
            <w:shd w:val="clear" w:fill="DEEAF6"/>
          </w:tcPr>
          <w:p>
            <w:r/>
            <w:r>
              <w:rPr>
                <w:sz w:val="18"/>
              </w:rPr>
              <w:t>Fulfillment recipe executors (Section 5.3)</w:t>
            </w:r>
          </w:p>
        </w:tc>
      </w:tr>
      <w:tr>
        <w:tc>
          <w:tcPr>
            <w:tcW w:type="dxa" w:w="3024"/>
          </w:tcPr>
          <w:p>
            <w:r/>
            <w:r>
              <w:rPr>
                <w:sz w:val="18"/>
              </w:rPr>
              <w:t>Outbound event enablement</w:t>
            </w:r>
          </w:p>
        </w:tc>
        <w:tc>
          <w:tcPr>
            <w:tcW w:type="dxa" w:w="1728"/>
          </w:tcPr>
          <w:p>
            <w:r/>
            <w:r>
              <w:rPr>
                <w:sz w:val="18"/>
              </w:rPr>
              <w:t>Event config + Z-exit where needed</w:t>
            </w:r>
          </w:p>
        </w:tc>
        <w:tc>
          <w:tcPr>
            <w:tcW w:type="dxa" w:w="4608"/>
          </w:tcPr>
          <w:p>
            <w:r/>
            <w:r>
              <w:rPr>
                <w:sz w:val="18"/>
              </w:rPr>
              <w:t>Topics in Section 5.4 via SAP event enablement framework</w:t>
            </w:r>
          </w:p>
        </w:tc>
      </w:tr>
      <w:tr>
        <w:tc>
          <w:tcPr>
            <w:tcW w:type="dxa" w:w="3024"/>
            <w:shd w:val="clear" w:fill="DEEAF6"/>
          </w:tcPr>
          <w:p>
            <w:r/>
            <w:r>
              <w:rPr>
                <w:sz w:val="18"/>
              </w:rPr>
              <w:t>ZEC_ELIG message class</w:t>
            </w:r>
          </w:p>
        </w:tc>
        <w:tc>
          <w:tcPr>
            <w:tcW w:type="dxa" w:w="1728"/>
            <w:shd w:val="clear" w:fill="DEEAF6"/>
          </w:tcPr>
          <w:p>
            <w:r/>
            <w:r>
              <w:rPr>
                <w:sz w:val="18"/>
              </w:rPr>
              <w:t>Message class</w:t>
            </w:r>
          </w:p>
        </w:tc>
        <w:tc>
          <w:tcPr>
            <w:tcW w:type="dxa" w:w="4608"/>
            <w:shd w:val="clear" w:fill="DEEAF6"/>
          </w:tcPr>
          <w:p>
            <w:r/>
            <w:r>
              <w:rPr>
                <w:sz w:val="18"/>
              </w:rPr>
              <w:t>Eligibility/exit messages with severity convention</w:t>
            </w:r>
          </w:p>
        </w:tc>
      </w:tr>
      <w:tr>
        <w:tc>
          <w:tcPr>
            <w:tcW w:type="dxa" w:w="3024"/>
          </w:tcPr>
          <w:p>
            <w:r/>
            <w:r>
              <w:rPr>
                <w:sz w:val="18"/>
              </w:rPr>
              <w:t>BPEM case categories ZEC1/ZEC2</w:t>
            </w:r>
          </w:p>
        </w:tc>
        <w:tc>
          <w:tcPr>
            <w:tcW w:type="dxa" w:w="1728"/>
          </w:tcPr>
          <w:p>
            <w:r/>
            <w:r>
              <w:rPr>
                <w:sz w:val="18"/>
              </w:rPr>
              <w:t>BPEM config</w:t>
            </w:r>
          </w:p>
        </w:tc>
        <w:tc>
          <w:tcPr>
            <w:tcW w:type="dxa" w:w="4608"/>
          </w:tcPr>
          <w:p>
            <w:r/>
            <w:r>
              <w:rPr>
                <w:sz w:val="18"/>
              </w:rPr>
              <w:t>Enrollment fulfillment errors; auto-close event on resolution</w:t>
            </w:r>
          </w:p>
        </w:tc>
      </w:tr>
    </w:tbl>
    <w:p>
      <w:pPr>
        <w:spacing w:after="40"/>
      </w:pPr>
    </w:p>
    <w:p>
      <w:r>
        <w:br w:type="page"/>
      </w:r>
    </w:p>
    <w:p>
      <w:pPr>
        <w:pStyle w:val="Heading1"/>
      </w:pPr>
      <w:r>
        <w:t>8. BTP Application Design</w:t>
      </w:r>
    </w:p>
    <w:p>
      <w:pPr>
        <w:pStyle w:val="Heading2"/>
      </w:pPr>
      <w:r>
        <w:t>8.1 CAP Service Model</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880"/>
            <w:shd w:val="clear" w:fill="1F4E79"/>
          </w:tcPr>
          <w:p>
            <w:r/>
            <w:r>
              <w:rPr>
                <w:b/>
                <w:color w:val="FFFFFF"/>
                <w:sz w:val="17"/>
              </w:rPr>
              <w:t>Entity / Service</w:t>
            </w:r>
          </w:p>
        </w:tc>
        <w:tc>
          <w:tcPr>
            <w:tcW w:type="dxa" w:w="3744"/>
            <w:shd w:val="clear" w:fill="1F4E79"/>
          </w:tcPr>
          <w:p>
            <w:r/>
            <w:r>
              <w:rPr>
                <w:b/>
                <w:color w:val="FFFFFF"/>
                <w:sz w:val="17"/>
              </w:rPr>
              <w:t>Key Fields</w:t>
            </w:r>
          </w:p>
        </w:tc>
        <w:tc>
          <w:tcPr>
            <w:tcW w:type="dxa" w:w="2736"/>
            <w:shd w:val="clear" w:fill="1F4E79"/>
          </w:tcPr>
          <w:p>
            <w:r/>
            <w:r>
              <w:rPr>
                <w:b/>
                <w:color w:val="FFFFFF"/>
                <w:sz w:val="17"/>
              </w:rPr>
              <w:t>Notes</w:t>
            </w:r>
          </w:p>
        </w:tc>
      </w:tr>
      <w:tr>
        <w:tc>
          <w:tcPr>
            <w:tcW w:type="dxa" w:w="2880"/>
          </w:tcPr>
          <w:p>
            <w:r/>
            <w:r>
              <w:rPr>
                <w:sz w:val="17"/>
              </w:rPr>
              <w:t>EnrollmentRequest</w:t>
            </w:r>
          </w:p>
        </w:tc>
        <w:tc>
          <w:tcPr>
            <w:tcW w:type="dxa" w:w="3744"/>
          </w:tcPr>
          <w:p>
            <w:r/>
            <w:r>
              <w:rPr>
                <w:sz w:val="17"/>
              </w:rPr>
              <w:t>requestId (UUID), programId, businessPartner, contractAccount, moveInId?, status, requestDate, actualDate, payload (JSON), idempotencyKey</w:t>
            </w:r>
          </w:p>
        </w:tc>
        <w:tc>
          <w:tcPr>
            <w:tcW w:type="dxa" w:w="2736"/>
          </w:tcPr>
          <w:p>
            <w:r/>
            <w:r>
              <w:rPr>
                <w:sz w:val="17"/>
              </w:rPr>
              <w:t>Status machine per Solution Design 6.4; unique index on idempotencyKey</w:t>
            </w:r>
          </w:p>
        </w:tc>
      </w:tr>
      <w:tr>
        <w:tc>
          <w:tcPr>
            <w:tcW w:type="dxa" w:w="2880"/>
            <w:shd w:val="clear" w:fill="DEEAF6"/>
          </w:tcPr>
          <w:p>
            <w:r/>
            <w:r>
              <w:rPr>
                <w:sz w:val="17"/>
              </w:rPr>
              <w:t>ProgramCatalog</w:t>
            </w:r>
          </w:p>
        </w:tc>
        <w:tc>
          <w:tcPr>
            <w:tcW w:type="dxa" w:w="3744"/>
            <w:shd w:val="clear" w:fill="DEEAF6"/>
          </w:tcPr>
          <w:p>
            <w:r/>
            <w:r>
              <w:rPr>
                <w:sz w:val="17"/>
              </w:rPr>
              <w:t>programId, version, name, category, recipeType, captureForm (JSON), active</w:t>
            </w:r>
          </w:p>
        </w:tc>
        <w:tc>
          <w:tcPr>
            <w:tcW w:type="dxa" w:w="2736"/>
            <w:shd w:val="clear" w:fill="DEEAF6"/>
          </w:tcPr>
          <w:p>
            <w:r/>
            <w:r>
              <w:rPr>
                <w:sz w:val="17"/>
              </w:rPr>
              <w:t>Configuration-over-code: new program = catalog row + BRFplus ruleset</w:t>
            </w:r>
          </w:p>
        </w:tc>
      </w:tr>
      <w:tr>
        <w:tc>
          <w:tcPr>
            <w:tcW w:type="dxa" w:w="2880"/>
          </w:tcPr>
          <w:p>
            <w:r/>
            <w:r>
              <w:rPr>
                <w:sz w:val="17"/>
              </w:rPr>
              <w:t>OverrideRecord</w:t>
            </w:r>
          </w:p>
        </w:tc>
        <w:tc>
          <w:tcPr>
            <w:tcW w:type="dxa" w:w="3744"/>
          </w:tcPr>
          <w:p>
            <w:r/>
            <w:r>
              <w:rPr>
                <w:sz w:val="17"/>
              </w:rPr>
              <w:t>requestId, messageCode, approver, justification, decidedAt</w:t>
            </w:r>
          </w:p>
        </w:tc>
        <w:tc>
          <w:tcPr>
            <w:tcW w:type="dxa" w:w="2736"/>
          </w:tcPr>
          <w:p>
            <w:r/>
            <w:r>
              <w:rPr>
                <w:sz w:val="17"/>
              </w:rPr>
              <w:t>Warning overrides; immutable</w:t>
            </w:r>
          </w:p>
        </w:tc>
      </w:tr>
      <w:tr>
        <w:tc>
          <w:tcPr>
            <w:tcW w:type="dxa" w:w="2880"/>
            <w:shd w:val="clear" w:fill="DEEAF6"/>
          </w:tcPr>
          <w:p>
            <w:r/>
            <w:r>
              <w:rPr>
                <w:sz w:val="17"/>
              </w:rPr>
              <w:t>AuditLog</w:t>
            </w:r>
          </w:p>
        </w:tc>
        <w:tc>
          <w:tcPr>
            <w:tcW w:type="dxa" w:w="3744"/>
            <w:shd w:val="clear" w:fill="DEEAF6"/>
          </w:tcPr>
          <w:p>
            <w:r/>
            <w:r>
              <w:rPr>
                <w:sz w:val="17"/>
              </w:rPr>
              <w:t>seq, requestId?, actor, action, before/after, hash</w:t>
            </w:r>
          </w:p>
        </w:tc>
        <w:tc>
          <w:tcPr>
            <w:tcW w:type="dxa" w:w="2736"/>
            <w:shd w:val="clear" w:fill="DEEAF6"/>
          </w:tcPr>
          <w:p>
            <w:r/>
            <w:r>
              <w:rPr>
                <w:sz w:val="17"/>
              </w:rPr>
              <w:t>Append-only; exported to client SIEM</w:t>
            </w:r>
          </w:p>
        </w:tc>
      </w:tr>
      <w:tr>
        <w:tc>
          <w:tcPr>
            <w:tcW w:type="dxa" w:w="2880"/>
          </w:tcPr>
          <w:p>
            <w:r/>
            <w:r>
              <w:rPr>
                <w:sz w:val="17"/>
              </w:rPr>
              <w:t>EventInbox</w:t>
            </w:r>
          </w:p>
        </w:tc>
        <w:tc>
          <w:tcPr>
            <w:tcW w:type="dxa" w:w="3744"/>
          </w:tcPr>
          <w:p>
            <w:r/>
            <w:r>
              <w:rPr>
                <w:sz w:val="17"/>
              </w:rPr>
              <w:t>eventId, topic, payload, processedAt, status</w:t>
            </w:r>
          </w:p>
        </w:tc>
        <w:tc>
          <w:tcPr>
            <w:tcW w:type="dxa" w:w="2736"/>
          </w:tcPr>
          <w:p>
            <w:r/>
            <w:r>
              <w:rPr>
                <w:sz w:val="17"/>
              </w:rPr>
              <w:t>Idempotent event consumption + reconciliation source</w:t>
            </w:r>
          </w:p>
        </w:tc>
      </w:tr>
      <w:tr>
        <w:tc>
          <w:tcPr>
            <w:tcW w:type="dxa" w:w="2880"/>
            <w:shd w:val="clear" w:fill="DEEAF6"/>
          </w:tcPr>
          <w:p>
            <w:r/>
            <w:r>
              <w:rPr>
                <w:sz w:val="17"/>
              </w:rPr>
              <w:t>Service enrollment/v1</w:t>
            </w:r>
          </w:p>
        </w:tc>
        <w:tc>
          <w:tcPr>
            <w:tcW w:type="dxa" w:w="3744"/>
            <w:shd w:val="clear" w:fill="DEEAF6"/>
          </w:tcPr>
          <w:p>
            <w:r/>
            <w:r>
              <w:rPr>
                <w:sz w:val="17"/>
              </w:rPr>
              <w:t>context, programs, eligibility:evaluate, enrollments, deenrollments, exceptions</w:t>
            </w:r>
          </w:p>
        </w:tc>
        <w:tc>
          <w:tcPr>
            <w:tcW w:type="dxa" w:w="2736"/>
            <w:shd w:val="clear" w:fill="DEEAF6"/>
          </w:tcPr>
          <w:p>
            <w:r/>
            <w:r>
              <w:rPr>
                <w:sz w:val="17"/>
              </w:rPr>
              <w:t>OpenAPI published in API Management; consumed by UI and future channels</w:t>
            </w:r>
          </w:p>
        </w:tc>
      </w:tr>
    </w:tbl>
    <w:p>
      <w:pPr>
        <w:spacing w:after="40"/>
      </w:pPr>
    </w:p>
    <w:p>
      <w:pPr>
        <w:pStyle w:val="Heading2"/>
      </w:pPr>
      <w:r>
        <w:t>8.2 Destinations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448"/>
            <w:shd w:val="clear" w:fill="1F4E79"/>
          </w:tcPr>
          <w:p>
            <w:r/>
            <w:r>
              <w:rPr>
                <w:b/>
                <w:color w:val="FFFFFF"/>
                <w:sz w:val="18"/>
              </w:rPr>
              <w:t>Destination</w:t>
            </w:r>
          </w:p>
        </w:tc>
        <w:tc>
          <w:tcPr>
            <w:tcW w:type="dxa" w:w="4464"/>
            <w:shd w:val="clear" w:fill="1F4E79"/>
          </w:tcPr>
          <w:p>
            <w:r/>
            <w:r>
              <w:rPr>
                <w:b/>
                <w:color w:val="FFFFFF"/>
                <w:sz w:val="18"/>
              </w:rPr>
              <w:t>Target</w:t>
            </w:r>
          </w:p>
        </w:tc>
        <w:tc>
          <w:tcPr>
            <w:tcW w:type="dxa" w:w="2448"/>
            <w:shd w:val="clear" w:fill="1F4E79"/>
          </w:tcPr>
          <w:p>
            <w:r/>
            <w:r>
              <w:rPr>
                <w:b/>
                <w:color w:val="FFFFFF"/>
                <w:sz w:val="18"/>
              </w:rPr>
              <w:t>Auth</w:t>
            </w:r>
          </w:p>
        </w:tc>
      </w:tr>
      <w:tr>
        <w:tc>
          <w:tcPr>
            <w:tcW w:type="dxa" w:w="2448"/>
          </w:tcPr>
          <w:p>
            <w:r/>
            <w:r>
              <w:rPr>
                <w:sz w:val="18"/>
              </w:rPr>
              <w:t>S4_UTILITIES_ODATA</w:t>
            </w:r>
          </w:p>
        </w:tc>
        <w:tc>
          <w:tcPr>
            <w:tcW w:type="dxa" w:w="4464"/>
          </w:tcPr>
          <w:p>
            <w:r/>
            <w:r>
              <w:rPr>
                <w:sz w:val="18"/>
              </w:rPr>
              <w:t>S/4HANA gateway (Z_EC_CONTEXT_SRV, API_BUSINESS_PARTNER, CDS services)</w:t>
            </w:r>
          </w:p>
        </w:tc>
        <w:tc>
          <w:tcPr>
            <w:tcW w:type="dxa" w:w="2448"/>
          </w:tcPr>
          <w:p>
            <w:r/>
            <w:r>
              <w:rPr>
                <w:sz w:val="18"/>
              </w:rPr>
              <w:t>OAuth2SAMLBearerAssertion (principal propagation) via Cloud Connector</w:t>
            </w:r>
          </w:p>
        </w:tc>
      </w:tr>
      <w:tr>
        <w:tc>
          <w:tcPr>
            <w:tcW w:type="dxa" w:w="2448"/>
            <w:shd w:val="clear" w:fill="DEEAF6"/>
          </w:tcPr>
          <w:p>
            <w:r/>
            <w:r>
              <w:rPr>
                <w:sz w:val="18"/>
              </w:rPr>
              <w:t>S4_UTILITIES_RFC</w:t>
            </w:r>
          </w:p>
        </w:tc>
        <w:tc>
          <w:tcPr>
            <w:tcW w:type="dxa" w:w="4464"/>
            <w:shd w:val="clear" w:fill="DEEAF6"/>
          </w:tcPr>
          <w:p>
            <w:r/>
            <w:r>
              <w:rPr>
                <w:sz w:val="18"/>
              </w:rPr>
              <w:t>Z_EC_ELIGIBILITY_PRECHECK, fulfillment wrappers</w:t>
            </w:r>
          </w:p>
        </w:tc>
        <w:tc>
          <w:tcPr>
            <w:tcW w:type="dxa" w:w="2448"/>
            <w:shd w:val="clear" w:fill="DEEAF6"/>
          </w:tcPr>
          <w:p>
            <w:r/>
            <w:r>
              <w:rPr>
                <w:sz w:val="18"/>
              </w:rPr>
              <w:t>RFC via Cloud Connector, technical user + agent ID in payload</w:t>
            </w:r>
          </w:p>
        </w:tc>
      </w:tr>
      <w:tr>
        <w:tc>
          <w:tcPr>
            <w:tcW w:type="dxa" w:w="2448"/>
          </w:tcPr>
          <w:p>
            <w:r/>
            <w:r>
              <w:rPr>
                <w:sz w:val="18"/>
              </w:rPr>
              <w:t>SCV2_API</w:t>
            </w:r>
          </w:p>
        </w:tc>
        <w:tc>
          <w:tcPr>
            <w:tcW w:type="dxa" w:w="4464"/>
          </w:tcPr>
          <w:p>
            <w:r/>
            <w:r>
              <w:rPr>
                <w:sz w:val="18"/>
              </w:rPr>
              <w:t>SC V2 REST (case timeline)</w:t>
            </w:r>
          </w:p>
        </w:tc>
        <w:tc>
          <w:tcPr>
            <w:tcW w:type="dxa" w:w="2448"/>
          </w:tcPr>
          <w:p>
            <w:r/>
            <w:r>
              <w:rPr>
                <w:sz w:val="18"/>
              </w:rPr>
              <w:t>OAuth2ClientCredentials</w:t>
            </w:r>
          </w:p>
        </w:tc>
      </w:tr>
      <w:tr>
        <w:tc>
          <w:tcPr>
            <w:tcW w:type="dxa" w:w="2448"/>
            <w:shd w:val="clear" w:fill="DEEAF6"/>
          </w:tcPr>
          <w:p>
            <w:r/>
            <w:r>
              <w:rPr>
                <w:sz w:val="18"/>
              </w:rPr>
              <w:t>EVENT_MESH</w:t>
            </w:r>
          </w:p>
        </w:tc>
        <w:tc>
          <w:tcPr>
            <w:tcW w:type="dxa" w:w="4464"/>
            <w:shd w:val="clear" w:fill="DEEAF6"/>
          </w:tcPr>
          <w:p>
            <w:r/>
            <w:r>
              <w:rPr>
                <w:sz w:val="18"/>
              </w:rPr>
              <w:t>Event Mesh instance</w:t>
            </w:r>
          </w:p>
        </w:tc>
        <w:tc>
          <w:tcPr>
            <w:tcW w:type="dxa" w:w="2448"/>
            <w:shd w:val="clear" w:fill="DEEAF6"/>
          </w:tcPr>
          <w:p>
            <w:r/>
            <w:r>
              <w:rPr>
                <w:sz w:val="18"/>
              </w:rPr>
              <w:t>Service key (OAuth2)</w:t>
            </w:r>
          </w:p>
        </w:tc>
      </w:tr>
    </w:tbl>
    <w:p>
      <w:pPr>
        <w:spacing w:after="40"/>
      </w:pPr>
    </w:p>
    <w:p>
      <w:pPr>
        <w:pStyle w:val="Heading2"/>
      </w:pPr>
      <w:r>
        <w:t>8.3 Non-Functionals</w:t>
      </w:r>
    </w:p>
    <w:p>
      <w:pPr>
        <w:pStyle w:val="ListBullet"/>
      </w:pPr>
      <w:r>
        <w:t>Context + eligibility render target &lt; 3 s: parallel destination calls, 60-s TTL cache on static catalog, single-round-trip eligibility.</w:t>
      </w:r>
    </w:p>
    <w:p>
      <w:pPr>
        <w:pStyle w:val="ListBullet"/>
      </w:pPr>
      <w:r>
        <w:t>Idempotent writes end-to-end (idempotencyKey on POST /enrollments; EventInbox de-duplication).</w:t>
      </w:r>
    </w:p>
    <w:p>
      <w:pPr>
        <w:pStyle w:val="ListBullet"/>
      </w:pPr>
      <w:r>
        <w:t>Reconciliation job (CAP scheduled task) compares Pending Backend items with S/4HANA state daily.</w:t>
      </w:r>
    </w:p>
    <w:p>
      <w:pPr>
        <w:pStyle w:val="ListBullet"/>
      </w:pPr>
      <w:r>
        <w:t>Observability: BTP Alert Notification + Cloud Logging; correlation ID propagated SC V2 → BTP → iFlow → S/4HANA (passport).</w:t>
      </w:r>
    </w:p>
    <w:p>
      <w:pPr>
        <w:pStyle w:val="ListBullet"/>
      </w:pPr>
      <w:r>
        <w:t>Transports: CAP/UI via CI/CD (BTP Continuous Integration &amp; Delivery) + Transport Management; ABAP objects via CTS; BRFplus via workbench transport with generation step.</w:t>
      </w:r>
    </w:p>
    <w:p>
      <w:pPr>
        <w:pStyle w:val="Heading1"/>
      </w:pPr>
      <w:r>
        <w:t>9. Security Summary</w:t>
      </w:r>
    </w:p>
    <w:p>
      <w:pPr>
        <w:pStyle w:val="ListBullet"/>
      </w:pPr>
      <w:r>
        <w:t>IAS is the IdP for SC V2 and BTP; XSUAA role collections EC_Agent (read+enroll+de-enroll), EC_Supervisor (+override, exceptions), EC_Admin (catalog).</w:t>
      </w:r>
    </w:p>
    <w:p>
      <w:pPr>
        <w:pStyle w:val="ListBullet"/>
      </w:pPr>
      <w:r>
        <w:t>Principal propagation to S/4HANA for OData reads (named-user authorization applies); RFC fulfillment uses a least-privilege technical user with agent ID logged.</w:t>
      </w:r>
    </w:p>
    <w:p>
      <w:pPr>
        <w:pStyle w:val="ListBullet"/>
      </w:pPr>
      <w:r>
        <w:t>S/4HANA authorization objects checked in wrappers (e.g., contract account change, installment plan create) — BTP roles never widen backend authority.</w:t>
      </w:r>
    </w:p>
    <w:p>
      <w:pPr>
        <w:pStyle w:val="ListBullet"/>
      </w:pPr>
      <w:r>
        <w:t>Audit: AuditLog (BTP) + change documents on ZEC_ENROLL_* + BRFplus change log + BTP Audit Log service.</w:t>
      </w:r>
    </w:p>
    <w:p>
      <w:pPr>
        <w:pStyle w:val="ListBullet"/>
      </w:pPr>
      <w:r>
        <w:t>No card/bank capture in the Enrollment Center; personal data minimized to identifiers; retention aligned with S/4HANA ILM.</w:t>
      </w:r>
    </w:p>
    <w:p>
      <w:pPr>
        <w:pStyle w:val="Heading1"/>
      </w:pPr>
      <w:r>
        <w:t>10. Open Points for Realization</w:t>
      </w:r>
    </w:p>
    <w:p>
      <w:pPr>
        <w:pStyle w:val="ListNumber"/>
      </w:pPr>
      <w:r>
        <w:t>Confirm installed S/4HANA release and verify FI-CA function-module names for installment plan / budget billing wrappers (Section 5.3 marked representative).</w:t>
      </w:r>
    </w:p>
    <w:p>
      <w:pPr>
        <w:pStyle w:val="ListNumber"/>
      </w:pPr>
      <w:r>
        <w:t>Confirm event enablement approach for utilities move-in completion on the installed release (standard event vs. Z-exit publisher).</w:t>
      </w:r>
    </w:p>
    <w:p>
      <w:pPr>
        <w:pStyle w:val="ListNumber"/>
      </w:pPr>
      <w:r>
        <w:t>Decide RFC vs. OData exposure of Z_EC_ELIGIBILITY_PRECHECK (RFC preferred for payload size; OData acceptable if Cloud Connector RFC is restricted).</w:t>
      </w:r>
    </w:p>
    <w:p>
      <w:pPr>
        <w:pStyle w:val="ListNumber"/>
      </w:pPr>
      <w:r>
        <w:t>Agree participation system of record detail: ZEC_ENROLL_* in S/4HANA (recommended, stated above) vs. program-specific standard objects only.</w:t>
      </w:r>
    </w:p>
    <w:p>
      <w:pPr>
        <w:pStyle w:val="ListNumber"/>
      </w:pPr>
      <w:r>
        <w:t>Sizing: HANA Cloud (starter), Cloud Integration tier, Event Mesh consumption estimate based on enrollment volumes.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