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Customer Enrollment Center</w:t>
      </w:r>
    </w:p>
    <w:p>
      <w:pPr>
        <w:jc w:val="center"/>
      </w:pPr>
      <w:r>
        <w:rPr>
          <w:b/>
          <w:color w:val="404040"/>
          <w:sz w:val="36"/>
        </w:rPr>
        <w:t>UI Technology Evaluation</w:t>
      </w:r>
    </w:p>
    <w:p>
      <w:pPr>
        <w:jc w:val="center"/>
      </w:pPr>
      <w:r>
        <w:rPr>
          <w:b w:val="0"/>
          <w:color w:val="595959"/>
          <w:sz w:val="24"/>
        </w:rPr>
        <w:t>SAP BTP side-by-side vs. embedded Fiori (RAP) on S/4HANA vs. ABAP Web Dynpro — weighted evaluation, cost, risks and decision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UI Technology Evaluation (referenced by Solution Design v2.0, Appendix A)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Version / Status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1.0 (Draft for Review)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08 July 2026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Option A — SAP BTP side-by-side extension with Fiori-design SAPUI5 UI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Audience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Architecture review board, IT leadership, program management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Purpose and Framing</w:t>
      </w:r>
    </w:p>
    <w:p>
      <w:r>
        <w:rPr>
          <w:b w:val="0"/>
        </w:rPr>
        <w:t>This document records the evaluation of UI/application technology options for the Customer Enrollment Center and the rationale for the selected option, for architecture governance. One framing point removes most confusion in this discussion: 'SAP Fiori' is SAP's design system and UX standard, not a hosting location. A Fiori application can run on the S/4HANA ABAP stack or on SAP BTP. The recommended option IS a Fiori application — SAPUI5 with the Horizon theme — hosted on BTP. The evaluation therefore compares application platforms, not visual designs: all compliant options would look like Fiori.</w:t>
      </w:r>
    </w:p>
    <w:p>
      <w:r>
        <w:rPr>
          <w:b/>
        </w:rPr>
        <w:t>Requirements recap that drives the evaluation (from Solution Design v2.0):</w:t>
      </w:r>
    </w:p>
    <w:p>
      <w:pPr>
        <w:pStyle w:val="ListBullet"/>
      </w:pPr>
      <w:r>
        <w:t>Embedded in SAP Service Cloud V2 at two access points (work center mashup + Move-In in-screen step) with silent SSO.</w:t>
      </w:r>
    </w:p>
    <w:p>
      <w:pPr>
        <w:pStyle w:val="ListBullet"/>
      </w:pPr>
      <w:r>
        <w:t>Heavy orchestration beyond the UI: single-call eligibility, deferred move-in fulfillment via events, supervisor workflow, audit, exception handling, DER-platform handoff.</w:t>
      </w:r>
    </w:p>
    <w:p>
      <w:pPr>
        <w:pStyle w:val="ListBullet"/>
      </w:pPr>
      <w:r>
        <w:t>Clean core: no UI custom code inside S/4HANA; S/4HANA extended only via released APIs and governed wrappers.</w:t>
      </w:r>
    </w:p>
    <w:p>
      <w:pPr>
        <w:pStyle w:val="ListBullet"/>
      </w:pPr>
      <w:r>
        <w:t>Channel-agnostic service layer (EC-01…EC-09) reusable for future self-service, IVR and DER platform.</w:t>
      </w:r>
    </w:p>
    <w:p>
      <w:pPr>
        <w:pStyle w:val="ListBullet"/>
      </w:pPr>
      <w:r>
        <w:t>Program catalog changes at business speed, decoupled from S/4HANA release calendar.</w:t>
      </w:r>
    </w:p>
    <w:p>
      <w:pPr>
        <w:pStyle w:val="Heading1"/>
      </w:pPr>
      <w:r>
        <w:t>2. Options Described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Stack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Where It Runs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How Agents Reach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A. BTP side-by-side (recommended)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SAPUI5/Fiori Elements (TypeScript, Horizon) + CAP (Node.js) + HANA Cloud + Integration Suite + Event Mesh + SBPA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SAP BTP Cloud Foundry / HTML5 App Repository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SC V2 mashup / embedded step; IAS SSO; public cloud URL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B. Embedded Fiori (RAP) on S/4HANA</w:t>
            </w:r>
          </w:p>
        </w:tc>
        <w:tc>
          <w:tcPr>
            <w:tcW w:type="dxa" w:w="3312"/>
            <w:shd w:val="clear" w:fill="DEEAF6"/>
          </w:tcPr>
          <w:p>
            <w:r/>
            <w:r>
              <w:rPr>
                <w:sz w:val="16"/>
              </w:rPr>
              <w:t>ABAP RESTful Application Programming (RAP) + Fiori Elements on the S/4HANA gateway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S/4HANA application server (custom Z code in the core landscape)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iFrame/mashup pointing at the S/4 gateway — requires network path from agent browsers to S/4HANA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C. ABAP Web Dynpro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Web Dynpro ABAP + FPM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S/4HANA application server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Direct URL to ITS/WD service on S/4HANA</w:t>
            </w:r>
          </w:p>
        </w:tc>
      </w:tr>
      <w:tr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A2 (variant). SAP Build Apps on BTP</w:t>
            </w:r>
          </w:p>
        </w:tc>
        <w:tc>
          <w:tcPr>
            <w:tcW w:type="dxa" w:w="3312"/>
            <w:shd w:val="clear" w:fill="DEEAF6"/>
          </w:tcPr>
          <w:p>
            <w:r/>
            <w:r>
              <w:rPr>
                <w:sz w:val="16"/>
              </w:rPr>
              <w:t>Low-code UI on BTP consuming the same CAP APIs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6"/>
              </w:rPr>
              <w:t>SAP BTP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6"/>
              </w:rPr>
              <w:t>Same as A; considered as a UI-layer variant of Option A, not a separate platform</w:t>
            </w:r>
          </w:p>
        </w:tc>
      </w:tr>
    </w:tbl>
    <w:p>
      <w:pPr>
        <w:spacing w:after="40"/>
      </w:pPr>
    </w:p>
    <w:p>
      <w:pPr>
        <w:pStyle w:val="Heading1"/>
      </w:pPr>
      <w:r>
        <w:t>3. Evaluation Criteria and Weights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489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Why It Matters Here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SC V2 embedding &amp; SSO quality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20%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The agent desktop IS SC V2; both access points must feel native (Horizon, silent SSO, context handover)</w:t>
            </w:r>
          </w:p>
        </w:tc>
      </w:tr>
      <w:tr>
        <w:tc>
          <w:tcPr>
            <w:tcW w:type="dxa" w:w="3312"/>
            <w:shd w:val="clear" w:fill="DEEAF6"/>
          </w:tcPr>
          <w:p>
            <w:r/>
            <w:r>
              <w:rPr>
                <w:sz w:val="17"/>
              </w:rPr>
              <w:t>Fit for orchestration architecture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20%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Eligibility facade, eventing, workflow, deferred fulfillment, audit — the majority of the build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Clean core / upgrade safety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15%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Client policy; S/4HANA upgrade cadence must not be constrained by this app</w:t>
            </w:r>
          </w:p>
        </w:tc>
      </w:tr>
      <w:tr>
        <w:tc>
          <w:tcPr>
            <w:tcW w:type="dxa" w:w="3312"/>
            <w:shd w:val="clear" w:fill="DEEAF6"/>
          </w:tcPr>
          <w:p>
            <w:r/>
            <w:r>
              <w:rPr>
                <w:sz w:val="17"/>
              </w:rPr>
              <w:t>Channel reuse of services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Self-service / IVR / DER platform roadmap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Release independence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Seasonal program changes vs. S/4HANA maintenance windows</w:t>
            </w:r>
          </w:p>
        </w:tc>
      </w:tr>
      <w:tr>
        <w:tc>
          <w:tcPr>
            <w:tcW w:type="dxa" w:w="3312"/>
            <w:shd w:val="clear" w:fill="DEEAF6"/>
          </w:tcPr>
          <w:p>
            <w:r/>
            <w:r>
              <w:rPr>
                <w:sz w:val="17"/>
              </w:rPr>
              <w:t>SAP strategic alignment / longevity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10-year investment protection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Skills &amp; delivery speed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Available team skills (UI5/CAP vs ABAP)</w:t>
            </w:r>
          </w:p>
        </w:tc>
      </w:tr>
      <w:tr>
        <w:tc>
          <w:tcPr>
            <w:tcW w:type="dxa" w:w="3312"/>
            <w:shd w:val="clear" w:fill="DEEAF6"/>
          </w:tcPr>
          <w:p>
            <w:r/>
            <w:r>
              <w:rPr>
                <w:sz w:val="17"/>
              </w:rPr>
              <w:t>Run cost (subscriptions/licensing)</w:t>
            </w:r>
          </w:p>
        </w:tc>
        <w:tc>
          <w:tcPr>
            <w:tcW w:type="dxa" w:w="1152"/>
            <w:shd w:val="clear" w:fill="DEEAF6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4896"/>
            <w:shd w:val="clear" w:fill="DEEAF6"/>
          </w:tcPr>
          <w:p>
            <w:r/>
            <w:r>
              <w:rPr>
                <w:sz w:val="17"/>
              </w:rPr>
              <w:t>BTP service subscriptions vs. embedded 'free' hosting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Performance &amp; security topology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Latency to data; exposure of backend endpoints to browsers</w:t>
            </w:r>
          </w:p>
        </w:tc>
      </w:tr>
    </w:tbl>
    <w:p>
      <w:pPr>
        <w:spacing w:after="40"/>
      </w:pPr>
    </w:p>
    <w:p>
      <w:pPr>
        <w:pStyle w:val="Heading1"/>
      </w:pPr>
      <w:r>
        <w:t>4. Scoring Matrix (1 = poor, 5 = excellent)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Criterion (weight)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A. BTP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B. RAP on S/4</w:t>
            </w:r>
          </w:p>
        </w:tc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C. Web Dynpro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SC V2 embedding &amp; SSO (20%)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176"/>
            <w:shd w:val="clear" w:fill="DEEAF6"/>
          </w:tcPr>
          <w:p>
            <w:r/>
            <w:r>
              <w:rPr>
                <w:sz w:val="18"/>
              </w:rPr>
              <w:t>Orchestration fit (20%)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Clean core / upgrade safety (15%)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176"/>
            <w:shd w:val="clear" w:fill="DEEAF6"/>
          </w:tcPr>
          <w:p>
            <w:r/>
            <w:r>
              <w:rPr>
                <w:sz w:val="18"/>
              </w:rPr>
              <w:t>Channel reuse (10%)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Release independence (10%)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176"/>
            <w:shd w:val="clear" w:fill="DEEAF6"/>
          </w:tcPr>
          <w:p>
            <w:r/>
            <w:r>
              <w:rPr>
                <w:sz w:val="18"/>
              </w:rPr>
              <w:t>SAP strategic alignment (10%)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Skills &amp; delivery speed (5%)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176"/>
            <w:shd w:val="clear" w:fill="DEEAF6"/>
          </w:tcPr>
          <w:p>
            <w:r/>
            <w:r>
              <w:rPr>
                <w:sz w:val="18"/>
              </w:rPr>
              <w:t>Run cost (5%)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Performance &amp; security topology (5%)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176"/>
            <w:shd w:val="clear" w:fill="DEEAF6"/>
          </w:tcPr>
          <w:p>
            <w:r/>
            <w:r>
              <w:rPr>
                <w:sz w:val="18"/>
              </w:rPr>
              <w:t>WEIGHTED TOTAL</w:t>
            </w:r>
          </w:p>
        </w:tc>
        <w:tc>
          <w:tcPr>
            <w:tcW w:type="dxa" w:w="1728"/>
            <w:shd w:val="clear" w:fill="DEEAF6"/>
          </w:tcPr>
          <w:p>
            <w:r/>
            <w:r>
              <w:rPr>
                <w:sz w:val="18"/>
              </w:rPr>
              <w:t>4.80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2.45</w:t>
            </w:r>
          </w:p>
        </w:tc>
        <w:tc>
          <w:tcPr>
            <w:tcW w:type="dxa" w:w="1872"/>
            <w:shd w:val="clear" w:fill="DEEAF6"/>
          </w:tcPr>
          <w:p>
            <w:r/>
            <w:r>
              <w:rPr>
                <w:sz w:val="18"/>
              </w:rPr>
              <w:t>1.30</w:t>
            </w:r>
          </w:p>
        </w:tc>
      </w:tr>
    </w:tbl>
    <w:p>
      <w:pPr>
        <w:spacing w:after="40"/>
      </w:pPr>
    </w:p>
    <w:p>
      <w:r>
        <w:rPr>
          <w:b w:val="0"/>
        </w:rPr>
        <w:t>Sensitivity: Option B only approaches Option A if the weights for embedding, orchestration and channel reuse are near zero — i.e., a different project. No plausible weighting rescues Option C.</w:t>
      </w:r>
    </w:p>
    <w:p>
      <w:pPr>
        <w:pStyle w:val="Heading1"/>
      </w:pPr>
      <w:r>
        <w:t>5. Analysis Detail per Option</w:t>
      </w:r>
    </w:p>
    <w:p>
      <w:pPr>
        <w:pStyle w:val="Heading2"/>
      </w:pPr>
      <w:r>
        <w:t>5.1 Option A — BTP Side-by-Side (Recommended)</w:t>
      </w:r>
    </w:p>
    <w:p>
      <w:pPr>
        <w:pStyle w:val="ListBullet"/>
      </w:pPr>
      <w:r>
        <w:rPr>
          <w:b/>
        </w:rPr>
        <w:t xml:space="preserve">Embedding — </w:t>
      </w:r>
      <w:r>
        <w:t>cloud URL embeds natively in SC V2 mashups; IAS gives silent SSO in the agent session; Horizon theme matches the surrounding desktop.</w:t>
      </w:r>
    </w:p>
    <w:p>
      <w:pPr>
        <w:pStyle w:val="ListBullet"/>
      </w:pPr>
      <w:r>
        <w:rPr>
          <w:b/>
        </w:rPr>
        <w:t xml:space="preserve">Orchestration — </w:t>
      </w:r>
      <w:r>
        <w:t>CAP + Event Mesh + SBPA + HANA Cloud are exactly the services the A1–A11 runtime flows require; the UI is the thin top of an architecture that must be on BTP anyway.</w:t>
      </w:r>
    </w:p>
    <w:p>
      <w:pPr>
        <w:pStyle w:val="ListBullet"/>
      </w:pPr>
      <w:r>
        <w:rPr>
          <w:b/>
        </w:rPr>
        <w:t xml:space="preserve">Clean core — </w:t>
      </w:r>
      <w:r>
        <w:t>S/4HANA receives only governed wrappers, BRFplus content and released-API consumption (TDD D-01…D-20); upgrades unaffected.</w:t>
      </w:r>
    </w:p>
    <w:p>
      <w:pPr>
        <w:pStyle w:val="ListBullet"/>
      </w:pPr>
      <w:r>
        <w:rPr>
          <w:b/>
        </w:rPr>
        <w:t xml:space="preserve">Costs — </w:t>
      </w:r>
      <w:r>
        <w:t>subscription components per Config Guide 2.2; partially shared with other CX extensions on the same subaccounts; the eligibility/enrollment API layer amortizes across future channels.</w:t>
      </w:r>
    </w:p>
    <w:p>
      <w:pPr>
        <w:pStyle w:val="ListBullet"/>
      </w:pPr>
      <w:r>
        <w:rPr>
          <w:b/>
        </w:rPr>
        <w:t xml:space="preserve">Risks &amp; mitigations — </w:t>
      </w:r>
      <w:r>
        <w:t>platform skills (mitigate: CAP/UI5 enablement, CI/CD templates); subscription creep (mitigate: right-sized plans, quarterly consumption review); SC V2 embedding contract (mitigate: Discover-phase spike, already planned).</w:t>
      </w:r>
    </w:p>
    <w:p>
      <w:pPr>
        <w:pStyle w:val="Heading2"/>
      </w:pPr>
      <w:r>
        <w:t>5.2 Option B — Embedded Fiori (RAP) on S/4HANA</w:t>
      </w:r>
    </w:p>
    <w:p>
      <w:pPr>
        <w:pStyle w:val="ListBullet"/>
      </w:pPr>
      <w:r>
        <w:rPr>
          <w:b/>
        </w:rPr>
        <w:t xml:space="preserve">Where it wins — </w:t>
      </w:r>
      <w:r>
        <w:t>no new platform if the client truly has zero BTP; direct data locality (no integration hop for reads); ABAP team familiarity.</w:t>
      </w:r>
    </w:p>
    <w:p>
      <w:pPr>
        <w:pStyle w:val="ListBullet"/>
      </w:pPr>
      <w:r>
        <w:rPr>
          <w:b/>
        </w:rPr>
        <w:t xml:space="preserve">Where it fails here — </w:t>
      </w:r>
      <w:r>
        <w:t>agents' browsers need routed, authenticated access to the S/4HANA gateway (network exposure + SSO complexity from SC V2 context); custom app code lands in the core landscape; every UI change rides S/4HANA transports and maintenance windows; the workflow/eventing/deferred-fulfillment half of the solution still needs BTP or heavy ABAP custom equivalents (BPEM/workflow), eroding the 'no new platform' argument; enrollment APIs are not reusable by cloud channels without adding the integration layer anyway.</w:t>
      </w:r>
    </w:p>
    <w:p>
      <w:pPr>
        <w:pStyle w:val="ListBullet"/>
      </w:pPr>
      <w:r>
        <w:rPr>
          <w:b/>
        </w:rPr>
        <w:t xml:space="preserve">When to choose it — </w:t>
      </w:r>
      <w:r>
        <w:t>documented fallback: client rejects BTP subscriptions entirely AND accepts reduced scope (no event-driven deferred fulfillment, workflow via S/4 inbox, no channel reuse). Recorded as a conscious scope trade, not an equivalent.</w:t>
      </w:r>
    </w:p>
    <w:p>
      <w:pPr>
        <w:pStyle w:val="Heading2"/>
      </w:pPr>
      <w:r>
        <w:t>5.3 Option C — ABAP Web Dynpro</w:t>
      </w:r>
    </w:p>
    <w:p>
      <w:pPr>
        <w:pStyle w:val="ListBullet"/>
      </w:pPr>
      <w:r>
        <w:t>Maintenance-mode technology: excluded from SAP's strategic UX direction (Fiori/Horizon); not enhanced for years; skills pool shrinking.</w:t>
      </w:r>
    </w:p>
    <w:p>
      <w:pPr>
        <w:pStyle w:val="ListBullet"/>
      </w:pPr>
      <w:r>
        <w:t>No SC V2 embedding story: no Horizon theme, poor iframe behavior, desktop-only rendering, no mobile support.</w:t>
      </w:r>
    </w:p>
    <w:p>
      <w:pPr>
        <w:pStyle w:val="ListBullet"/>
      </w:pPr>
      <w:r>
        <w:t>All Option B disadvantages (core custom code, release coupling, network exposure) plus an obsolete UI framework on top.</w:t>
      </w:r>
    </w:p>
    <w:p>
      <w:pPr>
        <w:pStyle w:val="ListBullet"/>
      </w:pPr>
      <w:r>
        <w:t>Verdict: rejected outright; would also signal outdated architecture to any review board.</w:t>
      </w:r>
    </w:p>
    <w:p>
      <w:pPr>
        <w:pStyle w:val="Heading2"/>
      </w:pPr>
      <w:r>
        <w:t>5.4 Variant A2 — SAP Build Apps (low-code UI on BTP)</w:t>
      </w:r>
    </w:p>
    <w:p>
      <w:r>
        <w:rPr>
          <w:b w:val="0"/>
        </w:rPr>
        <w:t>Same platform decision as Option A; only the UI layer differs. Assessment: viable for a first release if the client wants citizen-developer ownership, but the four-panel table density, wizard flows and embedded move-in mode favor pro-code SAPUI5/Fiori Elements. The CAP API layer is identical either way, so this choice is reversible and deferred to the Explore phase. Default: SAPUI5.</w:t>
      </w:r>
    </w:p>
    <w:p>
      <w:pPr>
        <w:pStyle w:val="Heading1"/>
      </w:pPr>
      <w:r>
        <w:t>6. Cost Considerations (qualitative)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Cost Element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A. BTP</w:t>
            </w:r>
          </w:p>
        </w:tc>
        <w:tc>
          <w:tcPr>
            <w:tcW w:type="dxa" w:w="345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B. RAP on S/4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Platform subscriptions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BTP services per Config Guide 2.2 (CF runtime, HANA Cloud, Integration Suite, Event Mesh, SBPA, misc.) — partially shared with other extensions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None new — but Integration Suite/Event Mesh still required for the event flows, or scope is cut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Build effort</w:t>
            </w:r>
          </w:p>
        </w:tc>
        <w:tc>
          <w:tcPr>
            <w:tcW w:type="dxa" w:w="3600"/>
            <w:shd w:val="clear" w:fill="DEEAF6"/>
          </w:tcPr>
          <w:p>
            <w:r/>
            <w:r>
              <w:rPr>
                <w:sz w:val="17"/>
              </w:rPr>
              <w:t>CAP+UI5 build; wrappers in S/4 (D-01…D-20)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Similar S/4 development volume PLUS RAP UI app; workflow/eventing replacements add effort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Run / upgrade effort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Independent pipeline; zero S/4 upgrade impact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Regression testing of custom UI at every S/4 SP/upgrade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Channel reuse economics</w:t>
            </w:r>
          </w:p>
        </w:tc>
        <w:tc>
          <w:tcPr>
            <w:tcW w:type="dxa" w:w="3600"/>
            <w:shd w:val="clear" w:fill="DEEAF6"/>
          </w:tcPr>
          <w:p>
            <w:r/>
            <w:r>
              <w:rPr>
                <w:sz w:val="17"/>
              </w:rPr>
              <w:t>API layer amortized over future channels</w:t>
            </w:r>
          </w:p>
        </w:tc>
        <w:tc>
          <w:tcPr>
            <w:tcW w:type="dxa" w:w="3456"/>
            <w:shd w:val="clear" w:fill="DEEAF6"/>
          </w:tcPr>
          <w:p>
            <w:r/>
            <w:r>
              <w:rPr>
                <w:sz w:val="17"/>
              </w:rPr>
              <w:t>Re-build required for each new channel</w:t>
            </w:r>
          </w:p>
        </w:tc>
      </w:tr>
    </w:tbl>
    <w:p>
      <w:pPr>
        <w:spacing w:after="40"/>
      </w:pPr>
    </w:p>
    <w:p>
      <w:r>
        <w:rPr>
          <w:b w:val="0"/>
        </w:rPr>
        <w:t>Note: exact subscription pricing depends on the client's BTP commercial model (CPEA/BTPEA credits vs. subscription) and is provided by the account team; this evaluation deliberately stays qualitative.</w:t>
      </w:r>
    </w:p>
    <w:p>
      <w:pPr>
        <w:pStyle w:val="Heading1"/>
      </w:pPr>
      <w:r>
        <w:t>7. Decision and Governance Record</w:t>
      </w:r>
    </w:p>
    <w:p>
      <w:pPr>
        <w:pStyle w:val="ListBullet"/>
      </w:pPr>
      <w:r>
        <w:rPr>
          <w:b/>
        </w:rPr>
        <w:t xml:space="preserve">Decision — </w:t>
      </w:r>
      <w:r>
        <w:t>Option A — SAP BTP side-by-side extension; UI as Fiori-design SAPUI5 application (variant A2 Build Apps reversible at Explore phase).</w:t>
      </w:r>
    </w:p>
    <w:p>
      <w:pPr>
        <w:pStyle w:val="ListBullet"/>
      </w:pPr>
      <w:r>
        <w:rPr>
          <w:b/>
        </w:rPr>
        <w:t xml:space="preserve">Conditions — </w:t>
      </w:r>
      <w:r>
        <w:t>BTP subaccounts per Config Guide Section 2; Discover-phase spike validates both SC V2 embedding points (already planned in Solution Design Section 15).</w:t>
      </w:r>
    </w:p>
    <w:p>
      <w:pPr>
        <w:pStyle w:val="ListBullet"/>
      </w:pPr>
      <w:r>
        <w:rPr>
          <w:b/>
        </w:rPr>
        <w:t xml:space="preserve">Fallback trigger — </w:t>
      </w:r>
      <w:r>
        <w:t>only if BTP adoption is rejected at executive level: Option B with the documented scope reductions — requires re-approval of the Solution Design.</w:t>
      </w:r>
    </w:p>
    <w:p>
      <w:pPr>
        <w:pStyle w:val="ListBullet"/>
      </w:pPr>
      <w:r>
        <w:rPr>
          <w:b/>
        </w:rPr>
        <w:t xml:space="preserve">Explicitly rejected — </w:t>
      </w:r>
      <w:r>
        <w:t>Option C (Web Dynpro) — not to be revisited.</w:t>
      </w:r>
    </w:p>
    <w:p>
      <w:pPr>
        <w:pStyle w:val="ListBullet"/>
      </w:pPr>
      <w:r>
        <w:rPr>
          <w:b/>
        </w:rPr>
        <w:t xml:space="preserve">Document impact — </w:t>
      </w:r>
      <w:r>
        <w:t>none — Solution Design v2.0, TDD v1.1, Config Guide v1.0, BRFplus v1.1 and Runtime Interactions v1.0 all assume Option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