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4E79"/>
          <w:sz w:val="52"/>
        </w:rPr>
        <w:t>Customer Enrollment Center</w:t>
      </w:r>
    </w:p>
    <w:p>
      <w:pPr>
        <w:jc w:val="center"/>
      </w:pPr>
      <w:r>
        <w:rPr>
          <w:b/>
          <w:color w:val="404040"/>
          <w:sz w:val="36"/>
        </w:rPr>
        <w:t>AI / ML Roadmap</w:t>
      </w:r>
    </w:p>
    <w:p>
      <w:pPr>
        <w:jc w:val="center"/>
      </w:pPr>
      <w:r>
        <w:rPr>
          <w:b w:val="0"/>
          <w:color w:val="595959"/>
          <w:sz w:val="24"/>
        </w:rPr>
        <w:t>Machine learning and generative AI on top of the Enrollment Center — use cases, SAP technology mapping, governance and phasing</w:t>
      </w:r>
    </w:p>
    <w:p/>
    <w:p/>
    <w:p/>
    <w:p/>
    <w:p/>
    <w:p/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6912"/>
            <w:shd w:val="clear" w:fill="1F4E79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Document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AI/ML Roadmap (extends Solution Design v2.0, Appendix B)</w:t>
            </w:r>
          </w:p>
        </w:tc>
      </w:tr>
      <w:tr>
        <w:tc>
          <w:tcPr>
            <w:tcW w:type="dxa" w:w="2448"/>
            <w:shd w:val="clear" w:fill="DEEAF6"/>
          </w:tcPr>
          <w:p>
            <w:r/>
            <w:r>
              <w:rPr>
                <w:sz w:val="18"/>
              </w:rPr>
              <w:t>Version / Status</w:t>
            </w:r>
          </w:p>
        </w:tc>
        <w:tc>
          <w:tcPr>
            <w:tcW w:type="dxa" w:w="6912"/>
            <w:shd w:val="clear" w:fill="DEEAF6"/>
          </w:tcPr>
          <w:p>
            <w:r/>
            <w:r>
              <w:rPr>
                <w:sz w:val="18"/>
              </w:rPr>
              <w:t>1.0 (Draft for Review)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13 August 2026</w:t>
            </w:r>
          </w:p>
        </w:tc>
      </w:tr>
      <w:tr>
        <w:tc>
          <w:tcPr>
            <w:tcW w:type="dxa" w:w="2448"/>
            <w:shd w:val="clear" w:fill="DEEAF6"/>
          </w:tcPr>
          <w:p>
            <w:r/>
            <w:r>
              <w:rPr>
                <w:sz w:val="18"/>
              </w:rPr>
              <w:t>Governing principle</w:t>
            </w:r>
          </w:p>
        </w:tc>
        <w:tc>
          <w:tcPr>
            <w:tcW w:type="dxa" w:w="6912"/>
            <w:shd w:val="clear" w:fill="DEEAF6"/>
          </w:tcPr>
          <w:p>
            <w:r/>
            <w:r>
              <w:rPr>
                <w:sz w:val="18"/>
              </w:rPr>
              <w:t>ML recommends — BRFplus decides. Hard eligibility remains deterministic and auditable.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Audience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Business stakeholders, architects, data science / AI teams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Why the Enrollment Center Is AI-Ready</w:t>
      </w:r>
    </w:p>
    <w:p>
      <w:r>
        <w:rPr>
          <w:b w:val="0"/>
        </w:rPr>
        <w:t>The Enrollment Center architecture creates, as a by-product of normal operation, exactly the assets AI/ML needs — none of them require new construction:</w:t>
      </w:r>
    </w:p>
    <w:p>
      <w:pPr>
        <w:pStyle w:val="ListBullet"/>
      </w:pPr>
      <w:r>
        <w:rPr>
          <w:b/>
        </w:rPr>
        <w:t xml:space="preserve">Labeled outcome data — </w:t>
      </w:r>
      <w:r>
        <w:t>every enrollment attempt, override, rejection, de-enrollment and default lands in EnrollmentRequest / ZEC_ENROLL_HIST / OverrideRecord / AuditLog with full feature context — a growing training set from day one.</w:t>
      </w:r>
    </w:p>
    <w:p>
      <w:pPr>
        <w:pStyle w:val="ListBullet"/>
      </w:pPr>
      <w:r>
        <w:rPr>
          <w:b/>
        </w:rPr>
        <w:t xml:space="preserve">A single decision point — </w:t>
      </w:r>
      <w:r>
        <w:t>all programs flow through one eligibility call (EC-02) and one submission API (EC-04) — one place to attach scoring, ranking and explanation.</w:t>
      </w:r>
    </w:p>
    <w:p>
      <w:pPr>
        <w:pStyle w:val="ListBullet"/>
      </w:pPr>
      <w:r>
        <w:rPr>
          <w:b/>
        </w:rPr>
        <w:t xml:space="preserve">Structured knowledge — </w:t>
      </w:r>
      <w:r>
        <w:t>the program catalog (terms, criteria, capture forms) is machine-readable JSON — direct grounding material for generative AI.</w:t>
      </w:r>
    </w:p>
    <w:p>
      <w:pPr>
        <w:pStyle w:val="ListBullet"/>
      </w:pPr>
      <w:r>
        <w:rPr>
          <w:b/>
        </w:rPr>
        <w:t xml:space="preserve">Rich customer context — </w:t>
      </w:r>
      <w:r>
        <w:t>per-utility device (AMI/AMR, status), FI-CA financial facts, DER assets and interval data via the S/4HANA CDS layer.</w:t>
      </w:r>
    </w:p>
    <w:p>
      <w:pPr>
        <w:pStyle w:val="ListBullet"/>
      </w:pPr>
      <w:r>
        <w:rPr>
          <w:b/>
        </w:rPr>
        <w:t xml:space="preserve">A rules backbone — </w:t>
      </w:r>
      <w:r>
        <w:t>BRFplus provides the deterministic decision layer AI must never replace — which makes adding AI on top governable instead of risky.</w:t>
      </w:r>
    </w:p>
    <w:p>
      <w:pPr>
        <w:pStyle w:val="Heading1"/>
      </w:pPr>
      <w:r>
        <w:t>2. Use Case Portfolio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576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type="dxa" w:w="1944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Use Case</w:t>
            </w:r>
          </w:p>
        </w:tc>
        <w:tc>
          <w:tcPr>
            <w:tcW w:type="dxa" w:w="360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What It Does</w:t>
            </w:r>
          </w:p>
        </w:tc>
        <w:tc>
          <w:tcPr>
            <w:tcW w:type="dxa" w:w="2160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Data</w:t>
            </w:r>
          </w:p>
        </w:tc>
        <w:tc>
          <w:tcPr>
            <w:tcW w:type="dxa" w:w="3168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SAP Technology</w:t>
            </w:r>
          </w:p>
        </w:tc>
        <w:tc>
          <w:tcPr>
            <w:tcW w:type="dxa" w:w="648"/>
            <w:shd w:val="clear" w:fill="1F4E79"/>
          </w:tcPr>
          <w:p>
            <w:r/>
            <w:r>
              <w:rPr>
                <w:b/>
                <w:color w:val="FFFFFF"/>
                <w:sz w:val="15"/>
              </w:rPr>
              <w:t>Phase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AI-1</w:t>
            </w:r>
          </w:p>
        </w:tc>
        <w:tc>
          <w:tcPr>
            <w:tcW w:type="dxa" w:w="1944"/>
          </w:tcPr>
          <w:p>
            <w:r/>
            <w:r>
              <w:rPr>
                <w:sz w:val="15"/>
              </w:rPr>
              <w:t>Next-best-program recommendation</w:t>
            </w:r>
          </w:p>
        </w:tc>
        <w:tc>
          <w:tcPr>
            <w:tcW w:type="dxa" w:w="3600"/>
          </w:tcPr>
          <w:p>
            <w:r/>
            <w:r>
              <w:rPr>
                <w:sz w:val="15"/>
              </w:rPr>
              <w:t>Ranks Available Programs by enrollment propensity x value; 'Recommended' badge with reason; agent pitches the right program first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Program history, usage, device/DER, FI-CA facts, demographics</w:t>
            </w:r>
          </w:p>
        </w:tc>
        <w:tc>
          <w:tcPr>
            <w:tcW w:type="dxa" w:w="3168"/>
          </w:tcPr>
          <w:p>
            <w:r/>
            <w:r>
              <w:rPr>
                <w:sz w:val="15"/>
              </w:rPr>
              <w:t>HANA Cloud PAL/APL (in-database scoring) or SAP AI Core; served via EC-10 scoring API enriching EC-02</w:t>
            </w:r>
          </w:p>
        </w:tc>
        <w:tc>
          <w:tcPr>
            <w:tcW w:type="dxa" w:w="648"/>
          </w:tcPr>
          <w:p>
            <w:r/>
            <w:r>
              <w:rPr>
                <w:sz w:val="15"/>
              </w:rPr>
              <w:t>1</w:t>
            </w:r>
          </w:p>
        </w:tc>
      </w:tr>
      <w:tr>
        <w:tc>
          <w:tcPr>
            <w:tcW w:type="dxa" w:w="576"/>
            <w:shd w:val="clear" w:fill="DEEAF6"/>
          </w:tcPr>
          <w:p>
            <w:r/>
            <w:r>
              <w:rPr>
                <w:sz w:val="15"/>
              </w:rPr>
              <w:t>AI-2</w:t>
            </w:r>
          </w:p>
        </w:tc>
        <w:tc>
          <w:tcPr>
            <w:tcW w:type="dxa" w:w="1944"/>
            <w:shd w:val="clear" w:fill="DEEAF6"/>
          </w:tcPr>
          <w:p>
            <w:r/>
            <w:r>
              <w:rPr>
                <w:sz w:val="15"/>
              </w:rPr>
              <w:t>Grounded agent copilot</w:t>
            </w:r>
          </w:p>
        </w:tc>
        <w:tc>
          <w:tcPr>
            <w:tcW w:type="dxa" w:w="3600"/>
            <w:shd w:val="clear" w:fill="DEEAF6"/>
          </w:tcPr>
          <w:p>
            <w:r/>
            <w:r>
              <w:rPr>
                <w:sz w:val="15"/>
              </w:rPr>
              <w:t>Explains any program for THIS customer in plain language; objection handling; converts ZEC_ELIG codes into conversational explanations with remediation ('AMR meter - offer AMI exchange, then re-check')</w:t>
            </w:r>
          </w:p>
        </w:tc>
        <w:tc>
          <w:tcPr>
            <w:tcW w:type="dxa" w:w="2160"/>
            <w:shd w:val="clear" w:fill="DEEAF6"/>
          </w:tcPr>
          <w:p>
            <w:r/>
            <w:r>
              <w:rPr>
                <w:sz w:val="15"/>
              </w:rPr>
              <w:t>Program catalog JSON, tariff documents, eligibility results</w:t>
            </w:r>
          </w:p>
        </w:tc>
        <w:tc>
          <w:tcPr>
            <w:tcW w:type="dxa" w:w="3168"/>
            <w:shd w:val="clear" w:fill="DEEAF6"/>
          </w:tcPr>
          <w:p>
            <w:r/>
            <w:r>
              <w:rPr>
                <w:sz w:val="15"/>
              </w:rPr>
              <w:t>Generative AI Hub on SAP AI Core + Joule Studio skill; SC V2 CX AI Toolkit for call summarization</w:t>
            </w:r>
          </w:p>
        </w:tc>
        <w:tc>
          <w:tcPr>
            <w:tcW w:type="dxa" w:w="648"/>
            <w:shd w:val="clear" w:fill="DEEAF6"/>
          </w:tcPr>
          <w:p>
            <w:r/>
            <w:r>
              <w:rPr>
                <w:sz w:val="15"/>
              </w:rPr>
              <w:t>1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AI-3</w:t>
            </w:r>
          </w:p>
        </w:tc>
        <w:tc>
          <w:tcPr>
            <w:tcW w:type="dxa" w:w="1944"/>
          </w:tcPr>
          <w:p>
            <w:r/>
            <w:r>
              <w:rPr>
                <w:sz w:val="15"/>
              </w:rPr>
              <w:t>Bill-impact simulation</w:t>
            </w:r>
          </w:p>
        </w:tc>
        <w:tc>
          <w:tcPr>
            <w:tcW w:type="dxa" w:w="3600"/>
          </w:tcPr>
          <w:p>
            <w:r/>
            <w:r>
              <w:rPr>
                <w:sz w:val="15"/>
              </w:rPr>
              <w:t>'Will TOU/DPP save this customer money?' - recompute 12 months of interval data under the target rate before enrolling; recommend only when beneficial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Interval/EDM data, rate definitions</w:t>
            </w:r>
          </w:p>
        </w:tc>
        <w:tc>
          <w:tcPr>
            <w:tcW w:type="dxa" w:w="3168"/>
          </w:tcPr>
          <w:p>
            <w:r/>
            <w:r>
              <w:rPr>
                <w:sz w:val="15"/>
              </w:rPr>
              <w:t>Deterministic recompute on HANA Cloud + ML load-profile estimation for customers without full interval history</w:t>
            </w:r>
          </w:p>
        </w:tc>
        <w:tc>
          <w:tcPr>
            <w:tcW w:type="dxa" w:w="648"/>
          </w:tcPr>
          <w:p>
            <w:r/>
            <w:r>
              <w:rPr>
                <w:sz w:val="15"/>
              </w:rPr>
              <w:t>2</w:t>
            </w:r>
          </w:p>
        </w:tc>
      </w:tr>
      <w:tr>
        <w:tc>
          <w:tcPr>
            <w:tcW w:type="dxa" w:w="576"/>
            <w:shd w:val="clear" w:fill="DEEAF6"/>
          </w:tcPr>
          <w:p>
            <w:r/>
            <w:r>
              <w:rPr>
                <w:sz w:val="15"/>
              </w:rPr>
              <w:t>AI-4</w:t>
            </w:r>
          </w:p>
        </w:tc>
        <w:tc>
          <w:tcPr>
            <w:tcW w:type="dxa" w:w="1944"/>
            <w:shd w:val="clear" w:fill="DEEAF6"/>
          </w:tcPr>
          <w:p>
            <w:r/>
            <w:r>
              <w:rPr>
                <w:sz w:val="15"/>
              </w:rPr>
              <w:t>Payment-plan default risk</w:t>
            </w:r>
          </w:p>
        </w:tc>
        <w:tc>
          <w:tcPr>
            <w:tcW w:type="dxa" w:w="3600"/>
            <w:shd w:val="clear" w:fill="DEEAF6"/>
          </w:tcPr>
          <w:p>
            <w:r/>
            <w:r>
              <w:rPr>
                <w:sz w:val="15"/>
              </w:rPr>
              <w:t>Predicts DPA/AMP plans likely to break; drives proactive outreach before dunning</w:t>
            </w:r>
          </w:p>
        </w:tc>
        <w:tc>
          <w:tcPr>
            <w:tcW w:type="dxa" w:w="2160"/>
            <w:shd w:val="clear" w:fill="DEEAF6"/>
          </w:tcPr>
          <w:p>
            <w:r/>
            <w:r>
              <w:rPr>
                <w:sz w:val="15"/>
              </w:rPr>
              <w:t>FI-CA payment behavior, broken-plan history, arrears trajectory</w:t>
            </w:r>
          </w:p>
        </w:tc>
        <w:tc>
          <w:tcPr>
            <w:tcW w:type="dxa" w:w="3168"/>
            <w:shd w:val="clear" w:fill="DEEAF6"/>
          </w:tcPr>
          <w:p>
            <w:r/>
            <w:r>
              <w:rPr>
                <w:sz w:val="15"/>
              </w:rPr>
              <w:t>HANA Cloud PAL classification; scores surfaced to collections and the supervisor cockpit</w:t>
            </w:r>
          </w:p>
        </w:tc>
        <w:tc>
          <w:tcPr>
            <w:tcW w:type="dxa" w:w="648"/>
            <w:shd w:val="clear" w:fill="DEEAF6"/>
          </w:tcPr>
          <w:p>
            <w:r/>
            <w:r>
              <w:rPr>
                <w:sz w:val="15"/>
              </w:rPr>
              <w:t>2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AI-5</w:t>
            </w:r>
          </w:p>
        </w:tc>
        <w:tc>
          <w:tcPr>
            <w:tcW w:type="dxa" w:w="1944"/>
          </w:tcPr>
          <w:p>
            <w:r/>
            <w:r>
              <w:rPr>
                <w:sz w:val="15"/>
              </w:rPr>
              <w:t>Assistance document intelligence</w:t>
            </w:r>
          </w:p>
        </w:tc>
        <w:tc>
          <w:tcPr>
            <w:tcW w:type="dxa" w:w="3600"/>
          </w:tcPr>
          <w:p>
            <w:r/>
            <w:r>
              <w:rPr>
                <w:sz w:val="15"/>
              </w:rPr>
              <w:t>Auto-extracts income proof for LIHEAP/PIPP/CARE from uploaded documents; clears msg-332 verification backlog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EC-08 document uploads</w:t>
            </w:r>
          </w:p>
        </w:tc>
        <w:tc>
          <w:tcPr>
            <w:tcW w:type="dxa" w:w="3168"/>
          </w:tcPr>
          <w:p>
            <w:r/>
            <w:r>
              <w:rPr>
                <w:sz w:val="15"/>
              </w:rPr>
              <w:t>SAP Document Information Extraction (BTP service)</w:t>
            </w:r>
          </w:p>
        </w:tc>
        <w:tc>
          <w:tcPr>
            <w:tcW w:type="dxa" w:w="648"/>
          </w:tcPr>
          <w:p>
            <w:r/>
            <w:r>
              <w:rPr>
                <w:sz w:val="15"/>
              </w:rPr>
              <w:t>2</w:t>
            </w:r>
          </w:p>
        </w:tc>
      </w:tr>
      <w:tr>
        <w:tc>
          <w:tcPr>
            <w:tcW w:type="dxa" w:w="576"/>
            <w:shd w:val="clear" w:fill="DEEAF6"/>
          </w:tcPr>
          <w:p>
            <w:r/>
            <w:r>
              <w:rPr>
                <w:sz w:val="15"/>
              </w:rPr>
              <w:t>AI-6</w:t>
            </w:r>
          </w:p>
        </w:tc>
        <w:tc>
          <w:tcPr>
            <w:tcW w:type="dxa" w:w="1944"/>
            <w:shd w:val="clear" w:fill="DEEAF6"/>
          </w:tcPr>
          <w:p>
            <w:r/>
            <w:r>
              <w:rPr>
                <w:sz w:val="15"/>
              </w:rPr>
              <w:t>Exception triage learning</w:t>
            </w:r>
          </w:p>
        </w:tc>
        <w:tc>
          <w:tcPr>
            <w:tcW w:type="dxa" w:w="3600"/>
            <w:shd w:val="clear" w:fill="DEEAF6"/>
          </w:tcPr>
          <w:p>
            <w:r/>
            <w:r>
              <w:rPr>
                <w:sz w:val="15"/>
              </w:rPr>
              <w:t>Classifies Error-In-Review causes and suggests resolution; learns from supervisor actions</w:t>
            </w:r>
          </w:p>
        </w:tc>
        <w:tc>
          <w:tcPr>
            <w:tcW w:type="dxa" w:w="2160"/>
            <w:shd w:val="clear" w:fill="DEEAF6"/>
          </w:tcPr>
          <w:p>
            <w:r/>
            <w:r>
              <w:rPr>
                <w:sz w:val="15"/>
              </w:rPr>
              <w:t>EventInbox, AuditLog, OverrideRecord (self-labeling)</w:t>
            </w:r>
          </w:p>
        </w:tc>
        <w:tc>
          <w:tcPr>
            <w:tcW w:type="dxa" w:w="3168"/>
            <w:shd w:val="clear" w:fill="DEEAF6"/>
          </w:tcPr>
          <w:p>
            <w:r/>
            <w:r>
              <w:rPr>
                <w:sz w:val="15"/>
              </w:rPr>
              <w:t>SAP AI Core classification; SBPA task enrichment</w:t>
            </w:r>
          </w:p>
        </w:tc>
        <w:tc>
          <w:tcPr>
            <w:tcW w:type="dxa" w:w="648"/>
            <w:shd w:val="clear" w:fill="DEEAF6"/>
          </w:tcPr>
          <w:p>
            <w:r/>
            <w:r>
              <w:rPr>
                <w:sz w:val="15"/>
              </w:rPr>
              <w:t>3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5"/>
              </w:rPr>
              <w:t>AI-7</w:t>
            </w:r>
          </w:p>
        </w:tc>
        <w:tc>
          <w:tcPr>
            <w:tcW w:type="dxa" w:w="1944"/>
          </w:tcPr>
          <w:p>
            <w:r/>
            <w:r>
              <w:rPr>
                <w:sz w:val="15"/>
              </w:rPr>
              <w:t>DER/DR performance forecasting</w:t>
            </w:r>
          </w:p>
        </w:tc>
        <w:tc>
          <w:tcPr>
            <w:tcW w:type="dxa" w:w="3600"/>
          </w:tcPr>
          <w:p>
            <w:r/>
            <w:r>
              <w:rPr>
                <w:sz w:val="15"/>
              </w:rPr>
              <w:t>Customer baseline (CBL) estimation for PTR settlement; thermostat/battery fleet yield forecasts for dispatch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Interval data, event history, weather</w:t>
            </w:r>
          </w:p>
        </w:tc>
        <w:tc>
          <w:tcPr>
            <w:tcW w:type="dxa" w:w="3168"/>
          </w:tcPr>
          <w:p>
            <w:r/>
            <w:r>
              <w:rPr>
                <w:sz w:val="15"/>
              </w:rPr>
              <w:t>DER platform side (architecture group 6) - AI Core time-series; outside EC scope, consumes EC participation data</w:t>
            </w:r>
          </w:p>
        </w:tc>
        <w:tc>
          <w:tcPr>
            <w:tcW w:type="dxa" w:w="648"/>
          </w:tcPr>
          <w:p>
            <w:r/>
            <w:r>
              <w:rPr>
                <w:sz w:val="15"/>
              </w:rPr>
              <w:t>3</w:t>
            </w:r>
          </w:p>
        </w:tc>
      </w:tr>
    </w:tbl>
    <w:p>
      <w:pPr>
        <w:spacing w:after="40"/>
      </w:pPr>
    </w:p>
    <w:p>
      <w:pPr>
        <w:pStyle w:val="Heading1"/>
      </w:pPr>
      <w:r>
        <w:t>3. Governance: ML Recommends, BRFplus Decides</w:t>
      </w:r>
    </w:p>
    <w:p>
      <w:pPr>
        <w:pStyle w:val="ListBullet"/>
      </w:pPr>
      <w:r>
        <w:rPr>
          <w:b/>
        </w:rPr>
        <w:t xml:space="preserve">Decision boundary — </w:t>
      </w:r>
      <w:r>
        <w:t>hard eligibility (E), warnings (W) and pre-active behavior remain exclusively BRFplus decision-table outcomes — auditable, transportable, regulator-facing. No model score can enroll, reject or override; a regulator asking 'why was this medical customer denied PrePay?' always gets message 052 from a decision table.</w:t>
      </w:r>
    </w:p>
    <w:p>
      <w:pPr>
        <w:pStyle w:val="ListBullet"/>
      </w:pPr>
      <w:r>
        <w:rPr>
          <w:b/>
        </w:rPr>
        <w:t xml:space="preserve">AI operating zone — </w:t>
      </w:r>
      <w:r>
        <w:t>ranking, ordering, explaining, predicting, drafting and extracting — always with the agent in the loop and always labeled as AI-generated in the UI.</w:t>
      </w:r>
    </w:p>
    <w:p>
      <w:pPr>
        <w:pStyle w:val="ListBullet"/>
      </w:pPr>
      <w:r>
        <w:rPr>
          <w:b/>
        </w:rPr>
        <w:t xml:space="preserve">Explainability — </w:t>
      </w:r>
      <w:r>
        <w:t>recommendation reasons shown to the agent (feature-based, e.g., 'EV charger registered'); generative outputs grounded on the catalog with source attribution; no free hallucination surface.</w:t>
      </w:r>
    </w:p>
    <w:p>
      <w:pPr>
        <w:pStyle w:val="ListBullet"/>
      </w:pPr>
      <w:r>
        <w:rPr>
          <w:b/>
        </w:rPr>
        <w:t xml:space="preserve">Data protection — </w:t>
      </w:r>
      <w:r>
        <w:t>features minimized to identifiers + behavioral aggregates; PII never leaves the BTP subaccount boundary; generative prompts contain no bank/payment data; retention aligned with the ILM policy (CS-02).</w:t>
      </w:r>
    </w:p>
    <w:p>
      <w:pPr>
        <w:pStyle w:val="ListBullet"/>
      </w:pPr>
      <w:r>
        <w:rPr>
          <w:b/>
        </w:rPr>
        <w:t xml:space="preserve">Model lifecycle — </w:t>
      </w:r>
      <w:r>
        <w:t>AI Launchpad for versioning/monitoring; drift alerts; quarterly business review of recommendation acceptance rate alongside the BRFplus governance meeting.</w:t>
      </w:r>
    </w:p>
    <w:p>
      <w:pPr>
        <w:pStyle w:val="ListBullet"/>
      </w:pPr>
      <w:r>
        <w:rPr>
          <w:b/>
        </w:rPr>
        <w:t xml:space="preserve">Bias safeguard — </w:t>
      </w:r>
      <w:r>
        <w:t>assistance-program recommendations (CARE/LIHEAP/PIPP) reviewed for demographic bias before go-live; recommendation may only ADD assistance offers, never suppress them.</w:t>
      </w:r>
    </w:p>
    <w:p>
      <w:pPr>
        <w:pStyle w:val="Heading1"/>
      </w:pPr>
      <w:r>
        <w:t>4. Architecture Integration (no redesign required)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3744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Addition</w:t>
            </w:r>
          </w:p>
        </w:tc>
        <w:tc>
          <w:tcPr>
            <w:tcW w:type="dxa" w:w="3744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Fits Where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EC-10 Scoring API (new)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POST /enrollment/v1/recommendations:score - returns per-program propensity + reason codes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New CAP endpoint beside EC-01..09; called by the UI after EC-02; scores cached per interaction</w:t>
            </w:r>
          </w:p>
        </w:tc>
      </w:tr>
      <w:tr>
        <w:tc>
          <w:tcPr>
            <w:tcW w:type="dxa" w:w="2304"/>
            <w:shd w:val="clear" w:fill="DEEAF6"/>
          </w:tcPr>
          <w:p>
            <w:r/>
            <w:r>
              <w:rPr>
                <w:sz w:val="17"/>
              </w:rPr>
              <w:t>Feature layer</w:t>
            </w:r>
          </w:p>
        </w:tc>
        <w:tc>
          <w:tcPr>
            <w:tcW w:type="dxa" w:w="3744"/>
            <w:shd w:val="clear" w:fill="DEEAF6"/>
          </w:tcPr>
          <w:p>
            <w:r/>
            <w:r>
              <w:rPr>
                <w:sz w:val="17"/>
              </w:rPr>
              <w:t>Aggregated features (usage, payment behavior, participation) refreshed daily</w:t>
            </w:r>
          </w:p>
        </w:tc>
        <w:tc>
          <w:tcPr>
            <w:tcW w:type="dxa" w:w="3744"/>
            <w:shd w:val="clear" w:fill="DEEAF6"/>
          </w:tcPr>
          <w:p>
            <w:r/>
            <w:r>
              <w:rPr>
                <w:sz w:val="17"/>
              </w:rPr>
              <w:t>HANA Cloud (existing instance) — calculation views over EnrollmentRequest/history + replicated FI-CA aggregates; SAP Datasphere if the client standardizes there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Model runtime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Classification/ranking models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HANA Cloud PAL/APL in-database (Phase 1, zero new infrastructure) → SAP AI Core when MLOps maturity requires it</w:t>
            </w:r>
          </w:p>
        </w:tc>
      </w:tr>
      <w:tr>
        <w:tc>
          <w:tcPr>
            <w:tcW w:type="dxa" w:w="2304"/>
            <w:shd w:val="clear" w:fill="DEEAF6"/>
          </w:tcPr>
          <w:p>
            <w:r/>
            <w:r>
              <w:rPr>
                <w:sz w:val="17"/>
              </w:rPr>
              <w:t>Generative layer</w:t>
            </w:r>
          </w:p>
        </w:tc>
        <w:tc>
          <w:tcPr>
            <w:tcW w:type="dxa" w:w="3744"/>
            <w:shd w:val="clear" w:fill="DEEAF6"/>
          </w:tcPr>
          <w:p>
            <w:r/>
            <w:r>
              <w:rPr>
                <w:sz w:val="17"/>
              </w:rPr>
              <w:t>Grounded explanation / copilot skills</w:t>
            </w:r>
          </w:p>
        </w:tc>
        <w:tc>
          <w:tcPr>
            <w:tcW w:type="dxa" w:w="3744"/>
            <w:shd w:val="clear" w:fill="DEEAF6"/>
          </w:tcPr>
          <w:p>
            <w:r/>
            <w:r>
              <w:rPr>
                <w:sz w:val="17"/>
              </w:rPr>
              <w:t>Generative AI Hub (AI Core) with catalog retrieval; surfaced in the EC UI panel and optionally as a Joule Studio skill in SC V2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Document AI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Income-proof extraction pipeline</w:t>
            </w:r>
          </w:p>
        </w:tc>
        <w:tc>
          <w:tcPr>
            <w:tcW w:type="dxa" w:w="3744"/>
          </w:tcPr>
          <w:p>
            <w:r/>
            <w:r>
              <w:rPr>
                <w:sz w:val="17"/>
              </w:rPr>
              <w:t>SAP Document Information Extraction called from the EC-08 document flow</w:t>
            </w:r>
          </w:p>
        </w:tc>
      </w:tr>
      <w:tr>
        <w:tc>
          <w:tcPr>
            <w:tcW w:type="dxa" w:w="2304"/>
            <w:shd w:val="clear" w:fill="DEEAF6"/>
          </w:tcPr>
          <w:p>
            <w:r/>
            <w:r>
              <w:rPr>
                <w:sz w:val="17"/>
              </w:rPr>
              <w:t>Telemetry</w:t>
            </w:r>
          </w:p>
        </w:tc>
        <w:tc>
          <w:tcPr>
            <w:tcW w:type="dxa" w:w="3744"/>
            <w:shd w:val="clear" w:fill="DEEAF6"/>
          </w:tcPr>
          <w:p>
            <w:r/>
            <w:r>
              <w:rPr>
                <w:sz w:val="17"/>
              </w:rPr>
              <w:t>Recommendation shown/accepted/ignored events</w:t>
            </w:r>
          </w:p>
        </w:tc>
        <w:tc>
          <w:tcPr>
            <w:tcW w:type="dxa" w:w="3744"/>
            <w:shd w:val="clear" w:fill="DEEAF6"/>
          </w:tcPr>
          <w:p>
            <w:r/>
            <w:r>
              <w:rPr>
                <w:sz w:val="17"/>
              </w:rPr>
              <w:t>AuditLog extension (action = AI_RECO_*) — closes the learning loop and measures lift</w:t>
            </w:r>
          </w:p>
        </w:tc>
      </w:tr>
    </w:tbl>
    <w:p>
      <w:pPr>
        <w:spacing w:after="40"/>
      </w:pPr>
    </w:p>
    <w:p>
      <w:pPr>
        <w:pStyle w:val="Heading1"/>
      </w:pPr>
      <w:r>
        <w:t>5. Phasing and KPIs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16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Phase</w:t>
            </w:r>
          </w:p>
        </w:tc>
        <w:tc>
          <w:tcPr>
            <w:tcW w:type="dxa" w:w="3600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Scope</w:t>
            </w:r>
          </w:p>
        </w:tc>
        <w:tc>
          <w:tcPr>
            <w:tcW w:type="dxa" w:w="2448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Entry Condition</w:t>
            </w:r>
          </w:p>
        </w:tc>
        <w:tc>
          <w:tcPr>
            <w:tcW w:type="dxa" w:w="2736"/>
            <w:shd w:val="clear" w:fill="1F4E79"/>
          </w:tcPr>
          <w:p>
            <w:r/>
            <w:r>
              <w:rPr>
                <w:b/>
                <w:color w:val="FFFFFF"/>
                <w:sz w:val="17"/>
              </w:rPr>
              <w:t>Success KPI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7"/>
              </w:rPr>
              <w:t>AI-Phase 1 (with Increment 2)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AI-1 recommendation + AI-2 grounded explanations; CX AI Toolkit call summaries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Enrollment Center live; 3+ months of history OR cold-start rules-based ranking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Recommendation acceptance rate &gt;25%; program-per-call uplift; AHT reduction on program calls</w:t>
            </w:r>
          </w:p>
        </w:tc>
      </w:tr>
      <w:tr>
        <w:tc>
          <w:tcPr>
            <w:tcW w:type="dxa" w:w="2016"/>
            <w:shd w:val="clear" w:fill="DEEAF6"/>
          </w:tcPr>
          <w:p>
            <w:r/>
            <w:r>
              <w:rPr>
                <w:sz w:val="17"/>
              </w:rPr>
              <w:t>AI-Phase 2</w:t>
            </w:r>
          </w:p>
        </w:tc>
        <w:tc>
          <w:tcPr>
            <w:tcW w:type="dxa" w:w="3600"/>
            <w:shd w:val="clear" w:fill="DEEAF6"/>
          </w:tcPr>
          <w:p>
            <w:r/>
            <w:r>
              <w:rPr>
                <w:sz w:val="17"/>
              </w:rPr>
              <w:t>AI-3 bill-impact advisor; AI-4 default risk; AI-5 document extraction</w:t>
            </w:r>
          </w:p>
        </w:tc>
        <w:tc>
          <w:tcPr>
            <w:tcW w:type="dxa" w:w="2448"/>
            <w:shd w:val="clear" w:fill="DEEAF6"/>
          </w:tcPr>
          <w:p>
            <w:r/>
            <w:r>
              <w:rPr>
                <w:sz w:val="17"/>
              </w:rPr>
              <w:t>Interval data access via EDM/MDMS; document volume justifies automation</w:t>
            </w:r>
          </w:p>
        </w:tc>
        <w:tc>
          <w:tcPr>
            <w:tcW w:type="dxa" w:w="2736"/>
            <w:shd w:val="clear" w:fill="DEEAF6"/>
          </w:tcPr>
          <w:p>
            <w:r/>
            <w:r>
              <w:rPr>
                <w:sz w:val="17"/>
              </w:rPr>
              <w:t>Rate-program regret rate &lt;5%; DPA default reduction; verification backlog days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7"/>
              </w:rPr>
              <w:t>AI-Phase 3</w:t>
            </w:r>
          </w:p>
        </w:tc>
        <w:tc>
          <w:tcPr>
            <w:tcW w:type="dxa" w:w="3600"/>
          </w:tcPr>
          <w:p>
            <w:r/>
            <w:r>
              <w:rPr>
                <w:sz w:val="17"/>
              </w:rPr>
              <w:t>AI-6 exception triage; AI-7 DER forecasting (DER platform)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12+ months of exception/override labels; DER platform live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Exception MTTR; PTR settlement accuracy</w:t>
            </w:r>
          </w:p>
        </w:tc>
      </w:tr>
    </w:tbl>
    <w:p>
      <w:pPr>
        <w:spacing w:after="40"/>
      </w:pPr>
    </w:p>
    <w:p>
      <w:r>
        <w:rPr>
          <w:b w:val="0"/>
        </w:rPr>
        <w:t>Demo note: the interactive demo includes a working preview of AI-1 and AI-2 (mock scores and grounded explanation composed from catalog + customer facts) so stakeholders can see the agent experience today — clearly labeled as AI and kept outside the eligibility decision path, exactly like the production design.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