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
      </w:pPr>
    </w:p>
    <w:p>
      <w:pPr>
        <w:spacing w:after="0" w:before="120"/>
      </w:pPr>
    </w:p>
    <w:p>
      <w:pPr>
        <w:spacing w:after="0" w:before="120"/>
      </w:pPr>
    </w:p>
    <w:p>
      <w:pPr>
        <w:shd w:fill="1F3864" w:val="clear"/>
        <w:spacing w:after="40" w:before="200"/>
        <w:jc w:val="center"/>
      </w:pPr>
      <w:r>
        <w:rPr>
          <w:rFonts w:ascii="Arial" w:cs="Arial" w:eastAsia="Arial" w:hAnsi="Arial"/>
          <w:b/>
          <w:bCs/>
          <w:color w:val="AAAAAA"/>
          <w:sz w:val="20"/>
          <w:szCs w:val="20"/>
        </w:rPr>
        <w:t xml:space="preserve">CMS ENERGY  |  UTILITIES DIVISION</w:t>
      </w:r>
    </w:p>
    <w:p>
      <w:pPr>
        <w:shd w:fill="1F3864" w:val="clear"/>
        <w:spacing w:after="0" w:before="0"/>
        <w:jc w:val="center"/>
      </w:pPr>
      <w:r>
        <w:rPr>
          <w:rFonts w:ascii="Arial" w:cs="Arial" w:eastAsia="Arial" w:hAnsi="Arial"/>
          <w:b/>
          <w:bCs/>
          <w:color w:val="FFFFFF"/>
          <w:sz w:val="44"/>
          <w:szCs w:val="44"/>
        </w:rPr>
        <w:t xml:space="preserve">End-to-End Customer Move-In Process Design</w:t>
      </w:r>
    </w:p>
    <w:p>
      <w:pPr>
        <w:shd w:fill="1F3864" w:val="clear"/>
        <w:spacing w:after="200" w:before="60"/>
        <w:jc w:val="center"/>
      </w:pPr>
      <w:r>
        <w:rPr>
          <w:rFonts w:ascii="Arial" w:cs="Arial" w:eastAsia="Arial" w:hAnsi="Arial"/>
          <w:i/>
          <w:iCs/>
          <w:color w:val="D6E4F0"/>
          <w:sz w:val="24"/>
          <w:szCs w:val="24"/>
        </w:rPr>
        <w:t xml:space="preserve">SAP Service Cloud Version 2  ×  SAP S/4HANA IS-U</w:t>
      </w:r>
    </w:p>
    <w:p>
      <w:pPr>
        <w:spacing w:after="0" w:before="120"/>
      </w:pPr>
    </w:p>
    <w:p>
      <w:pPr>
        <w:jc w:val="center"/>
      </w:pPr>
      <w:r>
        <w:rPr>
          <w:rFonts w:ascii="Arial" w:cs="Arial" w:eastAsia="Arial" w:hAnsi="Arial"/>
          <w:b/>
          <w:bCs/>
          <w:color w:val="2E75B6"/>
          <w:sz w:val="24"/>
          <w:szCs w:val="24"/>
        </w:rPr>
        <w:t xml:space="preserve">Solution Architecture Document</w:t>
      </w:r>
    </w:p>
    <w:p>
      <w:pPr>
        <w:spacing w:before="60"/>
        <w:jc w:val="center"/>
      </w:pPr>
      <w:r>
        <w:rPr>
          <w:rFonts w:ascii="Arial" w:cs="Arial" w:eastAsia="Arial" w:hAnsi="Arial"/>
          <w:color w:val="888888"/>
          <w:sz w:val="20"/>
          <w:szCs w:val="20"/>
        </w:rPr>
        <w:t xml:space="preserve">Version 1.0  |  May 2026</w:t>
      </w:r>
    </w:p>
    <w:p>
      <w:pPr>
        <w:spacing w:after="0" w:before="120"/>
      </w:pPr>
    </w:p>
    <w:p>
      <w:pPr>
        <w:spacing w:after="0" w:before="120"/>
      </w:pPr>
    </w:p>
    <w:p>
      <w:pPr>
        <w:shd w:fill="2E75B6" w:val="clear"/>
        <w:spacing w:after="120" w:before="120"/>
        <w:jc w:val="center"/>
      </w:pPr>
      <w:r>
        <w:rPr>
          <w:rFonts w:ascii="Arial" w:cs="Arial" w:eastAsia="Arial" w:hAnsi="Arial"/>
          <w:b/>
          <w:bCs/>
          <w:color w:val="FFFFFF"/>
          <w:sz w:val="18"/>
          <w:szCs w:val="18"/>
        </w:rPr>
        <w:t xml:space="preserve">INTERNAL – SOLUTION ARCHITECTURE</w:t>
      </w:r>
    </w:p>
    <w:p>
      <w:pPr>
        <w:spacing w:after="0" w:before="120"/>
      </w:pPr>
    </w:p>
    <w:p>
      <w:pPr>
        <w:shd w:fill="D6E4F0" w:val="clear"/>
        <w:spacing w:after="80" w:before="80"/>
        <w:ind w:left="200" w:right="200"/>
      </w:pPr>
      <w:r>
        <w:rPr>
          <w:rFonts w:ascii="Arial" w:cs="Arial" w:eastAsia="Arial" w:hAnsi="Arial"/>
          <w:b/>
          <w:bCs/>
          <w:color w:val="1F3864"/>
          <w:sz w:val="20"/>
          <w:szCs w:val="20"/>
        </w:rPr>
        <w:t xml:space="preserve">Document Purpose</w:t>
      </w:r>
    </w:p>
    <w:p>
      <w:pPr>
        <w:shd w:fill="D6E4F0" w:val="clear"/>
        <w:spacing w:after="100" w:before="0"/>
        <w:ind w:left="200" w:right="200"/>
      </w:pPr>
      <w:r>
        <w:rPr>
          <w:rFonts w:ascii="Arial" w:cs="Arial" w:eastAsia="Arial" w:hAnsi="Arial"/>
          <w:sz w:val="18"/>
          <w:szCs w:val="18"/>
        </w:rPr>
        <w:t xml:space="preserve">This document defines the end-to-end architecture, configuration steps, data mappings, business rules, and integration patterns for the Customer Move-In process within SAP Service Cloud Version 2 (SSC V2) integrated with SAP S/4HANA IS-U, aligned to the CMS Energy AS-IS process design and SAP best practices for Utilities.</w:t>
      </w:r>
    </w:p>
    <w:p>
      <w:pPr>
        <w:spacing w:after="0" w:before="120"/>
      </w:pPr>
    </w:p>
    <w:p>
      <w:r>
        <w:br w:type="page"/>
      </w:r>
    </w:p>
    <w:p>
      <w:pPr>
        <w:pStyle w:val="Heading1"/>
        <w:pBdr>
          <w:bottom w:val="single" w:color="2E75B6" w:sz="4"/>
        </w:pBdr>
        <w:shd w:fill="1F3864" w:val="clear"/>
        <w:spacing w:after="120" w:before="360"/>
        <w:ind w:left="120" w:right="120"/>
      </w:pPr>
      <w:r>
        <w:rPr>
          <w:rFonts w:ascii="Arial" w:cs="Arial" w:eastAsia="Arial" w:hAnsi="Arial"/>
          <w:b/>
          <w:bCs/>
          <w:color w:val="FFFFFF"/>
          <w:sz w:val="36"/>
          <w:szCs w:val="36"/>
        </w:rPr>
        <w:t xml:space="preserve">1. Executive Summary</w:t>
      </w:r>
    </w:p>
    <w:p>
      <w:pPr>
        <w:spacing w:after="0" w:before="120"/>
      </w:pPr>
    </w:p>
    <w:p>
      <w:pPr>
        <w:spacing w:after="60" w:before="60"/>
      </w:pPr>
      <w:r>
        <w:rPr>
          <w:rFonts w:ascii="Arial" w:cs="Arial" w:eastAsia="Arial" w:hAnsi="Arial"/>
          <w:sz w:val="20"/>
          <w:szCs w:val="20"/>
        </w:rPr>
        <w:t xml:space="preserve">The Customer Move-In process is a mission-critical Utilities operation that initiates service for a new or returning customer at a premise. In the CMS Energy context, this process spans identity validation (FACTA), premise and meter verification, contract creation, service order generation via a configurable Meter Order Matrix (MOM), address management, and final submission to S/4HANA IS-U for downstream billing and field execution.</w:t>
      </w:r>
    </w:p>
    <w:p>
      <w:pPr>
        <w:spacing w:after="0" w:before="120"/>
      </w:pPr>
    </w:p>
    <w:p>
      <w:pPr>
        <w:spacing w:after="60" w:before="60"/>
      </w:pPr>
      <w:r>
        <w:rPr>
          <w:rFonts w:ascii="Arial" w:cs="Arial" w:eastAsia="Arial" w:hAnsi="Arial"/>
          <w:sz w:val="20"/>
          <w:szCs w:val="20"/>
        </w:rPr>
        <w:t xml:space="preserve">SAP Service Cloud Version 2 (SSC V2) replaces the legacy CRM 7.0 Web IC framework whilst maintaining functional parity. The TO-BE architecture leverages the SSC V2 Utilities Add-On (IS-U CS-C4C), native Scripting and Guided Processes, BRFplus/Decision Tables for configurable rule derivation, and the SAP Cloud Integration (CPI) middleware layer for synchronous and asynchronous integration with S/4HANA.</w:t>
      </w:r>
    </w:p>
    <w:p>
      <w:pPr>
        <w:spacing w:after="0" w:before="120"/>
      </w:pPr>
    </w:p>
    <w:p>
      <w:pPr>
        <w:pStyle w:val="Heading3"/>
        <w:spacing w:after="80" w:before="200"/>
      </w:pPr>
      <w:r>
        <w:rPr>
          <w:rFonts w:ascii="Arial" w:cs="Arial" w:eastAsia="Arial" w:hAnsi="Arial"/>
          <w:b/>
          <w:bCs/>
          <w:color w:val="2E75B6"/>
          <w:sz w:val="24"/>
          <w:szCs w:val="24"/>
        </w:rPr>
        <w:t xml:space="preserve">Key Design Objectives</w:t>
      </w:r>
    </w:p>
    <w:p>
      <w:pPr>
        <w:spacing w:after="0" w:before="120"/>
      </w:pP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360"/>
        <w:gridCol w:w="3200"/>
        <w:gridCol w:w="5400"/>
      </w:tblGrid>
      <w:tr>
        <w:trPr>
          <w:tblHeader/>
        </w:trPr>
        <w:tc>
          <w:tcPr>
            <w:tcW w:type="dxa" w:w="36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32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Objective</w:t>
            </w:r>
          </w:p>
        </w:tc>
        <w:tc>
          <w:tcPr>
            <w:tcW w:type="dxa" w:w="54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Design Pattern</w:t>
            </w:r>
          </w:p>
        </w:tc>
      </w:tr>
      <w:tr>
        <w:tc>
          <w:tcPr>
            <w:tcW w:type="dxa" w:w="3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1</w:t>
            </w:r>
          </w:p>
        </w:tc>
        <w:tc>
          <w:tcPr>
            <w:tcW w:type="dxa" w:w="3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Eliminate hardcoded order-type logic</w:t>
            </w:r>
          </w:p>
        </w:tc>
        <w:tc>
          <w:tcPr>
            <w:tcW w:type="dxa" w:w="5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BRFplus Decision Tables / Configurable MOM</w:t>
            </w:r>
          </w:p>
        </w:tc>
      </w:tr>
      <w:tr>
        <w:tc>
          <w:tcPr>
            <w:tcW w:type="dxa" w:w="36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2</w:t>
            </w:r>
          </w:p>
        </w:tc>
        <w:tc>
          <w:tcPr>
            <w:tcW w:type="dxa" w:w="32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Maintain FACTA compliance</w:t>
            </w:r>
          </w:p>
        </w:tc>
        <w:tc>
          <w:tcPr>
            <w:tcW w:type="dxa" w:w="54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Identity Validation Service + Extensibility BAdI</w:t>
            </w:r>
          </w:p>
        </w:tc>
      </w:tr>
      <w:tr>
        <w:tc>
          <w:tcPr>
            <w:tcW w:type="dxa" w:w="3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3</w:t>
            </w:r>
          </w:p>
        </w:tc>
        <w:tc>
          <w:tcPr>
            <w:tcW w:type="dxa" w:w="3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Automate meter-status validation</w:t>
            </w:r>
          </w:p>
        </w:tc>
        <w:tc>
          <w:tcPr>
            <w:tcW w:type="dxa" w:w="5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S/4HANA Read API + Rule Engine</w:t>
            </w:r>
          </w:p>
        </w:tc>
      </w:tr>
      <w:tr>
        <w:tc>
          <w:tcPr>
            <w:tcW w:type="dxa" w:w="36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4</w:t>
            </w:r>
          </w:p>
        </w:tc>
        <w:tc>
          <w:tcPr>
            <w:tcW w:type="dxa" w:w="32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Support multi-channel initiation</w:t>
            </w:r>
          </w:p>
        </w:tc>
        <w:tc>
          <w:tcPr>
            <w:tcW w:type="dxa" w:w="54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SSC V2 Guided Process + OData API</w:t>
            </w:r>
          </w:p>
        </w:tc>
      </w:tr>
      <w:tr>
        <w:tc>
          <w:tcPr>
            <w:tcW w:type="dxa" w:w="3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5</w:t>
            </w:r>
          </w:p>
        </w:tc>
        <w:tc>
          <w:tcPr>
            <w:tcW w:type="dxa" w:w="3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Generate correct IS-U Service Orders</w:t>
            </w:r>
          </w:p>
        </w:tc>
        <w:tc>
          <w:tcPr>
            <w:tcW w:type="dxa" w:w="5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MOM → Order Code mapping → S/4HANA PM/WO</w:t>
            </w:r>
          </w:p>
        </w:tc>
      </w:tr>
      <w:tr>
        <w:tc>
          <w:tcPr>
            <w:tcW w:type="dxa" w:w="36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6</w:t>
            </w:r>
          </w:p>
        </w:tc>
        <w:tc>
          <w:tcPr>
            <w:tcW w:type="dxa" w:w="32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Scalable to future smart-meter (AMI) scenarios</w:t>
            </w:r>
          </w:p>
        </w:tc>
        <w:tc>
          <w:tcPr>
            <w:tcW w:type="dxa" w:w="54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Decision Tree variants + AMI screens</w:t>
            </w:r>
          </w:p>
        </w:tc>
      </w:tr>
      <w:tr>
        <w:tc>
          <w:tcPr>
            <w:tcW w:type="dxa" w:w="3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7</w:t>
            </w:r>
          </w:p>
        </w:tc>
        <w:tc>
          <w:tcPr>
            <w:tcW w:type="dxa" w:w="3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Single-source-of-truth for master data</w:t>
            </w:r>
          </w:p>
        </w:tc>
        <w:tc>
          <w:tcPr>
            <w:tcW w:type="dxa" w:w="5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DRF replication: Contract Account, Premise, BP</w:t>
            </w:r>
          </w:p>
        </w:tc>
      </w:tr>
    </w:tbl>
    <w:p>
      <w:pPr>
        <w:spacing w:after="0" w:before="120"/>
      </w:pPr>
    </w:p>
    <w:p>
      <w:r>
        <w:br w:type="page"/>
      </w:r>
    </w:p>
    <w:p>
      <w:pPr>
        <w:pStyle w:val="Heading1"/>
        <w:pBdr>
          <w:bottom w:val="single" w:color="2E75B6" w:sz="4"/>
        </w:pBdr>
        <w:shd w:fill="1F3864" w:val="clear"/>
        <w:spacing w:after="120" w:before="360"/>
        <w:ind w:left="120" w:right="120"/>
      </w:pPr>
      <w:r>
        <w:rPr>
          <w:rFonts w:ascii="Arial" w:cs="Arial" w:eastAsia="Arial" w:hAnsi="Arial"/>
          <w:b/>
          <w:bCs/>
          <w:color w:val="FFFFFF"/>
          <w:sz w:val="36"/>
          <w:szCs w:val="36"/>
        </w:rPr>
        <w:t xml:space="preserve">2. Architecture Overview</w:t>
      </w:r>
    </w:p>
    <w:p>
      <w:pPr>
        <w:spacing w:after="0" w:before="120"/>
      </w:pPr>
    </w:p>
    <w:p>
      <w:pPr>
        <w:pStyle w:val="Heading2"/>
        <w:pBdr>
          <w:bottom w:val="single" w:color="2E75B6" w:sz="3" w:space="1"/>
        </w:pBdr>
        <w:spacing w:after="100" w:before="280"/>
      </w:pPr>
      <w:r>
        <w:rPr>
          <w:rFonts w:ascii="Arial" w:cs="Arial" w:eastAsia="Arial" w:hAnsi="Arial"/>
          <w:b/>
          <w:bCs/>
          <w:color w:val="1F3864"/>
          <w:sz w:val="28"/>
          <w:szCs w:val="28"/>
        </w:rPr>
        <w:t xml:space="preserve">2.1  System Landscape</w:t>
      </w:r>
    </w:p>
    <w:p>
      <w:pPr>
        <w:spacing w:after="0" w:before="120"/>
      </w:pP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00"/>
      </w:tblGrid>
      <w:tr>
        <w:trPr>
          <w:tblHeader/>
        </w:trPr>
        <w:tc>
          <w:tcPr>
            <w:tcW w:type="dxa" w:w="20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Layer</w:t>
            </w:r>
          </w:p>
        </w:tc>
        <w:tc>
          <w:tcPr>
            <w:tcW w:type="dxa" w:w="32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Component</w:t>
            </w:r>
          </w:p>
        </w:tc>
        <w:tc>
          <w:tcPr>
            <w:tcW w:type="dxa" w:w="41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Role in Move-In</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Customer Engagement</w:t>
            </w:r>
          </w:p>
        </w:tc>
        <w:tc>
          <w:tcPr>
            <w:tcW w:type="dxa" w:w="3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SSC V2 Agent Console (CSS)</w:t>
            </w:r>
          </w:p>
        </w:tc>
        <w:tc>
          <w:tcPr>
            <w:tcW w:type="dxa" w:w="4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Agent-led Move-In wizard; Guided Process screens</w:t>
            </w:r>
          </w:p>
        </w:tc>
      </w:tr>
      <w:tr>
        <w:tc>
          <w:tcPr>
            <w:tcW w:type="dxa" w:w="20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Customer Engagement</w:t>
            </w:r>
          </w:p>
        </w:tc>
        <w:tc>
          <w:tcPr>
            <w:tcW w:type="dxa" w:w="32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SSC V2 Self-Service / Portal</w:t>
            </w:r>
          </w:p>
        </w:tc>
        <w:tc>
          <w:tcPr>
            <w:tcW w:type="dxa" w:w="41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Customer-initiated Move-In via OData API</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Rules Engine</w:t>
            </w:r>
          </w:p>
        </w:tc>
        <w:tc>
          <w:tcPr>
            <w:tcW w:type="dxa" w:w="3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BRFplus (hosted in S/4HANA)</w:t>
            </w:r>
          </w:p>
        </w:tc>
        <w:tc>
          <w:tcPr>
            <w:tcW w:type="dxa" w:w="4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Derive Meter Order Matrix, Open-Order Checks, View navigation</w:t>
            </w:r>
          </w:p>
        </w:tc>
      </w:tr>
      <w:tr>
        <w:tc>
          <w:tcPr>
            <w:tcW w:type="dxa" w:w="20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Integration Middleware</w:t>
            </w:r>
          </w:p>
        </w:tc>
        <w:tc>
          <w:tcPr>
            <w:tcW w:type="dxa" w:w="32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SAP Cloud Integration (CPI)</w:t>
            </w:r>
          </w:p>
        </w:tc>
        <w:tc>
          <w:tcPr>
            <w:tcW w:type="dxa" w:w="41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Async replication + sync REST/SOAP calls</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Backend – Utilities</w:t>
            </w:r>
          </w:p>
        </w:tc>
        <w:tc>
          <w:tcPr>
            <w:tcW w:type="dxa" w:w="3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SAP S/4HANA IS-U (IS-UT 808+)</w:t>
            </w:r>
          </w:p>
        </w:tc>
        <w:tc>
          <w:tcPr>
            <w:tcW w:type="dxa" w:w="4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Contract, Installation, Device, Billing, Field Orders</w:t>
            </w:r>
          </w:p>
        </w:tc>
      </w:tr>
      <w:tr>
        <w:tc>
          <w:tcPr>
            <w:tcW w:type="dxa" w:w="20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Identity Validation</w:t>
            </w:r>
          </w:p>
        </w:tc>
        <w:tc>
          <w:tcPr>
            <w:tcW w:type="dxa" w:w="32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Equifax FACTA Interface</w:t>
            </w:r>
          </w:p>
        </w:tc>
        <w:tc>
          <w:tcPr>
            <w:tcW w:type="dxa" w:w="41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Real-time identity check (SSN / name)</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Security</w:t>
            </w:r>
          </w:p>
        </w:tc>
        <w:tc>
          <w:tcPr>
            <w:tcW w:type="dxa" w:w="3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SAP BTP Principal Propagation</w:t>
            </w:r>
          </w:p>
        </w:tc>
        <w:tc>
          <w:tcPr>
            <w:tcW w:type="dxa" w:w="4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Identity forwarded for synchronous S/4HANA calls</w:t>
            </w:r>
          </w:p>
        </w:tc>
      </w:tr>
      <w:tr>
        <w:tc>
          <w:tcPr>
            <w:tcW w:type="dxa" w:w="20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Extensibility</w:t>
            </w:r>
          </w:p>
        </w:tc>
        <w:tc>
          <w:tcPr>
            <w:tcW w:type="dxa" w:w="32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SAP BAdI Framework (IS-U CS-C4C)</w:t>
            </w:r>
          </w:p>
        </w:tc>
        <w:tc>
          <w:tcPr>
            <w:tcW w:type="dxa" w:w="41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Custom deposit calc, address logic, MOM logic</w:t>
            </w:r>
          </w:p>
        </w:tc>
      </w:tr>
    </w:tbl>
    <w:p>
      <w:pPr>
        <w:spacing w:after="0" w:before="120"/>
      </w:pPr>
    </w:p>
    <w:p>
      <w:pPr>
        <w:pStyle w:val="Heading2"/>
        <w:pBdr>
          <w:bottom w:val="single" w:color="2E75B6" w:sz="3" w:space="1"/>
        </w:pBdr>
        <w:spacing w:after="100" w:before="280"/>
      </w:pPr>
      <w:r>
        <w:rPr>
          <w:rFonts w:ascii="Arial" w:cs="Arial" w:eastAsia="Arial" w:hAnsi="Arial"/>
          <w:b/>
          <w:bCs/>
          <w:color w:val="1F3864"/>
          <w:sz w:val="28"/>
          <w:szCs w:val="28"/>
        </w:rPr>
        <w:t xml:space="preserve">2.2  Integration Architecture Diagram (Textual)</w:t>
      </w:r>
    </w:p>
    <w:p>
      <w:pPr>
        <w:spacing w:after="0" w:before="120"/>
      </w:pPr>
    </w:p>
    <w:p>
      <w:pPr>
        <w:spacing w:after="60" w:before="60"/>
      </w:pPr>
      <w:r>
        <w:rPr>
          <w:rFonts w:ascii="Arial" w:cs="Arial" w:eastAsia="Arial" w:hAnsi="Arial"/>
          <w:sz w:val="20"/>
          <w:szCs w:val="20"/>
        </w:rPr>
        <w:t xml:space="preserve">The following describes the integration flow between system components:</w:t>
      </w:r>
    </w:p>
    <w:p>
      <w:pPr>
        <w:spacing w:after="0" w:before="120"/>
      </w:pPr>
    </w:p>
    <w:p>
      <w:pPr>
        <w:shd w:fill="1E1E1E" w:val="clear"/>
        <w:spacing w:after="20" w:before="20"/>
        <w:ind w:left="360"/>
      </w:pPr>
      <w:r>
        <w:rPr>
          <w:rFonts w:ascii="Courier New" w:cs="Courier New" w:eastAsia="Courier New" w:hAnsi="Courier New"/>
          <w:color w:val="D4D4D4"/>
          <w:sz w:val="16"/>
          <w:szCs w:val="16"/>
        </w:rPr>
        <w:t xml:space="preserve">┌─────────────────────────────────────────────────────────────┐</w:t>
      </w:r>
    </w:p>
    <w:p>
      <w:pPr>
        <w:shd w:fill="1E1E1E" w:val="clear"/>
        <w:spacing w:after="20" w:before="20"/>
        <w:ind w:left="360"/>
      </w:pPr>
      <w:r>
        <w:rPr>
          <w:rFonts w:ascii="Courier New" w:cs="Courier New" w:eastAsia="Courier New" w:hAnsi="Courier New"/>
          <w:color w:val="D4D4D4"/>
          <w:sz w:val="16"/>
          <w:szCs w:val="16"/>
        </w:rPr>
        <w:t xml:space="preserve">│              CUSTOMER ENGAGEMENT LAYER                      │</w:t>
      </w:r>
    </w:p>
    <w:p>
      <w:pPr>
        <w:shd w:fill="1E1E1E" w:val="clear"/>
        <w:spacing w:after="20" w:before="20"/>
        <w:ind w:left="360"/>
      </w:pPr>
      <w:r>
        <w:rPr>
          <w:rFonts w:ascii="Courier New" w:cs="Courier New" w:eastAsia="Courier New" w:hAnsi="Courier New"/>
          <w:color w:val="D4D4D4"/>
          <w:sz w:val="16"/>
          <w:szCs w:val="16"/>
        </w:rPr>
        <w:t xml:space="preserve">│  ┌──────────────────────┐   ┌──────────────────────────┐   │</w:t>
      </w:r>
    </w:p>
    <w:p>
      <w:pPr>
        <w:shd w:fill="1E1E1E" w:val="clear"/>
        <w:spacing w:after="20" w:before="20"/>
        <w:ind w:left="360"/>
      </w:pPr>
      <w:r>
        <w:rPr>
          <w:rFonts w:ascii="Courier New" w:cs="Courier New" w:eastAsia="Courier New" w:hAnsi="Courier New"/>
          <w:color w:val="D4D4D4"/>
          <w:sz w:val="16"/>
          <w:szCs w:val="16"/>
        </w:rPr>
        <w:t xml:space="preserve">│  │  SSC V2 Agent Console│   │  Self-Service Portal     │   │</w:t>
      </w:r>
    </w:p>
    <w:p>
      <w:pPr>
        <w:shd w:fill="1E1E1E" w:val="clear"/>
        <w:spacing w:after="20" w:before="20"/>
        <w:ind w:left="360"/>
      </w:pPr>
      <w:r>
        <w:rPr>
          <w:rFonts w:ascii="Courier New" w:cs="Courier New" w:eastAsia="Courier New" w:hAnsi="Courier New"/>
          <w:color w:val="D4D4D4"/>
          <w:sz w:val="16"/>
          <w:szCs w:val="16"/>
        </w:rPr>
        <w:t xml:space="preserve">│  │  (CSS Guided Process)│   │  (OData B2C API)         │   │</w:t>
      </w:r>
    </w:p>
    <w:p>
      <w:pPr>
        <w:shd w:fill="1E1E1E" w:val="clear"/>
        <w:spacing w:after="20" w:before="20"/>
        <w:ind w:left="360"/>
      </w:pPr>
      <w:r>
        <w:rPr>
          <w:rFonts w:ascii="Courier New" w:cs="Courier New" w:eastAsia="Courier New" w:hAnsi="Courier New"/>
          <w:color w:val="D4D4D4"/>
          <w:sz w:val="16"/>
          <w:szCs w:val="16"/>
        </w:rPr>
        <w:t xml:space="preserve">│  └──────────┬───────────┘   └──────────┬───────────────┘   │</w:t>
      </w:r>
    </w:p>
    <w:p>
      <w:pPr>
        <w:shd w:fill="1E1E1E" w:val="clear"/>
        <w:spacing w:after="20" w:before="20"/>
        <w:ind w:left="360"/>
      </w:pPr>
      <w:r>
        <w:rPr>
          <w:rFonts w:ascii="Courier New" w:cs="Courier New" w:eastAsia="Courier New" w:hAnsi="Courier New"/>
          <w:color w:val="D4D4D4"/>
          <w:sz w:val="16"/>
          <w:szCs w:val="16"/>
        </w:rPr>
        <w:t xml:space="preserve">└─────────────┼──────────────────────────┼───────────────────┘</w:t>
      </w:r>
    </w:p>
    <w:p>
      <w:pPr>
        <w:shd w:fill="1E1E1E" w:val="clear"/>
        <w:spacing w:after="20" w:before="20"/>
        <w:ind w:left="360"/>
      </w:pPr>
      <w:r>
        <w:rPr>
          <w:rFonts w:ascii="Courier New" w:cs="Courier New" w:eastAsia="Courier New" w:hAnsi="Courier New"/>
          <w:color w:val="D4D4D4"/>
          <w:sz w:val="16"/>
          <w:szCs w:val="16"/>
        </w:rPr>
        <w:t xml:space="preserve">              │  Guided Process Events    │ REST</w:t>
      </w:r>
    </w:p>
    <w:p>
      <w:pPr>
        <w:shd w:fill="1E1E1E" w:val="clear"/>
        <w:spacing w:after="20" w:before="20"/>
        <w:ind w:left="360"/>
      </w:pPr>
      <w:r>
        <w:rPr>
          <w:rFonts w:ascii="Courier New" w:cs="Courier New" w:eastAsia="Courier New" w:hAnsi="Courier New"/>
          <w:color w:val="D4D4D4"/>
          <w:sz w:val="16"/>
          <w:szCs w:val="16"/>
        </w:rPr>
        <w:t xml:space="preserve">┌─────────────▼──────────────────────────▼───────────────────┐</w:t>
      </w:r>
    </w:p>
    <w:p>
      <w:pPr>
        <w:shd w:fill="1E1E1E" w:val="clear"/>
        <w:spacing w:after="20" w:before="20"/>
        <w:ind w:left="360"/>
      </w:pPr>
      <w:r>
        <w:rPr>
          <w:rFonts w:ascii="Courier New" w:cs="Courier New" w:eastAsia="Courier New" w:hAnsi="Courier New"/>
          <w:color w:val="D4D4D4"/>
          <w:sz w:val="16"/>
          <w:szCs w:val="16"/>
        </w:rPr>
        <w:t xml:space="preserve">│              SAP CLOUD INTEGRATION (CPI)                    │</w:t>
      </w:r>
    </w:p>
    <w:p>
      <w:pPr>
        <w:shd w:fill="1E1E1E" w:val="clear"/>
        <w:spacing w:after="20" w:before="20"/>
        <w:ind w:left="360"/>
      </w:pPr>
      <w:r>
        <w:rPr>
          <w:rFonts w:ascii="Courier New" w:cs="Courier New" w:eastAsia="Courier New" w:hAnsi="Courier New"/>
          <w:color w:val="D4D4D4"/>
          <w:sz w:val="16"/>
          <w:szCs w:val="16"/>
        </w:rPr>
        <w:t xml:space="preserve">│  ┌────────────────────┐   ┌──────────────────────────┐     │</w:t>
      </w:r>
    </w:p>
    <w:p>
      <w:pPr>
        <w:shd w:fill="1E1E1E" w:val="clear"/>
        <w:spacing w:after="20" w:before="20"/>
        <w:ind w:left="360"/>
      </w:pPr>
      <w:r>
        <w:rPr>
          <w:rFonts w:ascii="Courier New" w:cs="Courier New" w:eastAsia="Courier New" w:hAnsi="Courier New"/>
          <w:color w:val="D4D4D4"/>
          <w:sz w:val="16"/>
          <w:szCs w:val="16"/>
        </w:rPr>
        <w:t xml:space="preserve">│  │ iFlow: Move-In     │   │ iFlow: MasterData Repl.  │     │</w:t>
      </w:r>
    </w:p>
    <w:p>
      <w:pPr>
        <w:shd w:fill="1E1E1E" w:val="clear"/>
        <w:spacing w:after="20" w:before="20"/>
        <w:ind w:left="360"/>
      </w:pPr>
      <w:r>
        <w:rPr>
          <w:rFonts w:ascii="Courier New" w:cs="Courier New" w:eastAsia="Courier New" w:hAnsi="Courier New"/>
          <w:color w:val="D4D4D4"/>
          <w:sz w:val="16"/>
          <w:szCs w:val="16"/>
        </w:rPr>
        <w:t xml:space="preserve">│  │ (sync REST)        │   │ (async DRF/SOA)          │     │</w:t>
      </w:r>
    </w:p>
    <w:p>
      <w:pPr>
        <w:shd w:fill="1E1E1E" w:val="clear"/>
        <w:spacing w:after="20" w:before="20"/>
        <w:ind w:left="360"/>
      </w:pPr>
      <w:r>
        <w:rPr>
          <w:rFonts w:ascii="Courier New" w:cs="Courier New" w:eastAsia="Courier New" w:hAnsi="Courier New"/>
          <w:color w:val="D4D4D4"/>
          <w:sz w:val="16"/>
          <w:szCs w:val="16"/>
        </w:rPr>
        <w:t xml:space="preserve">│  └──────────┬─────────┘   └──────────┬───────────────┘     │</w:t>
      </w:r>
    </w:p>
    <w:p>
      <w:pPr>
        <w:shd w:fill="1E1E1E" w:val="clear"/>
        <w:spacing w:after="20" w:before="20"/>
        <w:ind w:left="360"/>
      </w:pPr>
      <w:r>
        <w:rPr>
          <w:rFonts w:ascii="Courier New" w:cs="Courier New" w:eastAsia="Courier New" w:hAnsi="Courier New"/>
          <w:color w:val="D4D4D4"/>
          <w:sz w:val="16"/>
          <w:szCs w:val="16"/>
        </w:rPr>
        <w:t xml:space="preserve">└─────────────┼──────────────────────────┼────────────────────┘</w:t>
      </w:r>
    </w:p>
    <w:p>
      <w:pPr>
        <w:shd w:fill="1E1E1E" w:val="clear"/>
        <w:spacing w:after="20" w:before="20"/>
        <w:ind w:left="360"/>
      </w:pPr>
      <w:r>
        <w:rPr>
          <w:rFonts w:ascii="Courier New" w:cs="Courier New" w:eastAsia="Courier New" w:hAnsi="Courier New"/>
          <w:color w:val="D4D4D4"/>
          <w:sz w:val="16"/>
          <w:szCs w:val="16"/>
        </w:rPr>
        <w:t xml:space="preserve">              │                           │</w:t>
      </w:r>
    </w:p>
    <w:p>
      <w:pPr>
        <w:shd w:fill="1E1E1E" w:val="clear"/>
        <w:spacing w:after="20" w:before="20"/>
        <w:ind w:left="360"/>
      </w:pPr>
      <w:r>
        <w:rPr>
          <w:rFonts w:ascii="Courier New" w:cs="Courier New" w:eastAsia="Courier New" w:hAnsi="Courier New"/>
          <w:color w:val="D4D4D4"/>
          <w:sz w:val="16"/>
          <w:szCs w:val="16"/>
        </w:rPr>
        <w:t xml:space="preserve">┌─────────────▼───────────────────────────▼──────────────────┐</w:t>
      </w:r>
    </w:p>
    <w:p>
      <w:pPr>
        <w:shd w:fill="1E1E1E" w:val="clear"/>
        <w:spacing w:after="20" w:before="20"/>
        <w:ind w:left="360"/>
      </w:pPr>
      <w:r>
        <w:rPr>
          <w:rFonts w:ascii="Courier New" w:cs="Courier New" w:eastAsia="Courier New" w:hAnsi="Courier New"/>
          <w:color w:val="D4D4D4"/>
          <w:sz w:val="16"/>
          <w:szCs w:val="16"/>
        </w:rPr>
        <w:t xml:space="preserve">│              SAP S/4HANA IS-U (IS-UT 808+)                  │</w:t>
      </w:r>
    </w:p>
    <w:p>
      <w:pPr>
        <w:shd w:fill="1E1E1E" w:val="clear"/>
        <w:spacing w:after="20" w:before="20"/>
        <w:ind w:left="360"/>
      </w:pPr>
      <w:r>
        <w:rPr>
          <w:rFonts w:ascii="Courier New" w:cs="Courier New" w:eastAsia="Courier New" w:hAnsi="Courier New"/>
          <w:color w:val="D4D4D4"/>
          <w:sz w:val="16"/>
          <w:szCs w:val="16"/>
        </w:rPr>
        <w:t xml:space="preserve">│                                                              │</w:t>
      </w:r>
    </w:p>
    <w:p>
      <w:pPr>
        <w:shd w:fill="1E1E1E" w:val="clear"/>
        <w:spacing w:after="20" w:before="20"/>
        <w:ind w:left="360"/>
      </w:pPr>
      <w:r>
        <w:rPr>
          <w:rFonts w:ascii="Courier New" w:cs="Courier New" w:eastAsia="Courier New" w:hAnsi="Courier New"/>
          <w:color w:val="D4D4D4"/>
          <w:sz w:val="16"/>
          <w:szCs w:val="16"/>
        </w:rPr>
        <w:t xml:space="preserve">│  ┌──────────┐  ┌──────────┐  ┌──────────┐  ┌──────────┐   │</w:t>
      </w:r>
    </w:p>
    <w:p>
      <w:pPr>
        <w:shd w:fill="1E1E1E" w:val="clear"/>
        <w:spacing w:after="20" w:before="20"/>
        <w:ind w:left="360"/>
      </w:pPr>
      <w:r>
        <w:rPr>
          <w:rFonts w:ascii="Courier New" w:cs="Courier New" w:eastAsia="Courier New" w:hAnsi="Courier New"/>
          <w:color w:val="D4D4D4"/>
          <w:sz w:val="16"/>
          <w:szCs w:val="16"/>
        </w:rPr>
        <w:t xml:space="preserve">│  │Business  │  │Contract  │  │Installation│ │ Device / │   │</w:t>
      </w:r>
    </w:p>
    <w:p>
      <w:pPr>
        <w:shd w:fill="1E1E1E" w:val="clear"/>
        <w:spacing w:after="20" w:before="20"/>
        <w:ind w:left="360"/>
      </w:pPr>
      <w:r>
        <w:rPr>
          <w:rFonts w:ascii="Courier New" w:cs="Courier New" w:eastAsia="Courier New" w:hAnsi="Courier New"/>
          <w:color w:val="D4D4D4"/>
          <w:sz w:val="16"/>
          <w:szCs w:val="16"/>
        </w:rPr>
        <w:t xml:space="preserve">│  │Partner   │  │Account   │  │/ POD      │  │ Meter    │   │</w:t>
      </w:r>
    </w:p>
    <w:p>
      <w:pPr>
        <w:shd w:fill="1E1E1E" w:val="clear"/>
        <w:spacing w:after="20" w:before="20"/>
        <w:ind w:left="360"/>
      </w:pPr>
      <w:r>
        <w:rPr>
          <w:rFonts w:ascii="Courier New" w:cs="Courier New" w:eastAsia="Courier New" w:hAnsi="Courier New"/>
          <w:color w:val="D4D4D4"/>
          <w:sz w:val="16"/>
          <w:szCs w:val="16"/>
        </w:rPr>
        <w:t xml:space="preserve">│  └──────────┘  └──────────┘  └──────────┘  └──────────┘   │</w:t>
      </w:r>
    </w:p>
    <w:p>
      <w:pPr>
        <w:shd w:fill="1E1E1E" w:val="clear"/>
        <w:spacing w:after="20" w:before="20"/>
        <w:ind w:left="360"/>
      </w:pPr>
      <w:r>
        <w:rPr>
          <w:rFonts w:ascii="Courier New" w:cs="Courier New" w:eastAsia="Courier New" w:hAnsi="Courier New"/>
          <w:color w:val="D4D4D4"/>
          <w:sz w:val="16"/>
          <w:szCs w:val="16"/>
        </w:rPr>
        <w:t xml:space="preserve">│                                                              │</w:t>
      </w:r>
    </w:p>
    <w:p>
      <w:pPr>
        <w:shd w:fill="1E1E1E" w:val="clear"/>
        <w:spacing w:after="20" w:before="20"/>
        <w:ind w:left="360"/>
      </w:pPr>
      <w:r>
        <w:rPr>
          <w:rFonts w:ascii="Courier New" w:cs="Courier New" w:eastAsia="Courier New" w:hAnsi="Courier New"/>
          <w:color w:val="D4D4D4"/>
          <w:sz w:val="16"/>
          <w:szCs w:val="16"/>
        </w:rPr>
        <w:t xml:space="preserve">│  ┌────────────────────────────────────────────────────┐    │</w:t>
      </w:r>
    </w:p>
    <w:p>
      <w:pPr>
        <w:shd w:fill="1E1E1E" w:val="clear"/>
        <w:spacing w:after="20" w:before="20"/>
        <w:ind w:left="360"/>
      </w:pPr>
      <w:r>
        <w:rPr>
          <w:rFonts w:ascii="Courier New" w:cs="Courier New" w:eastAsia="Courier New" w:hAnsi="Courier New"/>
          <w:color w:val="D4D4D4"/>
          <w:sz w:val="16"/>
          <w:szCs w:val="16"/>
        </w:rPr>
        <w:t xml:space="preserve">│  │  BRFplus: DETERMINE_MOM_ORDER_CODES                │    │</w:t>
      </w:r>
    </w:p>
    <w:p>
      <w:pPr>
        <w:shd w:fill="1E1E1E" w:val="clear"/>
        <w:spacing w:after="20" w:before="20"/>
        <w:ind w:left="360"/>
      </w:pPr>
      <w:r>
        <w:rPr>
          <w:rFonts w:ascii="Courier New" w:cs="Courier New" w:eastAsia="Courier New" w:hAnsi="Courier New"/>
          <w:color w:val="D4D4D4"/>
          <w:sz w:val="16"/>
          <w:szCs w:val="16"/>
        </w:rPr>
        <w:t xml:space="preserve">│  │           OPEN_ORDER_CHECK                         │    │</w:t>
      </w:r>
    </w:p>
    <w:p>
      <w:pPr>
        <w:shd w:fill="1E1E1E" w:val="clear"/>
        <w:spacing w:after="20" w:before="20"/>
        <w:ind w:left="360"/>
      </w:pPr>
      <w:r>
        <w:rPr>
          <w:rFonts w:ascii="Courier New" w:cs="Courier New" w:eastAsia="Courier New" w:hAnsi="Courier New"/>
          <w:color w:val="D4D4D4"/>
          <w:sz w:val="16"/>
          <w:szCs w:val="16"/>
        </w:rPr>
        <w:t xml:space="preserve">│  └────────────────────────────────────────────────────┘    │</w:t>
      </w:r>
    </w:p>
    <w:p>
      <w:pPr>
        <w:shd w:fill="1E1E1E" w:val="clear"/>
        <w:spacing w:after="20" w:before="20"/>
        <w:ind w:left="360"/>
      </w:pPr>
      <w:r>
        <w:rPr>
          <w:rFonts w:ascii="Courier New" w:cs="Courier New" w:eastAsia="Courier New" w:hAnsi="Courier New"/>
          <w:color w:val="D4D4D4"/>
          <w:sz w:val="16"/>
          <w:szCs w:val="16"/>
        </w:rPr>
        <w:t xml:space="preserve">│                                                              │</w:t>
      </w:r>
    </w:p>
    <w:p>
      <w:pPr>
        <w:shd w:fill="1E1E1E" w:val="clear"/>
        <w:spacing w:after="20" w:before="20"/>
        <w:ind w:left="360"/>
      </w:pPr>
      <w:r>
        <w:rPr>
          <w:rFonts w:ascii="Courier New" w:cs="Courier New" w:eastAsia="Courier New" w:hAnsi="Courier New"/>
          <w:color w:val="D4D4D4"/>
          <w:sz w:val="16"/>
          <w:szCs w:val="16"/>
        </w:rPr>
        <w:t xml:space="preserve">│  ┌────────────────────────────────────────────────────┐    │</w:t>
      </w:r>
    </w:p>
    <w:p>
      <w:pPr>
        <w:shd w:fill="1E1E1E" w:val="clear"/>
        <w:spacing w:after="20" w:before="20"/>
        <w:ind w:left="360"/>
      </w:pPr>
      <w:r>
        <w:rPr>
          <w:rFonts w:ascii="Courier New" w:cs="Courier New" w:eastAsia="Courier New" w:hAnsi="Courier New"/>
          <w:color w:val="D4D4D4"/>
          <w:sz w:val="16"/>
          <w:szCs w:val="16"/>
        </w:rPr>
        <w:t xml:space="preserve">│  │  IS-U Move-In Workflow (WS93000115)                │    │</w:t>
      </w:r>
    </w:p>
    <w:p>
      <w:pPr>
        <w:shd w:fill="1E1E1E" w:val="clear"/>
        <w:spacing w:after="20" w:before="20"/>
        <w:ind w:left="360"/>
      </w:pPr>
      <w:r>
        <w:rPr>
          <w:rFonts w:ascii="Courier New" w:cs="Courier New" w:eastAsia="Courier New" w:hAnsi="Courier New"/>
          <w:color w:val="D4D4D4"/>
          <w:sz w:val="16"/>
          <w:szCs w:val="16"/>
        </w:rPr>
        <w:t xml:space="preserve">│  │  Service Orders / PM Notifications                 │    │</w:t>
      </w:r>
    </w:p>
    <w:p>
      <w:pPr>
        <w:shd w:fill="1E1E1E" w:val="clear"/>
        <w:spacing w:after="20" w:before="20"/>
        <w:ind w:left="360"/>
      </w:pPr>
      <w:r>
        <w:rPr>
          <w:rFonts w:ascii="Courier New" w:cs="Courier New" w:eastAsia="Courier New" w:hAnsi="Courier New"/>
          <w:color w:val="D4D4D4"/>
          <w:sz w:val="16"/>
          <w:szCs w:val="16"/>
        </w:rPr>
        <w:t xml:space="preserve">│  └────────────────────────────────────────────────────┘    │</w:t>
      </w:r>
    </w:p>
    <w:p>
      <w:pPr>
        <w:shd w:fill="1E1E1E" w:val="clear"/>
        <w:spacing w:after="20" w:before="20"/>
        <w:ind w:left="360"/>
      </w:pPr>
      <w:r>
        <w:rPr>
          <w:rFonts w:ascii="Courier New" w:cs="Courier New" w:eastAsia="Courier New" w:hAnsi="Courier New"/>
          <w:color w:val="D4D4D4"/>
          <w:sz w:val="16"/>
          <w:szCs w:val="16"/>
        </w:rPr>
        <w:t xml:space="preserve">└──────────────────────────────────────────────────────────── ┘</w:t>
      </w:r>
    </w:p>
    <w:p>
      <w:pPr>
        <w:spacing w:after="0" w:before="120"/>
      </w:pPr>
    </w:p>
    <w:p>
      <w:r>
        <w:br w:type="page"/>
      </w:r>
    </w:p>
    <w:p>
      <w:pPr>
        <w:pStyle w:val="Heading1"/>
        <w:pBdr>
          <w:bottom w:val="single" w:color="2E75B6" w:sz="4"/>
        </w:pBdr>
        <w:shd w:fill="1F3864" w:val="clear"/>
        <w:spacing w:after="120" w:before="360"/>
        <w:ind w:left="120" w:right="120"/>
      </w:pPr>
      <w:r>
        <w:rPr>
          <w:rFonts w:ascii="Arial" w:cs="Arial" w:eastAsia="Arial" w:hAnsi="Arial"/>
          <w:b/>
          <w:bCs/>
          <w:color w:val="FFFFFF"/>
          <w:sz w:val="36"/>
          <w:szCs w:val="36"/>
        </w:rPr>
        <w:t xml:space="preserve">3. End-to-End Process Framework</w:t>
      </w:r>
    </w:p>
    <w:p>
      <w:pPr>
        <w:spacing w:after="0" w:before="120"/>
      </w:pPr>
    </w:p>
    <w:p>
      <w:pPr>
        <w:spacing w:after="60" w:before="60"/>
      </w:pPr>
      <w:r>
        <w:rPr>
          <w:rFonts w:ascii="Arial" w:cs="Arial" w:eastAsia="Arial" w:hAnsi="Arial"/>
          <w:sz w:val="20"/>
          <w:szCs w:val="20"/>
        </w:rPr>
        <w:t xml:space="preserve">The Move-In process is organized as a six-step Guided Process (analogous to the legacy CRM Process Framework) within the SSC V2 Agent Console. Each step maps to a functional area and must complete without error before the agent can proceed to the next. The steps are:</w:t>
      </w:r>
    </w:p>
    <w:p>
      <w:pPr>
        <w:spacing w:after="0" w:before="120"/>
      </w:pP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60"/>
        <w:gridCol w:w="2300"/>
        <w:gridCol w:w="2400"/>
        <w:gridCol w:w="1200"/>
        <w:gridCol w:w="3040"/>
      </w:tblGrid>
      <w:tr>
        <w:trPr>
          <w:tblHeader/>
        </w:trPr>
        <w:tc>
          <w:tcPr>
            <w:tcW w:type="dxa" w:w="36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Step</w:t>
            </w:r>
          </w:p>
        </w:tc>
        <w:tc>
          <w:tcPr>
            <w:tcW w:type="dxa" w:w="23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View / Panel</w:t>
            </w:r>
          </w:p>
        </w:tc>
        <w:tc>
          <w:tcPr>
            <w:tcW w:type="dxa" w:w="24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Legacy Reference (PP6)</w:t>
            </w:r>
          </w:p>
        </w:tc>
        <w:tc>
          <w:tcPr>
            <w:tcW w:type="dxa" w:w="12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Owner</w:t>
            </w:r>
          </w:p>
        </w:tc>
        <w:tc>
          <w:tcPr>
            <w:tcW w:type="dxa" w:w="304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S/4HANA Call</w:t>
            </w:r>
          </w:p>
        </w:tc>
      </w:tr>
      <w:tr>
        <w:tc>
          <w:tcPr>
            <w:tcW w:type="dxa" w:w="3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1</w:t>
            </w:r>
          </w:p>
        </w:tc>
        <w:tc>
          <w:tcPr>
            <w:tcW w:type="dxa" w:w="23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Pre-Move-In (Identification &amp; FACTA)</w:t>
            </w:r>
          </w:p>
        </w:tc>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CM_ENH_110 / CM-090-090-050-E</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Agent (CSR)</w:t>
            </w:r>
          </w:p>
        </w:tc>
        <w:tc>
          <w:tcPr>
            <w:tcW w:type="dxa" w:w="304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Z_DO_EQUIFAX_CHECK</w:t>
            </w:r>
          </w:p>
        </w:tc>
      </w:tr>
      <w:tr>
        <w:tc>
          <w:tcPr>
            <w:tcW w:type="dxa" w:w="36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2</w:t>
            </w:r>
          </w:p>
        </w:tc>
        <w:tc>
          <w:tcPr>
            <w:tcW w:type="dxa" w:w="23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Contract &amp; Meter Data</w:t>
            </w:r>
          </w:p>
        </w:tc>
        <w:tc>
          <w:tcPr>
            <w:tcW w:type="dxa" w:w="24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CM_ENH_450 / CM-090-090-070-E</w:t>
            </w:r>
          </w:p>
        </w:tc>
        <w:tc>
          <w:tcPr>
            <w:tcW w:type="dxa" w:w="12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Agent (CSR)</w:t>
            </w:r>
          </w:p>
        </w:tc>
        <w:tc>
          <w:tcPr>
            <w:tcW w:type="dxa" w:w="304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Z_CALC_SECURITY_DEPOSIT, Z_MI_VERIFY_PREMISE</w:t>
            </w:r>
          </w:p>
        </w:tc>
      </w:tr>
      <w:tr>
        <w:tc>
          <w:tcPr>
            <w:tcW w:type="dxa" w:w="3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3</w:t>
            </w:r>
          </w:p>
        </w:tc>
        <w:tc>
          <w:tcPr>
            <w:tcW w:type="dxa" w:w="23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Meter Order Matrix (MOM)</w:t>
            </w:r>
          </w:p>
        </w:tc>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MOM / BRFplus</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System (auto) + Agent</w:t>
            </w:r>
          </w:p>
        </w:tc>
        <w:tc>
          <w:tcPr>
            <w:tcW w:type="dxa" w:w="304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DETERMINE_MOM_ORDER_CODES</w:t>
            </w:r>
          </w:p>
        </w:tc>
      </w:tr>
      <w:tr>
        <w:tc>
          <w:tcPr>
            <w:tcW w:type="dxa" w:w="36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4</w:t>
            </w:r>
          </w:p>
        </w:tc>
        <w:tc>
          <w:tcPr>
            <w:tcW w:type="dxa" w:w="23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Address Maintenance</w:t>
            </w:r>
          </w:p>
        </w:tc>
        <w:tc>
          <w:tcPr>
            <w:tcW w:type="dxa" w:w="24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CM-090-080-060-E</w:t>
            </w:r>
          </w:p>
        </w:tc>
        <w:tc>
          <w:tcPr>
            <w:tcW w:type="dxa" w:w="12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Agent</w:t>
            </w:r>
          </w:p>
        </w:tc>
        <w:tc>
          <w:tcPr>
            <w:tcW w:type="dxa" w:w="304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Address API</w:t>
            </w:r>
          </w:p>
        </w:tc>
      </w:tr>
      <w:tr>
        <w:tc>
          <w:tcPr>
            <w:tcW w:type="dxa" w:w="3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5</w:t>
            </w:r>
          </w:p>
        </w:tc>
        <w:tc>
          <w:tcPr>
            <w:tcW w:type="dxa" w:w="23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Notifications (Service Orders)</w:t>
            </w:r>
          </w:p>
        </w:tc>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CM_ENH_350 / CM-090-090-075-E</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System (auto) + Agent</w:t>
            </w:r>
          </w:p>
        </w:tc>
        <w:tc>
          <w:tcPr>
            <w:tcW w:type="dxa" w:w="304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PM Order / Notification Create</w:t>
            </w:r>
          </w:p>
        </w:tc>
      </w:tr>
      <w:tr>
        <w:tc>
          <w:tcPr>
            <w:tcW w:type="dxa" w:w="36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6</w:t>
            </w:r>
          </w:p>
        </w:tc>
        <w:tc>
          <w:tcPr>
            <w:tcW w:type="dxa" w:w="23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Summary &amp; Submit</w:t>
            </w:r>
          </w:p>
        </w:tc>
        <w:tc>
          <w:tcPr>
            <w:tcW w:type="dxa" w:w="24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CM-090-090-090</w:t>
            </w:r>
          </w:p>
        </w:tc>
        <w:tc>
          <w:tcPr>
            <w:tcW w:type="dxa" w:w="12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Agent</w:t>
            </w:r>
          </w:p>
        </w:tc>
        <w:tc>
          <w:tcPr>
            <w:tcW w:type="dxa" w:w="304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IS-U Move-In WS93000115</w:t>
            </w:r>
          </w:p>
        </w:tc>
      </w:tr>
    </w:tbl>
    <w:p>
      <w:pPr>
        <w:spacing w:after="0" w:before="120"/>
      </w:pPr>
    </w:p>
    <w:p>
      <w:pPr>
        <w:pStyle w:val="Heading2"/>
        <w:pBdr>
          <w:bottom w:val="single" w:color="2E75B6" w:sz="3" w:space="1"/>
        </w:pBdr>
        <w:spacing w:after="100" w:before="280"/>
      </w:pPr>
      <w:r>
        <w:rPr>
          <w:rFonts w:ascii="Arial" w:cs="Arial" w:eastAsia="Arial" w:hAnsi="Arial"/>
          <w:b/>
          <w:bCs/>
          <w:color w:val="1F3864"/>
          <w:sz w:val="28"/>
          <w:szCs w:val="28"/>
        </w:rPr>
        <w:t xml:space="preserve">3.1  Step 1 – Pre-Move-In: Identification &amp; FACTA Validation</w:t>
      </w:r>
    </w:p>
    <w:p>
      <w:pPr>
        <w:spacing w:after="0" w:before="120"/>
      </w:pPr>
    </w:p>
    <w:p>
      <w:pPr>
        <w:pStyle w:val="Heading3"/>
        <w:spacing w:after="80" w:before="200"/>
      </w:pPr>
      <w:r>
        <w:rPr>
          <w:rFonts w:ascii="Arial" w:cs="Arial" w:eastAsia="Arial" w:hAnsi="Arial"/>
          <w:b/>
          <w:bCs/>
          <w:color w:val="2E75B6"/>
          <w:sz w:val="24"/>
          <w:szCs w:val="24"/>
        </w:rPr>
        <w:t xml:space="preserve">3.1.1  Entry Points</w:t>
      </w:r>
    </w:p>
    <w:p>
      <w:pPr>
        <w:pStyle w:val="ListParagraph"/>
        <w:numPr>
          <w:ilvl w:val="0"/>
          <w:numId w:val="2"/>
        </w:numPr>
        <w:spacing w:after="40" w:before="40"/>
      </w:pPr>
      <w:r>
        <w:rPr>
          <w:rFonts w:ascii="Arial" w:cs="Arial" w:eastAsia="Arial" w:hAnsi="Arial"/>
          <w:sz w:val="20"/>
          <w:szCs w:val="20"/>
        </w:rPr>
        <w:t xml:space="preserve">Agent Console: Navigate to Utilities → Move-In from the sidebar, or select 'New Contract' from the Contract Management Work Center dropdown.</w:t>
      </w:r>
    </w:p>
    <w:p>
      <w:pPr>
        <w:pStyle w:val="ListParagraph"/>
        <w:numPr>
          <w:ilvl w:val="0"/>
          <w:numId w:val="2"/>
        </w:numPr>
        <w:spacing w:after="40" w:before="40"/>
      </w:pPr>
      <w:r>
        <w:rPr>
          <w:rFonts w:ascii="Arial" w:cs="Arial" w:eastAsia="Arial" w:hAnsi="Arial"/>
          <w:sz w:val="20"/>
          <w:szCs w:val="20"/>
        </w:rPr>
        <w:t xml:space="preserve">Self-Service Portal: Customer submits Move-In request via OData endpoint; system auto-identifies Business Partner by account credentials.</w:t>
      </w:r>
    </w:p>
    <w:p>
      <w:pPr>
        <w:pStyle w:val="ListParagraph"/>
        <w:numPr>
          <w:ilvl w:val="0"/>
          <w:numId w:val="2"/>
        </w:numPr>
        <w:spacing w:after="40" w:before="40"/>
      </w:pPr>
      <w:r>
        <w:rPr>
          <w:rFonts w:ascii="Arial" w:cs="Arial" w:eastAsia="Arial" w:hAnsi="Arial"/>
          <w:sz w:val="20"/>
          <w:szCs w:val="20"/>
        </w:rPr>
        <w:t xml:space="preserve">Inbound CTI / IVR: Authenticated caller routed directly with BP context pre-populated.</w:t>
      </w:r>
    </w:p>
    <w:p>
      <w:pPr>
        <w:spacing w:after="0" w:before="120"/>
      </w:pPr>
    </w:p>
    <w:p>
      <w:pPr>
        <w:pStyle w:val="Heading3"/>
        <w:spacing w:after="80" w:before="200"/>
      </w:pPr>
      <w:r>
        <w:rPr>
          <w:rFonts w:ascii="Arial" w:cs="Arial" w:eastAsia="Arial" w:hAnsi="Arial"/>
          <w:b/>
          <w:bCs/>
          <w:color w:val="2E75B6"/>
          <w:sz w:val="24"/>
          <w:szCs w:val="24"/>
        </w:rPr>
        <w:t xml:space="preserve">3.1.2  Business Partner Validation</w:t>
      </w:r>
    </w:p>
    <w:p>
      <w:pPr>
        <w:spacing w:after="60" w:before="60"/>
      </w:pPr>
      <w:r>
        <w:rPr>
          <w:rFonts w:ascii="Arial" w:cs="Arial" w:eastAsia="Arial" w:hAnsi="Arial"/>
          <w:sz w:val="20"/>
          <w:szCs w:val="20"/>
        </w:rPr>
        <w:t xml:space="preserve">Before FACTA, the system must confirm a Business Partner (BP) in the role of 'Contract Partner' and type 'Person'. The following validation logic applies:</w:t>
      </w:r>
    </w:p>
    <w:p>
      <w:pPr>
        <w:spacing w:after="0" w:before="120"/>
      </w:pPr>
    </w:p>
    <w:p>
      <w:pPr>
        <w:shd w:fill="1E1E1E" w:val="clear"/>
        <w:spacing w:after="20" w:before="20"/>
        <w:ind w:left="360"/>
      </w:pPr>
      <w:r>
        <w:rPr>
          <w:rFonts w:ascii="Courier New" w:cs="Courier New" w:eastAsia="Courier New" w:hAnsi="Courier New"/>
          <w:color w:val="D4D4D4"/>
          <w:sz w:val="16"/>
          <w:szCs w:val="16"/>
        </w:rPr>
        <w:t xml:space="preserve">// BP Validation Logic</w:t>
      </w:r>
    </w:p>
    <w:p>
      <w:pPr>
        <w:shd w:fill="1E1E1E" w:val="clear"/>
        <w:spacing w:after="20" w:before="20"/>
        <w:ind w:left="360"/>
      </w:pPr>
      <w:r>
        <w:rPr>
          <w:rFonts w:ascii="Courier New" w:cs="Courier New" w:eastAsia="Courier New" w:hAnsi="Courier New"/>
          <w:color w:val="D4D4D4"/>
          <w:sz w:val="16"/>
          <w:szCs w:val="16"/>
        </w:rPr>
        <w:t xml:space="preserve">IF BP.Role = 'Contract Partner' AND BP.Type = 'Person' THEN</w:t>
      </w:r>
    </w:p>
    <w:p>
      <w:pPr>
        <w:shd w:fill="1E1E1E" w:val="clear"/>
        <w:spacing w:after="20" w:before="20"/>
        <w:ind w:left="360"/>
      </w:pPr>
      <w:r>
        <w:rPr>
          <w:rFonts w:ascii="Courier New" w:cs="Courier New" w:eastAsia="Courier New" w:hAnsi="Courier New"/>
          <w:color w:val="D4D4D4"/>
          <w:sz w:val="16"/>
          <w:szCs w:val="16"/>
        </w:rPr>
        <w:t xml:space="preserve">    IF CSR_Role IN (CSR2, CSR3, CSR4) THEN</w:t>
      </w:r>
    </w:p>
    <w:p>
      <w:pPr>
        <w:shd w:fill="1E1E1E" w:val="clear"/>
        <w:spacing w:after="20" w:before="20"/>
        <w:ind w:left="360"/>
      </w:pPr>
      <w:r>
        <w:rPr>
          <w:rFonts w:ascii="Courier New" w:cs="Courier New" w:eastAsia="Courier New" w:hAnsi="Courier New"/>
          <w:color w:val="D4D4D4"/>
          <w:sz w:val="16"/>
          <w:szCs w:val="16"/>
        </w:rPr>
        <w:t xml:space="preserve">        FACTA_Validation = MANDATORY  // 'Skip Validation' button hidden</w:t>
      </w:r>
    </w:p>
    <w:p>
      <w:pPr>
        <w:shd w:fill="1E1E1E" w:val="clear"/>
        <w:spacing w:after="20" w:before="20"/>
        <w:ind w:left="360"/>
      </w:pPr>
      <w:r>
        <w:rPr>
          <w:rFonts w:ascii="Courier New" w:cs="Courier New" w:eastAsia="Courier New" w:hAnsi="Courier New"/>
          <w:color w:val="D4D4D4"/>
          <w:sz w:val="16"/>
          <w:szCs w:val="16"/>
        </w:rPr>
        <w:t xml:space="preserve">    ELSE</w:t>
      </w:r>
    </w:p>
    <w:p>
      <w:pPr>
        <w:shd w:fill="1E1E1E" w:val="clear"/>
        <w:spacing w:after="20" w:before="20"/>
        <w:ind w:left="360"/>
      </w:pPr>
      <w:r>
        <w:rPr>
          <w:rFonts w:ascii="Courier New" w:cs="Courier New" w:eastAsia="Courier New" w:hAnsi="Courier New"/>
          <w:color w:val="D4D4D4"/>
          <w:sz w:val="16"/>
          <w:szCs w:val="16"/>
        </w:rPr>
        <w:t xml:space="preserve">        FACTA_Validation = OPTIONAL   // 'Skip Validation' with reason required</w:t>
      </w:r>
    </w:p>
    <w:p>
      <w:pPr>
        <w:shd w:fill="1E1E1E" w:val="clear"/>
        <w:spacing w:after="20" w:before="20"/>
        <w:ind w:left="360"/>
      </w:pPr>
      <w:r>
        <w:rPr>
          <w:rFonts w:ascii="Courier New" w:cs="Courier New" w:eastAsia="Courier New" w:hAnsi="Courier New"/>
          <w:color w:val="D4D4D4"/>
          <w:sz w:val="16"/>
          <w:szCs w:val="16"/>
        </w:rPr>
        <w:t xml:space="preserve">    END IF</w:t>
      </w:r>
    </w:p>
    <w:p>
      <w:pPr>
        <w:shd w:fill="1E1E1E" w:val="clear"/>
        <w:spacing w:after="20" w:before="20"/>
        <w:ind w:left="360"/>
      </w:pPr>
      <w:r>
        <w:rPr>
          <w:rFonts w:ascii="Courier New" w:cs="Courier New" w:eastAsia="Courier New" w:hAnsi="Courier New"/>
          <w:color w:val="D4D4D4"/>
          <w:sz w:val="16"/>
          <w:szCs w:val="16"/>
        </w:rPr>
        <w:t xml:space="preserve">ELSE</w:t>
      </w:r>
    </w:p>
    <w:p>
      <w:pPr>
        <w:shd w:fill="1E1E1E" w:val="clear"/>
        <w:spacing w:after="20" w:before="20"/>
        <w:ind w:left="360"/>
      </w:pPr>
      <w:r>
        <w:rPr>
          <w:rFonts w:ascii="Courier New" w:cs="Courier New" w:eastAsia="Courier New" w:hAnsi="Courier New"/>
          <w:color w:val="D4D4D4"/>
          <w:sz w:val="16"/>
          <w:szCs w:val="16"/>
        </w:rPr>
        <w:t xml:space="preserve">    Skip FACTA → proceed to Pre-Move-In View</w:t>
      </w:r>
    </w:p>
    <w:p>
      <w:pPr>
        <w:shd w:fill="1E1E1E" w:val="clear"/>
        <w:spacing w:after="20" w:before="20"/>
        <w:ind w:left="360"/>
      </w:pPr>
      <w:r>
        <w:rPr>
          <w:rFonts w:ascii="Courier New" w:cs="Courier New" w:eastAsia="Courier New" w:hAnsi="Courier New"/>
          <w:color w:val="D4D4D4"/>
          <w:sz w:val="16"/>
          <w:szCs w:val="16"/>
        </w:rPr>
        <w:t xml:space="preserve">END IF</w:t>
      </w:r>
    </w:p>
    <w:p>
      <w:pPr>
        <w:spacing w:after="0" w:before="120"/>
      </w:pPr>
    </w:p>
    <w:p>
      <w:pPr>
        <w:shd w:fill="F2F2F2" w:val="clear"/>
        <w:spacing w:after="80" w:before="80"/>
        <w:ind w:left="360"/>
      </w:pPr>
      <w:r>
        <w:rPr>
          <w:rFonts w:ascii="Arial" w:cs="Arial" w:eastAsia="Arial" w:hAnsi="Arial"/>
          <w:b/>
          <w:bCs/>
          <w:color w:val="C55A11"/>
          <w:sz w:val="18"/>
          <w:szCs w:val="18"/>
        </w:rPr>
        <w:t xml:space="preserve">⚠ Note: </w:t>
      </w:r>
      <w:r>
        <w:rPr>
          <w:rFonts w:ascii="Arial" w:cs="Arial" w:eastAsia="Arial" w:hAnsi="Arial"/>
          <w:i/>
          <w:iCs/>
          <w:sz w:val="18"/>
          <w:szCs w:val="18"/>
        </w:rPr>
        <w:t xml:space="preserve">If a ZFAC/IDF contact of type ZFAC/IDP was closed by Fraud within the last 5 days, non-CSR roles bypass FACTA automatically.</w:t>
      </w:r>
    </w:p>
    <w:p>
      <w:pPr>
        <w:spacing w:after="0" w:before="120"/>
      </w:pPr>
    </w:p>
    <w:p>
      <w:pPr>
        <w:pStyle w:val="Heading3"/>
        <w:spacing w:after="80" w:before="200"/>
      </w:pPr>
      <w:r>
        <w:rPr>
          <w:rFonts w:ascii="Arial" w:cs="Arial" w:eastAsia="Arial" w:hAnsi="Arial"/>
          <w:b/>
          <w:bCs/>
          <w:color w:val="2E75B6"/>
          <w:sz w:val="24"/>
          <w:szCs w:val="24"/>
        </w:rPr>
        <w:t xml:space="preserve">3.1.3  FACTA Interface</w:t>
      </w:r>
    </w:p>
    <w:p>
      <w:pPr>
        <w:spacing w:after="60" w:before="60"/>
      </w:pPr>
      <w:r>
        <w:rPr>
          <w:rFonts w:ascii="Arial" w:cs="Arial" w:eastAsia="Arial" w:hAnsi="Arial"/>
          <w:sz w:val="20"/>
          <w:szCs w:val="20"/>
        </w:rPr>
        <w:t xml:space="preserve">FACTA validation calls the Equifax interface in real-time via Function Module Z_DO_EQUIFAX_CHECK. The return codes and system actions are:</w:t>
      </w:r>
    </w:p>
    <w:p>
      <w:pPr>
        <w:spacing w:after="0" w:before="120"/>
      </w:pP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5700"/>
      </w:tblGrid>
      <w:tr>
        <w:trPr>
          <w:tblHeader/>
        </w:trPr>
        <w:tc>
          <w:tcPr>
            <w:tcW w:type="dxa" w:w="14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Return Code</w:t>
            </w:r>
          </w:p>
        </w:tc>
        <w:tc>
          <w:tcPr>
            <w:tcW w:type="dxa" w:w="22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Meaning</w:t>
            </w:r>
          </w:p>
        </w:tc>
        <w:tc>
          <w:tcPr>
            <w:tcW w:type="dxa" w:w="57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System Action</w:t>
            </w:r>
          </w:p>
        </w:tc>
      </w:tr>
      <w:tr>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P – Pass</w:t>
            </w:r>
          </w:p>
        </w:tc>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Identity confirmed</w:t>
            </w:r>
          </w:p>
        </w:tc>
        <w:tc>
          <w:tcPr>
            <w:tcW w:type="dxa" w:w="5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Proceed to Step 2; Auto-trigger PIR Fraud check if applicable</w:t>
            </w:r>
          </w:p>
        </w:tc>
      </w:tr>
      <w:tr>
        <w:tc>
          <w:tcPr>
            <w:tcW w:type="dxa" w:w="14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F – Fail</w:t>
            </w:r>
          </w:p>
        </w:tc>
        <w:tc>
          <w:tcPr>
            <w:tcW w:type="dxa" w:w="22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Identity mismatch</w:t>
            </w:r>
          </w:p>
        </w:tc>
        <w:tc>
          <w:tcPr>
            <w:tcW w:type="dxa" w:w="57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Display model statement; block process; create IDF contact</w:t>
            </w:r>
          </w:p>
        </w:tc>
      </w:tr>
      <w:tr>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R – Refused</w:t>
            </w:r>
          </w:p>
        </w:tc>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Customer refused to provide ID</w:t>
            </w:r>
          </w:p>
        </w:tc>
        <w:tc>
          <w:tcPr>
            <w:tcW w:type="dxa" w:w="5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Display model statement; agent must visit office for service</w:t>
            </w:r>
          </w:p>
        </w:tc>
      </w:tr>
      <w:tr>
        <w:tc>
          <w:tcPr>
            <w:tcW w:type="dxa" w:w="14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D – Declined</w:t>
            </w:r>
          </w:p>
        </w:tc>
        <w:tc>
          <w:tcPr>
            <w:tcW w:type="dxa" w:w="22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Agent skipped with reason</w:t>
            </w:r>
          </w:p>
        </w:tc>
        <w:tc>
          <w:tcPr>
            <w:tcW w:type="dxa" w:w="57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Record reason; allow process to continue (non-CSR only)</w:t>
            </w:r>
          </w:p>
        </w:tc>
      </w:tr>
      <w:tr>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Error</w:t>
            </w:r>
          </w:p>
        </w:tc>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Connectivity issue</w:t>
            </w:r>
          </w:p>
        </w:tc>
        <w:tc>
          <w:tcPr>
            <w:tcW w:type="dxa" w:w="5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Raise error: 'A connectivity error occurred during validation'</w:t>
            </w:r>
          </w:p>
        </w:tc>
      </w:tr>
    </w:tbl>
    <w:p>
      <w:pPr>
        <w:spacing w:after="0" w:before="120"/>
      </w:pPr>
    </w:p>
    <w:p>
      <w:pPr>
        <w:pStyle w:val="Heading3"/>
        <w:spacing w:after="80" w:before="200"/>
      </w:pPr>
      <w:r>
        <w:rPr>
          <w:rFonts w:ascii="Arial" w:cs="Arial" w:eastAsia="Arial" w:hAnsi="Arial"/>
          <w:b/>
          <w:bCs/>
          <w:color w:val="2E75B6"/>
          <w:sz w:val="24"/>
          <w:szCs w:val="24"/>
        </w:rPr>
        <w:t xml:space="preserve">3.1.4  Service Environment Display</w:t>
      </w:r>
    </w:p>
    <w:p>
      <w:pPr>
        <w:spacing w:after="60" w:before="60"/>
      </w:pPr>
      <w:r>
        <w:rPr>
          <w:rFonts w:ascii="Arial" w:cs="Arial" w:eastAsia="Arial" w:hAnsi="Arial"/>
          <w:sz w:val="20"/>
          <w:szCs w:val="20"/>
        </w:rPr>
        <w:t xml:space="preserve">The Pre-Move-In view presents the Technical Environment panel, showing the confirmed premise with status icons (active, inactive, locked, partial-lock), existing ASP contracts for the BP or premise, and any Condition of Service alerts. These data are fetched from S/4HANA via the Premise/Connection Object replication.</w:t>
      </w:r>
    </w:p>
    <w:p>
      <w:pPr>
        <w:spacing w:after="0" w:before="120"/>
      </w:pPr>
    </w:p>
    <w:p>
      <w:pPr>
        <w:spacing w:after="60" w:before="60"/>
      </w:pPr>
      <w:r>
        <w:rPr>
          <w:rFonts w:ascii="Arial" w:cs="Arial" w:eastAsia="Arial" w:hAnsi="Arial"/>
          <w:sz w:val="20"/>
          <w:szCs w:val="20"/>
        </w:rPr>
        <w:t xml:space="preserve">Key fields captured in this step:</w:t>
      </w:r>
    </w:p>
    <w:p>
      <w:pPr>
        <w:pStyle w:val="ListParagraph"/>
        <w:numPr>
          <w:ilvl w:val="0"/>
          <w:numId w:val="2"/>
        </w:numPr>
        <w:spacing w:after="40" w:before="40"/>
      </w:pPr>
      <w:r>
        <w:rPr>
          <w:rFonts w:ascii="Arial" w:cs="Arial" w:eastAsia="Arial" w:hAnsi="Arial"/>
          <w:sz w:val="20"/>
          <w:szCs w:val="20"/>
        </w:rPr>
        <w:t xml:space="preserve">Business Partner ID, Name, Date of Birth, SSN (masked)</w:t>
      </w:r>
    </w:p>
    <w:p>
      <w:pPr>
        <w:pStyle w:val="ListParagraph"/>
        <w:numPr>
          <w:ilvl w:val="0"/>
          <w:numId w:val="2"/>
        </w:numPr>
        <w:spacing w:after="40" w:before="40"/>
      </w:pPr>
      <w:r>
        <w:rPr>
          <w:rFonts w:ascii="Arial" w:cs="Arial" w:eastAsia="Arial" w:hAnsi="Arial"/>
          <w:sz w:val="20"/>
          <w:szCs w:val="20"/>
        </w:rPr>
        <w:t xml:space="preserve">Previous Address (required for FACTA input)</w:t>
      </w:r>
    </w:p>
    <w:p>
      <w:pPr>
        <w:pStyle w:val="ListParagraph"/>
        <w:numPr>
          <w:ilvl w:val="0"/>
          <w:numId w:val="2"/>
        </w:numPr>
        <w:spacing w:after="40" w:before="40"/>
      </w:pPr>
      <w:r>
        <w:rPr>
          <w:rFonts w:ascii="Arial" w:cs="Arial" w:eastAsia="Arial" w:hAnsi="Arial"/>
          <w:sz w:val="20"/>
          <w:szCs w:val="20"/>
        </w:rPr>
        <w:t xml:space="preserve">Positive ID Required flag (PIR)</w:t>
      </w:r>
    </w:p>
    <w:p>
      <w:pPr>
        <w:pStyle w:val="ListParagraph"/>
        <w:numPr>
          <w:ilvl w:val="0"/>
          <w:numId w:val="2"/>
        </w:numPr>
        <w:spacing w:after="40" w:before="40"/>
      </w:pPr>
      <w:r>
        <w:rPr>
          <w:rFonts w:ascii="Arial" w:cs="Arial" w:eastAsia="Arial" w:hAnsi="Arial"/>
          <w:sz w:val="20"/>
          <w:szCs w:val="20"/>
        </w:rPr>
        <w:t xml:space="preserve">FACTA Result code</w:t>
      </w:r>
    </w:p>
    <w:p>
      <w:pPr>
        <w:spacing w:after="0" w:before="120"/>
      </w:pPr>
    </w:p>
    <w:p>
      <w:pPr>
        <w:pStyle w:val="Heading2"/>
        <w:pBdr>
          <w:bottom w:val="single" w:color="2E75B6" w:sz="3" w:space="1"/>
        </w:pBdr>
        <w:spacing w:after="100" w:before="280"/>
      </w:pPr>
      <w:r>
        <w:rPr>
          <w:rFonts w:ascii="Arial" w:cs="Arial" w:eastAsia="Arial" w:hAnsi="Arial"/>
          <w:b/>
          <w:bCs/>
          <w:color w:val="1F3864"/>
          <w:sz w:val="28"/>
          <w:szCs w:val="28"/>
        </w:rPr>
        <w:t xml:space="preserve">3.2  Step 2 – Contract &amp; Meter Data</w:t>
      </w:r>
    </w:p>
    <w:p>
      <w:pPr>
        <w:spacing w:after="0" w:before="120"/>
      </w:pPr>
    </w:p>
    <w:p>
      <w:pPr>
        <w:spacing w:after="60" w:before="60"/>
      </w:pPr>
      <w:r>
        <w:rPr>
          <w:rFonts w:ascii="Arial" w:cs="Arial" w:eastAsia="Arial" w:hAnsi="Arial"/>
          <w:sz w:val="20"/>
          <w:szCs w:val="20"/>
        </w:rPr>
        <w:t xml:space="preserve">This view captures the core contractual data and triggers the key financial checks before meter order determination. Only installation divisions Electric (01) and Gas (02) are presented. The Contract Start Date drives all downstream date calculations.</w:t>
      </w:r>
    </w:p>
    <w:p>
      <w:pPr>
        <w:spacing w:after="0" w:before="120"/>
      </w:pPr>
    </w:p>
    <w:p>
      <w:pPr>
        <w:pStyle w:val="Heading3"/>
        <w:spacing w:after="80" w:before="200"/>
      </w:pPr>
      <w:r>
        <w:rPr>
          <w:rFonts w:ascii="Arial" w:cs="Arial" w:eastAsia="Arial" w:hAnsi="Arial"/>
          <w:b/>
          <w:bCs/>
          <w:color w:val="2E75B6"/>
          <w:sz w:val="24"/>
          <w:szCs w:val="24"/>
        </w:rPr>
        <w:t xml:space="preserve">3.2.1  Contract Start Date Rules</w:t>
      </w:r>
    </w:p>
    <w:p>
      <w:pPr>
        <w:shd w:fill="1E1E1E" w:val="clear"/>
        <w:spacing w:after="20" w:before="20"/>
        <w:ind w:left="360"/>
      </w:pPr>
      <w:r>
        <w:rPr>
          <w:rFonts w:ascii="Courier New" w:cs="Courier New" w:eastAsia="Courier New" w:hAnsi="Courier New"/>
          <w:color w:val="D4D4D4"/>
          <w:sz w:val="16"/>
          <w:szCs w:val="16"/>
        </w:rPr>
        <w:t xml:space="preserve">// Contract Start Date Validation</w:t>
      </w:r>
    </w:p>
    <w:p>
      <w:pPr>
        <w:shd w:fill="1E1E1E" w:val="clear"/>
        <w:spacing w:after="20" w:before="20"/>
        <w:ind w:left="360"/>
      </w:pPr>
      <w:r>
        <w:rPr>
          <w:rFonts w:ascii="Courier New" w:cs="Courier New" w:eastAsia="Courier New" w:hAnsi="Courier New"/>
          <w:color w:val="D4D4D4"/>
          <w:sz w:val="16"/>
          <w:szCs w:val="16"/>
        </w:rPr>
        <w:t xml:space="preserve">IF ContractStartDate IS BLANK THEN</w:t>
      </w:r>
    </w:p>
    <w:p>
      <w:pPr>
        <w:shd w:fill="1E1E1E" w:val="clear"/>
        <w:spacing w:after="20" w:before="20"/>
        <w:ind w:left="360"/>
      </w:pPr>
      <w:r>
        <w:rPr>
          <w:rFonts w:ascii="Courier New" w:cs="Courier New" w:eastAsia="Courier New" w:hAnsi="Courier New"/>
          <w:color w:val="D4D4D4"/>
          <w:sz w:val="16"/>
          <w:szCs w:val="16"/>
        </w:rPr>
        <w:t xml:space="preserve">    RAISE System Error 070: 'Contract Start Date is required'</w:t>
      </w:r>
    </w:p>
    <w:p>
      <w:pPr>
        <w:shd w:fill="1E1E1E" w:val="clear"/>
        <w:spacing w:after="20" w:before="20"/>
        <w:ind w:left="360"/>
      </w:pPr>
      <w:r>
        <w:rPr>
          <w:rFonts w:ascii="Courier New" w:cs="Courier New" w:eastAsia="Courier New" w:hAnsi="Courier New"/>
          <w:color w:val="D4D4D4"/>
          <w:sz w:val="16"/>
          <w:szCs w:val="16"/>
        </w:rPr>
        <w:t xml:space="preserve">    BLOCK navigation to Meter Data section</w:t>
      </w:r>
    </w:p>
    <w:p>
      <w:pPr>
        <w:shd w:fill="1E1E1E" w:val="clear"/>
        <w:spacing w:after="20" w:before="20"/>
        <w:ind w:left="360"/>
      </w:pPr>
      <w:r>
        <w:rPr>
          <w:rFonts w:ascii="Courier New" w:cs="Courier New" w:eastAsia="Courier New" w:hAnsi="Courier New"/>
          <w:color w:val="D4D4D4"/>
          <w:sz w:val="16"/>
          <w:szCs w:val="16"/>
        </w:rPr>
        <w:t xml:space="preserve">ELSE</w:t>
      </w:r>
    </w:p>
    <w:p>
      <w:pPr>
        <w:shd w:fill="1E1E1E" w:val="clear"/>
        <w:spacing w:after="20" w:before="20"/>
        <w:ind w:left="360"/>
      </w:pPr>
      <w:r>
        <w:rPr>
          <w:rFonts w:ascii="Courier New" w:cs="Courier New" w:eastAsia="Courier New" w:hAnsi="Courier New"/>
          <w:color w:val="D4D4D4"/>
          <w:sz w:val="16"/>
          <w:szCs w:val="16"/>
        </w:rPr>
        <w:t xml:space="preserve">    MeterReadDate = ContractStartDate  // auto-synced</w:t>
      </w:r>
    </w:p>
    <w:p>
      <w:pPr>
        <w:shd w:fill="1E1E1E" w:val="clear"/>
        <w:spacing w:after="20" w:before="20"/>
        <w:ind w:left="360"/>
      </w:pPr>
      <w:r>
        <w:rPr>
          <w:rFonts w:ascii="Courier New" w:cs="Courier New" w:eastAsia="Courier New" w:hAnsi="Courier New"/>
          <w:color w:val="D4D4D4"/>
          <w:sz w:val="16"/>
          <w:szCs w:val="16"/>
        </w:rPr>
        <w:t xml:space="preserve">    Display Meter Data section</w:t>
      </w:r>
    </w:p>
    <w:p>
      <w:pPr>
        <w:shd w:fill="1E1E1E" w:val="clear"/>
        <w:spacing w:after="20" w:before="20"/>
        <w:ind w:left="360"/>
      </w:pPr>
      <w:r>
        <w:rPr>
          <w:rFonts w:ascii="Courier New" w:cs="Courier New" w:eastAsia="Courier New" w:hAnsi="Courier New"/>
          <w:color w:val="D4D4D4"/>
          <w:sz w:val="16"/>
          <w:szCs w:val="16"/>
        </w:rPr>
        <w:t xml:space="preserve">END IF</w:t>
      </w:r>
    </w:p>
    <w:p>
      <w:pPr>
        <w:shd w:fill="1E1E1E" w:val="clear"/>
        <w:spacing w:after="20" w:before="20"/>
        <w:ind w:left="360"/>
      </w:pPr>
      <w:r>
        <w:rPr>
          <w:rFonts w:ascii="Courier New" w:cs="Courier New" w:eastAsia="Courier New" w:hAnsi="Courier New"/>
          <w:color w:val="D4D4D4"/>
          <w:sz w:val="16"/>
          <w:szCs w:val="16"/>
        </w:rPr>
        <w:t xml:space="preserve"/>
      </w:r>
    </w:p>
    <w:p>
      <w:pPr>
        <w:shd w:fill="1E1E1E" w:val="clear"/>
        <w:spacing w:after="20" w:before="20"/>
        <w:ind w:left="360"/>
      </w:pPr>
      <w:r>
        <w:rPr>
          <w:rFonts w:ascii="Courier New" w:cs="Courier New" w:eastAsia="Courier New" w:hAnsi="Courier New"/>
          <w:color w:val="D4D4D4"/>
          <w:sz w:val="16"/>
          <w:szCs w:val="16"/>
        </w:rPr>
        <w:t xml:space="preserve">// Date Constraints</w:t>
      </w:r>
    </w:p>
    <w:p>
      <w:pPr>
        <w:shd w:fill="1E1E1E" w:val="clear"/>
        <w:spacing w:after="20" w:before="20"/>
        <w:ind w:left="360"/>
      </w:pPr>
      <w:r>
        <w:rPr>
          <w:rFonts w:ascii="Courier New" w:cs="Courier New" w:eastAsia="Courier New" w:hAnsi="Courier New"/>
          <w:color w:val="D4D4D4"/>
          <w:sz w:val="16"/>
          <w:szCs w:val="16"/>
        </w:rPr>
        <w:t xml:space="preserve">ContractStartDate CANNOT be prior to today (unless supervisor override)</w:t>
      </w:r>
    </w:p>
    <w:p>
      <w:pPr>
        <w:shd w:fill="1E1E1E" w:val="clear"/>
        <w:spacing w:after="20" w:before="20"/>
        <w:ind w:left="360"/>
      </w:pPr>
      <w:r>
        <w:rPr>
          <w:rFonts w:ascii="Courier New" w:cs="Courier New" w:eastAsia="Courier New" w:hAnsi="Courier New"/>
          <w:color w:val="D4D4D4"/>
          <w:sz w:val="16"/>
          <w:szCs w:val="16"/>
        </w:rPr>
        <w:t xml:space="preserve">ContractStartDate CANNOT be prior to the ContractEndDate of any prior contract at same premise</w:t>
      </w:r>
    </w:p>
    <w:p>
      <w:pPr>
        <w:spacing w:after="0" w:before="120"/>
      </w:pPr>
    </w:p>
    <w:p>
      <w:pPr>
        <w:pStyle w:val="Heading3"/>
        <w:spacing w:after="80" w:before="200"/>
      </w:pPr>
      <w:r>
        <w:rPr>
          <w:rFonts w:ascii="Arial" w:cs="Arial" w:eastAsia="Arial" w:hAnsi="Arial"/>
          <w:b/>
          <w:bCs/>
          <w:color w:val="2E75B6"/>
          <w:sz w:val="24"/>
          <w:szCs w:val="24"/>
        </w:rPr>
        <w:t xml:space="preserve">3.2.2  Product Questionnaire</w:t>
      </w:r>
    </w:p>
    <w:p>
      <w:pPr>
        <w:spacing w:after="60" w:before="60"/>
      </w:pPr>
      <w:r>
        <w:rPr>
          <w:rFonts w:ascii="Arial" w:cs="Arial" w:eastAsia="Arial" w:hAnsi="Arial"/>
          <w:sz w:val="20"/>
          <w:szCs w:val="20"/>
        </w:rPr>
        <w:t xml:space="preserve">The product questionnaire drives both the Business Agreement (BuAg) auto-population and the IS-U Move-In Workflow parameters. The questionnaire fields differ by product class:</w:t>
      </w:r>
    </w:p>
    <w:p>
      <w:pPr>
        <w:spacing w:after="0" w:before="120"/>
      </w:pP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400"/>
        <w:gridCol w:w="3000"/>
        <w:gridCol w:w="1200"/>
        <w:gridCol w:w="3700"/>
      </w:tblGrid>
      <w:tr>
        <w:trPr>
          <w:tblHeader/>
        </w:trPr>
        <w:tc>
          <w:tcPr>
            <w:tcW w:type="dxa" w:w="14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Product Class</w:t>
            </w:r>
          </w:p>
        </w:tc>
        <w:tc>
          <w:tcPr>
            <w:tcW w:type="dxa" w:w="30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Questionnaire Fields</w:t>
            </w:r>
          </w:p>
        </w:tc>
        <w:tc>
          <w:tcPr>
            <w:tcW w:type="dxa" w:w="12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BuAg Tax Code</w:t>
            </w:r>
          </w:p>
        </w:tc>
        <w:tc>
          <w:tcPr>
            <w:tcW w:type="dxa" w:w="37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Key Workflow Flags Passed</w:t>
            </w:r>
          </w:p>
        </w:tc>
      </w:tr>
      <w:tr>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Residential (RES)</w:t>
            </w:r>
          </w:p>
        </w:tc>
        <w:tc>
          <w:tcPr>
            <w:tcW w:type="dxa" w:w="3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Life Support, Senior (PRIME_TIMER), Primary Residence, Dwelling Type, Fuel Type, Billing Class, Income Assistance</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RT</w:t>
            </w:r>
          </w:p>
        </w:tc>
        <w:tc>
          <w:tcPr>
            <w:tcW w:type="dxa" w:w="3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LIFE_SUPPORT, PRIME_TIMER, PRIMARY_RESIDENCE, DWELLING_TYPE, HOME_HEAT_FUEL, INCOME_ASSISTANCE</w:t>
            </w:r>
          </w:p>
        </w:tc>
      </w:tr>
      <w:tr>
        <w:tc>
          <w:tcPr>
            <w:tcW w:type="dxa" w:w="14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Commercial (COM)</w:t>
            </w:r>
          </w:p>
        </w:tc>
        <w:tc>
          <w:tcPr>
            <w:tcW w:type="dxa" w:w="30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Tax Exempt indicator, Billing Class</w:t>
            </w:r>
          </w:p>
        </w:tc>
        <w:tc>
          <w:tcPr>
            <w:tcW w:type="dxa" w:w="12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CT</w:t>
            </w:r>
          </w:p>
        </w:tc>
        <w:tc>
          <w:tcPr>
            <w:tcW w:type="dxa" w:w="37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TAX_EXEMPT, BILL_CLASS</w:t>
            </w:r>
          </w:p>
        </w:tc>
      </w:tr>
      <w:tr>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Industrial (IND)</w:t>
            </w:r>
          </w:p>
        </w:tc>
        <w:tc>
          <w:tcPr>
            <w:tcW w:type="dxa" w:w="3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Billing Class</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IT</w:t>
            </w:r>
          </w:p>
        </w:tc>
        <w:tc>
          <w:tcPr>
            <w:tcW w:type="dxa" w:w="3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BILL_CLASS</w:t>
            </w:r>
          </w:p>
        </w:tc>
      </w:tr>
    </w:tbl>
    <w:p>
      <w:pPr>
        <w:spacing w:after="0" w:before="120"/>
      </w:pPr>
    </w:p>
    <w:p>
      <w:pPr>
        <w:shd w:fill="F2F2F2" w:val="clear"/>
        <w:spacing w:after="80" w:before="80"/>
        <w:ind w:left="360"/>
      </w:pPr>
      <w:r>
        <w:rPr>
          <w:rFonts w:ascii="Arial" w:cs="Arial" w:eastAsia="Arial" w:hAnsi="Arial"/>
          <w:b/>
          <w:bCs/>
          <w:color w:val="C55A11"/>
          <w:sz w:val="18"/>
          <w:szCs w:val="18"/>
        </w:rPr>
        <w:t xml:space="preserve">⚠ Note: </w:t>
      </w:r>
      <w:r>
        <w:rPr>
          <w:rFonts w:ascii="Arial" w:cs="Arial" w:eastAsia="Arial" w:hAnsi="Arial"/>
          <w:i/>
          <w:iCs/>
          <w:sz w:val="18"/>
          <w:szCs w:val="18"/>
        </w:rPr>
        <w:t xml:space="preserve">Business Agreement Class is always '01' (Energy Account). Tax code is auto-populated via custom API CM-150-090-01-E.MD_ENH_090-BuAg_Default_Fields on Submit.</w:t>
      </w:r>
    </w:p>
    <w:p>
      <w:pPr>
        <w:spacing w:after="0" w:before="120"/>
      </w:pPr>
    </w:p>
    <w:p>
      <w:pPr>
        <w:pStyle w:val="Heading3"/>
        <w:spacing w:after="80" w:before="200"/>
      </w:pPr>
      <w:r>
        <w:rPr>
          <w:rFonts w:ascii="Arial" w:cs="Arial" w:eastAsia="Arial" w:hAnsi="Arial"/>
          <w:b/>
          <w:bCs/>
          <w:color w:val="2E75B6"/>
          <w:sz w:val="24"/>
          <w:szCs w:val="24"/>
        </w:rPr>
        <w:t xml:space="preserve">3.2.3  Security Deposit Logic</w:t>
      </w:r>
    </w:p>
    <w:p>
      <w:pPr>
        <w:spacing w:after="60" w:before="60"/>
      </w:pPr>
      <w:r>
        <w:rPr>
          <w:rFonts w:ascii="Arial" w:cs="Arial" w:eastAsia="Arial" w:hAnsi="Arial"/>
          <w:sz w:val="20"/>
          <w:szCs w:val="20"/>
        </w:rPr>
        <w:t xml:space="preserve">Security deposit determination runs only when FACTA passes or is declined (not when FACTA fails). The system calls ECC function Z_CALC_SECURITY_DEPOSIT for each installation's POD. Three separate checks are evaluated:</w:t>
      </w:r>
    </w:p>
    <w:p>
      <w:pPr>
        <w:spacing w:after="0" w:before="120"/>
      </w:pP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1200"/>
        <w:gridCol w:w="3500"/>
      </w:tblGrid>
      <w:tr>
        <w:trPr>
          <w:tblHeader/>
        </w:trPr>
        <w:tc>
          <w:tcPr>
            <w:tcW w:type="dxa" w:w="14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Check</w:t>
            </w:r>
          </w:p>
        </w:tc>
        <w:tc>
          <w:tcPr>
            <w:tcW w:type="dxa" w:w="32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Condition</w:t>
            </w:r>
          </w:p>
        </w:tc>
        <w:tc>
          <w:tcPr>
            <w:tcW w:type="dxa" w:w="12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Deposit Reason Code</w:t>
            </w:r>
          </w:p>
        </w:tc>
        <w:tc>
          <w:tcPr>
            <w:tcW w:type="dxa" w:w="35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Reason Text</w:t>
            </w:r>
          </w:p>
        </w:tc>
      </w:tr>
      <w:tr>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Dunning Level</w:t>
            </w:r>
          </w:p>
        </w:tc>
        <w:tc>
          <w:tcPr>
            <w:tcW w:type="dxa" w:w="3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BP has BuAg with Dunning Level = 40 AND a DUNN disconnection doc in status 21</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0009</w:t>
            </w:r>
          </w:p>
        </w:tc>
        <w:tc>
          <w:tcPr>
            <w:tcW w:type="dxa" w:w="3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Disconnect Non-Pay</w:t>
            </w:r>
          </w:p>
        </w:tc>
      </w:tr>
      <w:tr>
        <w:tc>
          <w:tcPr>
            <w:tcW w:type="dxa" w:w="14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Unpaid Write-Off</w:t>
            </w:r>
          </w:p>
        </w:tc>
        <w:tc>
          <w:tcPr>
            <w:tcW w:type="dxa" w:w="32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Total unpaid write-off balance ≥ $250 (Stat. Write-off 6999/0010 or Conv. Utility 8010)</w:t>
            </w:r>
          </w:p>
        </w:tc>
        <w:tc>
          <w:tcPr>
            <w:tcW w:type="dxa" w:w="12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0001</w:t>
            </w:r>
          </w:p>
        </w:tc>
        <w:tc>
          <w:tcPr>
            <w:tcW w:type="dxa" w:w="35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Owes Prior Service Account</w:t>
            </w:r>
          </w:p>
        </w:tc>
      </w:tr>
      <w:tr>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Unpaid Final Amount</w:t>
            </w:r>
          </w:p>
        </w:tc>
        <w:tc>
          <w:tcPr>
            <w:tcW w:type="dxa" w:w="3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Total unpaid final bill balance ≥ $250 (Main tx 0200 or 8005, clearing blank, not reversed, due date &lt; today)</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0001</w:t>
            </w:r>
          </w:p>
        </w:tc>
        <w:tc>
          <w:tcPr>
            <w:tcW w:type="dxa" w:w="3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Owes Prior Service Account</w:t>
            </w:r>
          </w:p>
        </w:tc>
      </w:tr>
    </w:tbl>
    <w:p>
      <w:pPr>
        <w:spacing w:after="0" w:before="120"/>
      </w:pPr>
    </w:p>
    <w:p>
      <w:pPr>
        <w:pStyle w:val="Heading3"/>
        <w:spacing w:after="80" w:before="200"/>
      </w:pPr>
      <w:r>
        <w:rPr>
          <w:rFonts w:ascii="Arial" w:cs="Arial" w:eastAsia="Arial" w:hAnsi="Arial"/>
          <w:b/>
          <w:bCs/>
          <w:color w:val="2E75B6"/>
          <w:sz w:val="24"/>
          <w:szCs w:val="24"/>
        </w:rPr>
        <w:t xml:space="preserve">3.2.4  Waiver Logic</w:t>
      </w:r>
    </w:p>
    <w:p>
      <w:pPr>
        <w:shd w:fill="1E1E1E" w:val="clear"/>
        <w:spacing w:after="20" w:before="20"/>
        <w:ind w:left="360"/>
      </w:pPr>
      <w:r>
        <w:rPr>
          <w:rFonts w:ascii="Courier New" w:cs="Courier New" w:eastAsia="Courier New" w:hAnsi="Courier New"/>
          <w:color w:val="D4D4D4"/>
          <w:sz w:val="16"/>
          <w:szCs w:val="16"/>
        </w:rPr>
        <w:t xml:space="preserve">// Security Deposit Waiver Rules</w:t>
      </w:r>
    </w:p>
    <w:p>
      <w:pPr>
        <w:shd w:fill="1E1E1E" w:val="clear"/>
        <w:spacing w:after="20" w:before="20"/>
        <w:ind w:left="360"/>
      </w:pPr>
      <w:r>
        <w:rPr>
          <w:rFonts w:ascii="Courier New" w:cs="Courier New" w:eastAsia="Courier New" w:hAnsi="Courier New"/>
          <w:color w:val="D4D4D4"/>
          <w:sz w:val="16"/>
          <w:szCs w:val="16"/>
        </w:rPr>
        <w:t xml:space="preserve">IF SecurityDeposit &gt; 0 THEN</w:t>
      </w:r>
    </w:p>
    <w:p>
      <w:pPr>
        <w:shd w:fill="1E1E1E" w:val="clear"/>
        <w:spacing w:after="20" w:before="20"/>
        <w:ind w:left="360"/>
      </w:pPr>
      <w:r>
        <w:rPr>
          <w:rFonts w:ascii="Courier New" w:cs="Courier New" w:eastAsia="Courier New" w:hAnsi="Courier New"/>
          <w:color w:val="D4D4D4"/>
          <w:sz w:val="16"/>
          <w:szCs w:val="16"/>
        </w:rPr>
        <w:t xml:space="preserve">    WaiverReason field is ENABLED</w:t>
      </w:r>
    </w:p>
    <w:p>
      <w:pPr>
        <w:shd w:fill="1E1E1E" w:val="clear"/>
        <w:spacing w:after="20" w:before="20"/>
        <w:ind w:left="360"/>
      </w:pPr>
      <w:r>
        <w:rPr>
          <w:rFonts w:ascii="Courier New" w:cs="Courier New" w:eastAsia="Courier New" w:hAnsi="Courier New"/>
          <w:color w:val="D4D4D4"/>
          <w:sz w:val="16"/>
          <w:szCs w:val="16"/>
        </w:rPr>
        <w:t xml:space="preserve">    IF Agent removes SecurityDepositAmount THEN</w:t>
      </w:r>
    </w:p>
    <w:p>
      <w:pPr>
        <w:shd w:fill="1E1E1E" w:val="clear"/>
        <w:spacing w:after="20" w:before="20"/>
        <w:ind w:left="360"/>
      </w:pPr>
      <w:r>
        <w:rPr>
          <w:rFonts w:ascii="Courier New" w:cs="Courier New" w:eastAsia="Courier New" w:hAnsi="Courier New"/>
          <w:color w:val="D4D4D4"/>
          <w:sz w:val="16"/>
          <w:szCs w:val="16"/>
        </w:rPr>
        <w:t xml:space="preserve">        WaiverReason = MANDATORY → Raise Error 110 if blank</w:t>
      </w:r>
    </w:p>
    <w:p>
      <w:pPr>
        <w:shd w:fill="1E1E1E" w:val="clear"/>
        <w:spacing w:after="20" w:before="20"/>
        <w:ind w:left="360"/>
      </w:pPr>
      <w:r>
        <w:rPr>
          <w:rFonts w:ascii="Courier New" w:cs="Courier New" w:eastAsia="Courier New" w:hAnsi="Courier New"/>
          <w:color w:val="D4D4D4"/>
          <w:sz w:val="16"/>
          <w:szCs w:val="16"/>
        </w:rPr>
        <w:t xml:space="preserve">    END IF</w:t>
      </w:r>
    </w:p>
    <w:p>
      <w:pPr>
        <w:shd w:fill="1E1E1E" w:val="clear"/>
        <w:spacing w:after="20" w:before="20"/>
        <w:ind w:left="360"/>
      </w:pPr>
      <w:r>
        <w:rPr>
          <w:rFonts w:ascii="Courier New" w:cs="Courier New" w:eastAsia="Courier New" w:hAnsi="Courier New"/>
          <w:color w:val="D4D4D4"/>
          <w:sz w:val="16"/>
          <w:szCs w:val="16"/>
        </w:rPr>
        <w:t xml:space="preserve">END IF</w:t>
      </w:r>
    </w:p>
    <w:p>
      <w:pPr>
        <w:shd w:fill="1E1E1E" w:val="clear"/>
        <w:spacing w:after="20" w:before="20"/>
        <w:ind w:left="360"/>
      </w:pPr>
      <w:r>
        <w:rPr>
          <w:rFonts w:ascii="Courier New" w:cs="Courier New" w:eastAsia="Courier New" w:hAnsi="Courier New"/>
          <w:color w:val="D4D4D4"/>
          <w:sz w:val="16"/>
          <w:szCs w:val="16"/>
        </w:rPr>
        <w:t xml:space="preserve"/>
      </w:r>
    </w:p>
    <w:p>
      <w:pPr>
        <w:shd w:fill="1E1E1E" w:val="clear"/>
        <w:spacing w:after="20" w:before="20"/>
        <w:ind w:left="360"/>
      </w:pPr>
      <w:r>
        <w:rPr>
          <w:rFonts w:ascii="Courier New" w:cs="Courier New" w:eastAsia="Courier New" w:hAnsi="Courier New"/>
          <w:color w:val="D4D4D4"/>
          <w:sz w:val="16"/>
          <w:szCs w:val="16"/>
        </w:rPr>
        <w:t xml:space="preserve">// Waiver Reason Codes</w:t>
      </w:r>
    </w:p>
    <w:p>
      <w:pPr>
        <w:shd w:fill="1E1E1E" w:val="clear"/>
        <w:spacing w:after="20" w:before="20"/>
        <w:ind w:left="360"/>
      </w:pPr>
      <w:r>
        <w:rPr>
          <w:rFonts w:ascii="Courier New" w:cs="Courier New" w:eastAsia="Courier New" w:hAnsi="Courier New"/>
          <w:color w:val="D4D4D4"/>
          <w:sz w:val="16"/>
          <w:szCs w:val="16"/>
        </w:rPr>
        <w:t xml:space="preserve">0001 = Good Credit</w:t>
      </w:r>
    </w:p>
    <w:p>
      <w:pPr>
        <w:shd w:fill="1E1E1E" w:val="clear"/>
        <w:spacing w:after="20" w:before="20"/>
        <w:ind w:left="360"/>
      </w:pPr>
      <w:r>
        <w:rPr>
          <w:rFonts w:ascii="Courier New" w:cs="Courier New" w:eastAsia="Courier New" w:hAnsi="Courier New"/>
          <w:color w:val="D4D4D4"/>
          <w:sz w:val="16"/>
          <w:szCs w:val="16"/>
        </w:rPr>
        <w:t xml:space="preserve">0002 = Low Consumption</w:t>
      </w:r>
    </w:p>
    <w:p>
      <w:pPr>
        <w:shd w:fill="1E1E1E" w:val="clear"/>
        <w:spacing w:after="20" w:before="20"/>
        <w:ind w:left="360"/>
      </w:pPr>
      <w:r>
        <w:rPr>
          <w:rFonts w:ascii="Courier New" w:cs="Courier New" w:eastAsia="Courier New" w:hAnsi="Courier New"/>
          <w:color w:val="D4D4D4"/>
          <w:sz w:val="16"/>
          <w:szCs w:val="16"/>
        </w:rPr>
        <w:t xml:space="preserve">0003 = Assistance / SPP or WPP Enrollment</w:t>
      </w:r>
    </w:p>
    <w:p>
      <w:pPr>
        <w:shd w:fill="1E1E1E" w:val="clear"/>
        <w:spacing w:after="20" w:before="20"/>
        <w:ind w:left="360"/>
      </w:pPr>
      <w:r>
        <w:rPr>
          <w:rFonts w:ascii="Courier New" w:cs="Courier New" w:eastAsia="Courier New" w:hAnsi="Courier New"/>
          <w:color w:val="D4D4D4"/>
          <w:sz w:val="16"/>
          <w:szCs w:val="16"/>
        </w:rPr>
        <w:t xml:space="preserve">0004 = Company Error</w:t>
      </w:r>
    </w:p>
    <w:p>
      <w:pPr>
        <w:spacing w:after="0" w:before="120"/>
      </w:pPr>
    </w:p>
    <w:p>
      <w:pPr>
        <w:pStyle w:val="Heading3"/>
        <w:spacing w:after="80" w:before="200"/>
      </w:pPr>
      <w:r>
        <w:rPr>
          <w:rFonts w:ascii="Arial" w:cs="Arial" w:eastAsia="Arial" w:hAnsi="Arial"/>
          <w:b/>
          <w:bCs/>
          <w:color w:val="2E75B6"/>
          <w:sz w:val="24"/>
          <w:szCs w:val="24"/>
        </w:rPr>
        <w:t xml:space="preserve">3.2.5  Seasonal Connection Fee</w:t>
      </w:r>
    </w:p>
    <w:p>
      <w:pPr>
        <w:shd w:fill="E2EFDA" w:val="clear"/>
        <w:spacing w:after="80" w:before="80"/>
        <w:ind w:left="360"/>
      </w:pPr>
      <w:r>
        <w:rPr>
          <w:rFonts w:ascii="Arial" w:cs="Arial" w:eastAsia="Arial" w:hAnsi="Arial"/>
          <w:b/>
          <w:bCs/>
          <w:color w:val="375623"/>
          <w:sz w:val="18"/>
          <w:szCs w:val="18"/>
        </w:rPr>
        <w:t xml:space="preserve">✔ Rule: </w:t>
      </w:r>
      <w:r>
        <w:rPr>
          <w:rFonts w:ascii="Arial" w:cs="Arial" w:eastAsia="Arial" w:hAnsi="Arial"/>
          <w:sz w:val="18"/>
          <w:szCs w:val="18"/>
        </w:rPr>
        <w:t xml:space="preserve">A Seasonal Connection Fee applies when: same BP moves into same premise AND a customer-requested disconnection document exists within 1 year AND FACTA did not fail.</w:t>
      </w:r>
    </w:p>
    <w:p>
      <w:pPr>
        <w:spacing w:after="60" w:before="60"/>
      </w:pPr>
      <w:r>
        <w:rPr>
          <w:rFonts w:ascii="Arial" w:cs="Arial" w:eastAsia="Arial" w:hAnsi="Arial"/>
          <w:sz w:val="20"/>
          <w:szCs w:val="20"/>
        </w:rPr>
        <w:t xml:space="preserve">System calls ECC Function Module FKK_CALC_CHARGE with Charge ID = 'R2' and Charge Type = 'R2'. The resulting amount is editable by the agent (can be waived by removing the amount).</w:t>
      </w:r>
    </w:p>
    <w:p>
      <w:pPr>
        <w:spacing w:after="0" w:before="120"/>
      </w:pPr>
    </w:p>
    <w:p>
      <w:pPr>
        <w:pStyle w:val="Heading3"/>
        <w:spacing w:after="80" w:before="200"/>
      </w:pPr>
      <w:r>
        <w:rPr>
          <w:rFonts w:ascii="Arial" w:cs="Arial" w:eastAsia="Arial" w:hAnsi="Arial"/>
          <w:b/>
          <w:bCs/>
          <w:color w:val="2E75B6"/>
          <w:sz w:val="24"/>
          <w:szCs w:val="24"/>
        </w:rPr>
        <w:t xml:space="preserve">3.2.6  WPP / SPP Alert</w:t>
      </w:r>
    </w:p>
    <w:p>
      <w:pPr>
        <w:spacing w:after="60" w:before="60"/>
      </w:pPr>
      <w:r>
        <w:rPr>
          <w:rFonts w:ascii="Arial" w:cs="Arial" w:eastAsia="Arial" w:hAnsi="Arial"/>
          <w:sz w:val="20"/>
          <w:szCs w:val="20"/>
        </w:rPr>
        <w:t xml:space="preserve">If the customer enrolls in Winter Protection Plan (WPP) or Special Protection Plan (SPP) AND an open Dunning Disconnect exists for the contract account, an alert fires prompting a reconnect order. The agent clicks the alert to jump to the reconnect OIL screen.</w:t>
      </w:r>
    </w:p>
    <w:p>
      <w:pPr>
        <w:spacing w:after="0" w:before="120"/>
      </w:pPr>
    </w:p>
    <w:p>
      <w:r>
        <w:br w:type="page"/>
      </w:r>
    </w:p>
    <w:p>
      <w:pPr>
        <w:pStyle w:val="Heading1"/>
        <w:pBdr>
          <w:bottom w:val="single" w:color="2E75B6" w:sz="4"/>
        </w:pBdr>
        <w:shd w:fill="1F3864" w:val="clear"/>
        <w:spacing w:after="120" w:before="360"/>
        <w:ind w:left="120" w:right="120"/>
      </w:pPr>
      <w:r>
        <w:rPr>
          <w:rFonts w:ascii="Arial" w:cs="Arial" w:eastAsia="Arial" w:hAnsi="Arial"/>
          <w:b/>
          <w:bCs/>
          <w:color w:val="FFFFFF"/>
          <w:sz w:val="36"/>
          <w:szCs w:val="36"/>
        </w:rPr>
        <w:t xml:space="preserve">4. Meter Order Matrix (MOM) &amp; BRFplus Decision Engine</w:t>
      </w:r>
    </w:p>
    <w:p>
      <w:pPr>
        <w:spacing w:after="0" w:before="120"/>
      </w:pPr>
    </w:p>
    <w:p>
      <w:pPr>
        <w:spacing w:after="60" w:before="60"/>
      </w:pPr>
      <w:r>
        <w:rPr>
          <w:rFonts w:ascii="Arial" w:cs="Arial" w:eastAsia="Arial" w:hAnsi="Arial"/>
          <w:sz w:val="20"/>
          <w:szCs w:val="20"/>
        </w:rPr>
        <w:t xml:space="preserve">The Meter Order Matrix is the core of the Move-In order-determination logic. It replaces hardcoded order-type assignments with a configurable BRFplus function that evaluates meter attributes and questionnaire responses to derive the correct IS-U Service Order code(s).</w:t>
      </w:r>
    </w:p>
    <w:p>
      <w:pPr>
        <w:spacing w:after="0" w:before="120"/>
      </w:pPr>
    </w:p>
    <w:p>
      <w:pPr>
        <w:pStyle w:val="Heading2"/>
        <w:pBdr>
          <w:bottom w:val="single" w:color="2E75B6" w:sz="3" w:space="1"/>
        </w:pBdr>
        <w:spacing w:after="100" w:before="280"/>
      </w:pPr>
      <w:r>
        <w:rPr>
          <w:rFonts w:ascii="Arial" w:cs="Arial" w:eastAsia="Arial" w:hAnsi="Arial"/>
          <w:b/>
          <w:bCs/>
          <w:color w:val="1F3864"/>
          <w:sz w:val="28"/>
          <w:szCs w:val="28"/>
        </w:rPr>
        <w:t xml:space="preserve">4.1  MOM Display Rules</w:t>
      </w:r>
    </w:p>
    <w:p>
      <w:pPr>
        <w:pStyle w:val="ListParagraph"/>
        <w:numPr>
          <w:ilvl w:val="0"/>
          <w:numId w:val="2"/>
        </w:numPr>
        <w:spacing w:after="40" w:before="40"/>
      </w:pPr>
      <w:r>
        <w:rPr>
          <w:rFonts w:ascii="Arial" w:cs="Arial" w:eastAsia="Arial" w:hAnsi="Arial"/>
          <w:sz w:val="20"/>
          <w:szCs w:val="20"/>
        </w:rPr>
        <w:t xml:space="preserve">All rows presented correspond to installations with KOMBINAT = 'Z' (meter devices only — excludes gas regulators, CT/VT, correctors).</w:t>
      </w:r>
    </w:p>
    <w:p>
      <w:pPr>
        <w:pStyle w:val="ListParagraph"/>
        <w:numPr>
          <w:ilvl w:val="0"/>
          <w:numId w:val="2"/>
        </w:numPr>
        <w:spacing w:after="40" w:before="40"/>
      </w:pPr>
      <w:r>
        <w:rPr>
          <w:rFonts w:ascii="Arial" w:cs="Arial" w:eastAsia="Arial" w:hAnsi="Arial"/>
          <w:sz w:val="20"/>
          <w:szCs w:val="20"/>
        </w:rPr>
        <w:t xml:space="preserve">Only Electric (01) and Gas (02) division installations are shown.</w:t>
      </w:r>
    </w:p>
    <w:p>
      <w:pPr>
        <w:pStyle w:val="ListParagraph"/>
        <w:numPr>
          <w:ilvl w:val="0"/>
          <w:numId w:val="2"/>
        </w:numPr>
        <w:spacing w:after="40" w:before="40"/>
      </w:pPr>
      <w:r>
        <w:rPr>
          <w:rFonts w:ascii="Arial" w:cs="Arial" w:eastAsia="Arial" w:hAnsi="Arial"/>
          <w:sz w:val="20"/>
          <w:szCs w:val="20"/>
        </w:rPr>
        <w:t xml:space="preserve">If a single energy type exists at the premise, that row is pre-selected. If multiple exist, the agent selects one or more rows.</w:t>
      </w:r>
    </w:p>
    <w:p>
      <w:pPr>
        <w:pStyle w:val="ListParagraph"/>
        <w:numPr>
          <w:ilvl w:val="0"/>
          <w:numId w:val="2"/>
        </w:numPr>
        <w:spacing w:after="40" w:before="40"/>
      </w:pPr>
      <w:r>
        <w:rPr>
          <w:rFonts w:ascii="Arial" w:cs="Arial" w:eastAsia="Arial" w:hAnsi="Arial"/>
          <w:sz w:val="20"/>
          <w:szCs w:val="20"/>
        </w:rPr>
        <w:t xml:space="preserve">At least one row must be selected to proceed.</w:t>
      </w:r>
    </w:p>
    <w:p>
      <w:pPr>
        <w:spacing w:after="0" w:before="120"/>
      </w:pPr>
    </w:p>
    <w:p>
      <w:pPr>
        <w:pStyle w:val="Heading2"/>
        <w:pBdr>
          <w:bottom w:val="single" w:color="2E75B6" w:sz="3" w:space="1"/>
        </w:pBdr>
        <w:spacing w:after="100" w:before="280"/>
      </w:pPr>
      <w:r>
        <w:rPr>
          <w:rFonts w:ascii="Arial" w:cs="Arial" w:eastAsia="Arial" w:hAnsi="Arial"/>
          <w:b/>
          <w:bCs/>
          <w:color w:val="1F3864"/>
          <w:sz w:val="28"/>
          <w:szCs w:val="28"/>
        </w:rPr>
        <w:t xml:space="preserve">4.2  BRFplus Function: DETERMINE_MOM_ORDER_CODES</w:t>
      </w:r>
    </w:p>
    <w:p>
      <w:pPr>
        <w:spacing w:after="60" w:before="60"/>
      </w:pPr>
      <w:r>
        <w:rPr>
          <w:rFonts w:ascii="Arial" w:cs="Arial" w:eastAsia="Arial" w:hAnsi="Arial"/>
          <w:sz w:val="20"/>
          <w:szCs w:val="20"/>
        </w:rPr>
        <w:t xml:space="preserve">This configurable BRFplus function is called with the agent-selected MOM row(s) as input. It evaluates the following decision dimensions:</w:t>
      </w:r>
    </w:p>
    <w:p>
      <w:pPr>
        <w:spacing w:after="0" w:before="120"/>
      </w:pP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00"/>
      </w:tblGrid>
      <w:tr>
        <w:trPr>
          <w:tblHeader/>
        </w:trPr>
        <w:tc>
          <w:tcPr>
            <w:tcW w:type="dxa" w:w="20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Decision Input</w:t>
            </w:r>
          </w:p>
        </w:tc>
        <w:tc>
          <w:tcPr>
            <w:tcW w:type="dxa" w:w="20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Source</w:t>
            </w:r>
          </w:p>
        </w:tc>
        <w:tc>
          <w:tcPr>
            <w:tcW w:type="dxa" w:w="53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Values / Evaluation</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Energy Type</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MOM row (installation division)</w:t>
            </w:r>
          </w:p>
        </w:tc>
        <w:tc>
          <w:tcPr>
            <w:tcW w:type="dxa" w:w="53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01 = Electric, 02 = Gas</w:t>
            </w:r>
          </w:p>
        </w:tc>
      </w:tr>
      <w:tr>
        <w:tc>
          <w:tcPr>
            <w:tcW w:type="dxa" w:w="20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Meter Present (Current)</w:t>
            </w:r>
          </w:p>
        </w:tc>
        <w:tc>
          <w:tcPr>
            <w:tcW w:type="dxa" w:w="20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KOMBINAT field on device; MOM row</w:t>
            </w:r>
          </w:p>
        </w:tc>
        <w:tc>
          <w:tcPr>
            <w:tcW w:type="dxa" w:w="53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Y = Meter exists, N = No current device</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Meter Previously Existed</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Historical device records in IS-U</w:t>
            </w:r>
          </w:p>
        </w:tc>
        <w:tc>
          <w:tcPr>
            <w:tcW w:type="dxa" w:w="53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Y = Re-install eligible, N = New Business required</w:t>
            </w:r>
          </w:p>
        </w:tc>
      </w:tr>
      <w:tr>
        <w:tc>
          <w:tcPr>
            <w:tcW w:type="dxa" w:w="20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Disconnect Type</w:t>
            </w:r>
          </w:p>
        </w:tc>
        <w:tc>
          <w:tcPr>
            <w:tcW w:type="dxa" w:w="20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Gas installation disconnect document</w:t>
            </w:r>
          </w:p>
        </w:tc>
        <w:tc>
          <w:tcPr>
            <w:tcW w:type="dxa" w:w="53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06 = Cap &amp; Capped → escalate to Alteration</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Hardship Flag</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Scheduling screen (Reconnect tree)</w:t>
            </w:r>
          </w:p>
        </w:tc>
        <w:tc>
          <w:tcPr>
            <w:tcW w:type="dxa" w:w="53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Y = Hardship, N = Standard</w:t>
            </w:r>
          </w:p>
        </w:tc>
      </w:tr>
      <w:tr>
        <w:tc>
          <w:tcPr>
            <w:tcW w:type="dxa" w:w="20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AMI Meter Indicator</w:t>
            </w:r>
          </w:p>
        </w:tc>
        <w:tc>
          <w:tcPr>
            <w:tcW w:type="dxa" w:w="20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Device category / meter type</w:t>
            </w:r>
          </w:p>
        </w:tc>
        <w:tc>
          <w:tcPr>
            <w:tcW w:type="dxa" w:w="53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Y = AMI screens variant, N = Standard</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Open Order Exists</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OPEN_ORDER_CHECK result</w:t>
            </w:r>
          </w:p>
        </w:tc>
        <w:tc>
          <w:tcPr>
            <w:tcW w:type="dxa" w:w="53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Y = Warning or Block, N = Proceed</w:t>
            </w:r>
          </w:p>
        </w:tc>
      </w:tr>
    </w:tbl>
    <w:p>
      <w:pPr>
        <w:spacing w:after="0" w:before="120"/>
      </w:pPr>
    </w:p>
    <w:p>
      <w:pPr>
        <w:pStyle w:val="Heading2"/>
        <w:pBdr>
          <w:bottom w:val="single" w:color="2E75B6" w:sz="3" w:space="1"/>
        </w:pBdr>
        <w:spacing w:after="100" w:before="280"/>
      </w:pPr>
      <w:r>
        <w:rPr>
          <w:rFonts w:ascii="Arial" w:cs="Arial" w:eastAsia="Arial" w:hAnsi="Arial"/>
          <w:b/>
          <w:bCs/>
          <w:color w:val="1F3864"/>
          <w:sz w:val="28"/>
          <w:szCs w:val="28"/>
        </w:rPr>
        <w:t xml:space="preserve">4.3  Meter Order Matrix — Move-In Order Code Mapping</w:t>
      </w:r>
    </w:p>
    <w:p>
      <w:pPr>
        <w:spacing w:after="0" w:before="120"/>
      </w:pP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200"/>
        <w:gridCol w:w="800"/>
        <w:gridCol w:w="1100"/>
        <w:gridCol w:w="1200"/>
        <w:gridCol w:w="1800"/>
        <w:gridCol w:w="3200"/>
      </w:tblGrid>
      <w:tr>
        <w:trPr>
          <w:tblHeader/>
        </w:trPr>
        <w:tc>
          <w:tcPr>
            <w:tcW w:type="dxa" w:w="12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Meter State</w:t>
            </w:r>
          </w:p>
        </w:tc>
        <w:tc>
          <w:tcPr>
            <w:tcW w:type="dxa" w:w="8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Energy</w:t>
            </w:r>
          </w:p>
        </w:tc>
        <w:tc>
          <w:tcPr>
            <w:tcW w:type="dxa" w:w="11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History</w:t>
            </w:r>
          </w:p>
        </w:tc>
        <w:tc>
          <w:tcPr>
            <w:tcW w:type="dxa" w:w="12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Disc Type</w:t>
            </w:r>
          </w:p>
        </w:tc>
        <w:tc>
          <w:tcPr>
            <w:tcW w:type="dxa" w:w="18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Derived Order Code</w:t>
            </w:r>
          </w:p>
        </w:tc>
        <w:tc>
          <w:tcPr>
            <w:tcW w:type="dxa" w:w="32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Order Description</w:t>
            </w:r>
          </w:p>
        </w:tc>
      </w:tr>
      <w:tr>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No Meter</w:t>
            </w:r>
          </w:p>
        </w:tc>
        <w:tc>
          <w:tcPr>
            <w:tcW w:type="dxa" w:w="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Electric</w:t>
            </w:r>
          </w:p>
        </w:tc>
        <w:tc>
          <w:tcPr>
            <w:tcW w:type="dxa" w:w="1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Prior meter exists</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N/A</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ELEC_REINSTALL</w:t>
            </w:r>
          </w:p>
        </w:tc>
        <w:tc>
          <w:tcPr>
            <w:tcW w:type="dxa" w:w="3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Electric Meter Re-Install</w:t>
            </w:r>
          </w:p>
        </w:tc>
      </w:tr>
      <w:tr>
        <w:tc>
          <w:tcPr>
            <w:tcW w:type="dxa" w:w="12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No Meter</w:t>
            </w:r>
          </w:p>
        </w:tc>
        <w:tc>
          <w:tcPr>
            <w:tcW w:type="dxa" w:w="8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Electric</w:t>
            </w:r>
          </w:p>
        </w:tc>
        <w:tc>
          <w:tcPr>
            <w:tcW w:type="dxa" w:w="11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No prior meter</w:t>
            </w:r>
          </w:p>
        </w:tc>
        <w:tc>
          <w:tcPr>
            <w:tcW w:type="dxa" w:w="12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N/A</w:t>
            </w:r>
          </w:p>
        </w:tc>
        <w:tc>
          <w:tcPr>
            <w:tcW w:type="dxa" w:w="18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ERROR → New Business</w:t>
            </w:r>
          </w:p>
        </w:tc>
        <w:tc>
          <w:tcPr>
            <w:tcW w:type="dxa" w:w="32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Stop: Create New Business Service Request</w:t>
            </w:r>
          </w:p>
        </w:tc>
      </w:tr>
      <w:tr>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No Meter</w:t>
            </w:r>
          </w:p>
        </w:tc>
        <w:tc>
          <w:tcPr>
            <w:tcW w:type="dxa" w:w="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Gas</w:t>
            </w:r>
          </w:p>
        </w:tc>
        <w:tc>
          <w:tcPr>
            <w:tcW w:type="dxa" w:w="1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Prior meter exists</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N/A</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GAS_REINSTALL</w:t>
            </w:r>
          </w:p>
        </w:tc>
        <w:tc>
          <w:tcPr>
            <w:tcW w:type="dxa" w:w="3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Gas Meter Re-Install</w:t>
            </w:r>
          </w:p>
        </w:tc>
      </w:tr>
      <w:tr>
        <w:tc>
          <w:tcPr>
            <w:tcW w:type="dxa" w:w="12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No Meter</w:t>
            </w:r>
          </w:p>
        </w:tc>
        <w:tc>
          <w:tcPr>
            <w:tcW w:type="dxa" w:w="8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Gas</w:t>
            </w:r>
          </w:p>
        </w:tc>
        <w:tc>
          <w:tcPr>
            <w:tcW w:type="dxa" w:w="11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No prior meter</w:t>
            </w:r>
          </w:p>
        </w:tc>
        <w:tc>
          <w:tcPr>
            <w:tcW w:type="dxa" w:w="12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N/A</w:t>
            </w:r>
          </w:p>
        </w:tc>
        <w:tc>
          <w:tcPr>
            <w:tcW w:type="dxa" w:w="18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ERROR → New Business</w:t>
            </w:r>
          </w:p>
        </w:tc>
        <w:tc>
          <w:tcPr>
            <w:tcW w:type="dxa" w:w="32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Stop: Create New Business Service Request</w:t>
            </w:r>
          </w:p>
        </w:tc>
      </w:tr>
      <w:tr>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No Meter</w:t>
            </w:r>
          </w:p>
        </w:tc>
        <w:tc>
          <w:tcPr>
            <w:tcW w:type="dxa" w:w="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Gas</w:t>
            </w:r>
          </w:p>
        </w:tc>
        <w:tc>
          <w:tcPr>
            <w:tcW w:type="dxa" w:w="1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Any</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06 (Cap/Capped)</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GAS_ALTERATION</w:t>
            </w:r>
          </w:p>
        </w:tc>
        <w:tc>
          <w:tcPr>
            <w:tcW w:type="dxa" w:w="3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Gas Alteration (designer review)</w:t>
            </w:r>
          </w:p>
        </w:tc>
      </w:tr>
      <w:tr>
        <w:tc>
          <w:tcPr>
            <w:tcW w:type="dxa" w:w="12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Meter Present</w:t>
            </w:r>
          </w:p>
        </w:tc>
        <w:tc>
          <w:tcPr>
            <w:tcW w:type="dxa" w:w="8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Electric</w:t>
            </w:r>
          </w:p>
        </w:tc>
        <w:tc>
          <w:tcPr>
            <w:tcW w:type="dxa" w:w="11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Any</w:t>
            </w:r>
          </w:p>
        </w:tc>
        <w:tc>
          <w:tcPr>
            <w:tcW w:type="dxa" w:w="12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N/A</w:t>
            </w:r>
          </w:p>
        </w:tc>
        <w:tc>
          <w:tcPr>
            <w:tcW w:type="dxa" w:w="18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ERROR</w:t>
            </w:r>
          </w:p>
        </w:tc>
        <w:tc>
          <w:tcPr>
            <w:tcW w:type="dxa" w:w="32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Stop: Meter already exists; New Business if additional</w:t>
            </w:r>
          </w:p>
        </w:tc>
      </w:tr>
      <w:tr>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Meter Present</w:t>
            </w:r>
          </w:p>
        </w:tc>
        <w:tc>
          <w:tcPr>
            <w:tcW w:type="dxa" w:w="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Gas</w:t>
            </w:r>
          </w:p>
        </w:tc>
        <w:tc>
          <w:tcPr>
            <w:tcW w:type="dxa" w:w="1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Any</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N/A</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ERROR</w:t>
            </w:r>
          </w:p>
        </w:tc>
        <w:tc>
          <w:tcPr>
            <w:tcW w:type="dxa" w:w="3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Stop: Meter already exists; New Business if additional</w:t>
            </w:r>
          </w:p>
        </w:tc>
      </w:tr>
      <w:tr>
        <w:tc>
          <w:tcPr>
            <w:tcW w:type="dxa" w:w="12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Meter Present (AMI)</w:t>
            </w:r>
          </w:p>
        </w:tc>
        <w:tc>
          <w:tcPr>
            <w:tcW w:type="dxa" w:w="8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Electric</w:t>
            </w:r>
          </w:p>
        </w:tc>
        <w:tc>
          <w:tcPr>
            <w:tcW w:type="dxa" w:w="11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N/A</w:t>
            </w:r>
          </w:p>
        </w:tc>
        <w:tc>
          <w:tcPr>
            <w:tcW w:type="dxa" w:w="12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N/A</w:t>
            </w:r>
          </w:p>
        </w:tc>
        <w:tc>
          <w:tcPr>
            <w:tcW w:type="dxa" w:w="18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ELEC_READ_AMI</w:t>
            </w:r>
          </w:p>
        </w:tc>
        <w:tc>
          <w:tcPr>
            <w:tcW w:type="dxa" w:w="32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Electric AMI Meter Read Notification</w:t>
            </w:r>
          </w:p>
        </w:tc>
      </w:tr>
      <w:tr>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Meter Present (AMI)</w:t>
            </w:r>
          </w:p>
        </w:tc>
        <w:tc>
          <w:tcPr>
            <w:tcW w:type="dxa" w:w="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Gas</w:t>
            </w:r>
          </w:p>
        </w:tc>
        <w:tc>
          <w:tcPr>
            <w:tcW w:type="dxa" w:w="1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N/A</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N/A</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GAS_READ_AMI</w:t>
            </w:r>
          </w:p>
        </w:tc>
        <w:tc>
          <w:tcPr>
            <w:tcW w:type="dxa" w:w="3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Gas AMI Meter Read Notification</w:t>
            </w:r>
          </w:p>
        </w:tc>
      </w:tr>
      <w:tr>
        <w:tc>
          <w:tcPr>
            <w:tcW w:type="dxa" w:w="12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Meter Present (Standard)</w:t>
            </w:r>
          </w:p>
        </w:tc>
        <w:tc>
          <w:tcPr>
            <w:tcW w:type="dxa" w:w="8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Electric</w:t>
            </w:r>
          </w:p>
        </w:tc>
        <w:tc>
          <w:tcPr>
            <w:tcW w:type="dxa" w:w="11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N/A</w:t>
            </w:r>
          </w:p>
        </w:tc>
        <w:tc>
          <w:tcPr>
            <w:tcW w:type="dxa" w:w="12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N/A</w:t>
            </w:r>
          </w:p>
        </w:tc>
        <w:tc>
          <w:tcPr>
            <w:tcW w:type="dxa" w:w="18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ELEC_READ</w:t>
            </w:r>
          </w:p>
        </w:tc>
        <w:tc>
          <w:tcPr>
            <w:tcW w:type="dxa" w:w="32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Electric Meter Read Notification</w:t>
            </w:r>
          </w:p>
        </w:tc>
      </w:tr>
      <w:tr>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Meter Present (Standard)</w:t>
            </w:r>
          </w:p>
        </w:tc>
        <w:tc>
          <w:tcPr>
            <w:tcW w:type="dxa" w:w="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Gas</w:t>
            </w:r>
          </w:p>
        </w:tc>
        <w:tc>
          <w:tcPr>
            <w:tcW w:type="dxa" w:w="1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N/A</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N/A</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GAS_READ</w:t>
            </w:r>
          </w:p>
        </w:tc>
        <w:tc>
          <w:tcPr>
            <w:tcW w:type="dxa" w:w="3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Gas Meter Read Notification</w:t>
            </w:r>
          </w:p>
        </w:tc>
      </w:tr>
    </w:tbl>
    <w:p>
      <w:pPr>
        <w:spacing w:after="0" w:before="120"/>
      </w:pPr>
    </w:p>
    <w:p>
      <w:pPr>
        <w:shd w:fill="F2F2F2" w:val="clear"/>
        <w:spacing w:after="80" w:before="80"/>
        <w:ind w:left="360"/>
      </w:pPr>
      <w:r>
        <w:rPr>
          <w:rFonts w:ascii="Arial" w:cs="Arial" w:eastAsia="Arial" w:hAnsi="Arial"/>
          <w:b/>
          <w:bCs/>
          <w:color w:val="C55A11"/>
          <w:sz w:val="18"/>
          <w:szCs w:val="18"/>
        </w:rPr>
        <w:t xml:space="preserve">⚠ Note: </w:t>
      </w:r>
      <w:r>
        <w:rPr>
          <w:rFonts w:ascii="Arial" w:cs="Arial" w:eastAsia="Arial" w:hAnsi="Arial"/>
          <w:i/>
          <w:iCs/>
          <w:sz w:val="18"/>
          <w:szCs w:val="18"/>
        </w:rPr>
        <w:t xml:space="preserve">The material number of the prior meter must be stored on the newly created re-install order. Validate via the IS-U install meter FOP logic.</w:t>
      </w:r>
    </w:p>
    <w:p>
      <w:pPr>
        <w:spacing w:after="0" w:before="120"/>
      </w:pPr>
    </w:p>
    <w:p>
      <w:pPr>
        <w:pStyle w:val="Heading2"/>
        <w:pBdr>
          <w:bottom w:val="single" w:color="2E75B6" w:sz="3" w:space="1"/>
        </w:pBdr>
        <w:spacing w:after="100" w:before="280"/>
      </w:pPr>
      <w:r>
        <w:rPr>
          <w:rFonts w:ascii="Arial" w:cs="Arial" w:eastAsia="Arial" w:hAnsi="Arial"/>
          <w:b/>
          <w:bCs/>
          <w:color w:val="1F3864"/>
          <w:sz w:val="28"/>
          <w:szCs w:val="28"/>
        </w:rPr>
        <w:t xml:space="preserve">4.4  Open Order Check Logic (Special Check Code = MOM)</w:t>
      </w:r>
    </w:p>
    <w:p>
      <w:pPr>
        <w:spacing w:after="60" w:before="60"/>
      </w:pPr>
      <w:r>
        <w:rPr>
          <w:rFonts w:ascii="Arial" w:cs="Arial" w:eastAsia="Arial" w:hAnsi="Arial"/>
          <w:sz w:val="20"/>
          <w:szCs w:val="20"/>
        </w:rPr>
        <w:t xml:space="preserve">Before creating any order, the system checks for existing open orders of the same type. The MOM check type calls BRFplus function DETERMINE_MOM_ORDER_CODES first (to determine candidate order codes), then queries IS-U for open orders matching those codes.</w:t>
      </w:r>
    </w:p>
    <w:p>
      <w:pPr>
        <w:spacing w:after="0" w:before="120"/>
      </w:pPr>
    </w:p>
    <w:p>
      <w:pPr>
        <w:shd w:fill="1E1E1E" w:val="clear"/>
        <w:spacing w:after="20" w:before="20"/>
        <w:ind w:left="360"/>
      </w:pPr>
      <w:r>
        <w:rPr>
          <w:rFonts w:ascii="Courier New" w:cs="Courier New" w:eastAsia="Courier New" w:hAnsi="Courier New"/>
          <w:color w:val="D4D4D4"/>
          <w:sz w:val="16"/>
          <w:szCs w:val="16"/>
        </w:rPr>
        <w:t xml:space="preserve">// Open Order Check — MOM Type</w:t>
      </w:r>
    </w:p>
    <w:p>
      <w:pPr>
        <w:shd w:fill="1E1E1E" w:val="clear"/>
        <w:spacing w:after="20" w:before="20"/>
        <w:ind w:left="360"/>
      </w:pPr>
      <w:r>
        <w:rPr>
          <w:rFonts w:ascii="Courier New" w:cs="Courier New" w:eastAsia="Courier New" w:hAnsi="Courier New"/>
          <w:color w:val="D4D4D4"/>
          <w:sz w:val="16"/>
          <w:szCs w:val="16"/>
        </w:rPr>
        <w:t xml:space="preserve">FUNCTION OPEN_ORDER_CHECK(SpecialCheckCode = 'MOM', MOM_Entries[])</w:t>
      </w:r>
    </w:p>
    <w:p>
      <w:pPr>
        <w:shd w:fill="1E1E1E" w:val="clear"/>
        <w:spacing w:after="20" w:before="20"/>
        <w:ind w:left="360"/>
      </w:pPr>
      <w:r>
        <w:rPr>
          <w:rFonts w:ascii="Courier New" w:cs="Courier New" w:eastAsia="Courier New" w:hAnsi="Courier New"/>
          <w:color w:val="D4D4D4"/>
          <w:sz w:val="16"/>
          <w:szCs w:val="16"/>
        </w:rPr>
        <w:t xml:space="preserve">    orderCodes[] = DETERMINE_MOM_ORDER_CODES(MOM_Entries)</w:t>
      </w:r>
    </w:p>
    <w:p>
      <w:pPr>
        <w:shd w:fill="1E1E1E" w:val="clear"/>
        <w:spacing w:after="20" w:before="20"/>
        <w:ind w:left="360"/>
      </w:pPr>
      <w:r>
        <w:rPr>
          <w:rFonts w:ascii="Courier New" w:cs="Courier New" w:eastAsia="Courier New" w:hAnsi="Courier New"/>
          <w:color w:val="D4D4D4"/>
          <w:sz w:val="16"/>
          <w:szCs w:val="16"/>
        </w:rPr>
        <w:t xml:space="preserve">    FOR EACH code IN orderCodes DO</w:t>
      </w:r>
    </w:p>
    <w:p>
      <w:pPr>
        <w:shd w:fill="1E1E1E" w:val="clear"/>
        <w:spacing w:after="20" w:before="20"/>
        <w:ind w:left="360"/>
      </w:pPr>
      <w:r>
        <w:rPr>
          <w:rFonts w:ascii="Courier New" w:cs="Courier New" w:eastAsia="Courier New" w:hAnsi="Courier New"/>
          <w:color w:val="D4D4D4"/>
          <w:sz w:val="16"/>
          <w:szCs w:val="16"/>
        </w:rPr>
        <w:t xml:space="preserve">        orderType, MAT = LOOKUP T399A WHERE OrderCode = code</w:t>
      </w:r>
    </w:p>
    <w:p>
      <w:pPr>
        <w:shd w:fill="1E1E1E" w:val="clear"/>
        <w:spacing w:after="20" w:before="20"/>
        <w:ind w:left="360"/>
      </w:pPr>
      <w:r>
        <w:rPr>
          <w:rFonts w:ascii="Courier New" w:cs="Courier New" w:eastAsia="Courier New" w:hAnsi="Courier New"/>
          <w:color w:val="D4D4D4"/>
          <w:sz w:val="16"/>
          <w:szCs w:val="16"/>
        </w:rPr>
        <w:t xml:space="preserve">        openOrders = QUERY IS-U FOR open orders WHERE</w:t>
      </w:r>
    </w:p>
    <w:p>
      <w:pPr>
        <w:shd w:fill="1E1E1E" w:val="clear"/>
        <w:spacing w:after="20" w:before="20"/>
        <w:ind w:left="360"/>
      </w:pPr>
      <w:r>
        <w:rPr>
          <w:rFonts w:ascii="Courier New" w:cs="Courier New" w:eastAsia="Courier New" w:hAnsi="Courier New"/>
          <w:color w:val="D4D4D4"/>
          <w:sz w:val="16"/>
          <w:szCs w:val="16"/>
        </w:rPr>
        <w:t xml:space="preserve">                     OrderType = orderType AND MAT = MAT</w:t>
      </w:r>
    </w:p>
    <w:p>
      <w:pPr>
        <w:shd w:fill="1E1E1E" w:val="clear"/>
        <w:spacing w:after="20" w:before="20"/>
        <w:ind w:left="360"/>
      </w:pPr>
      <w:r>
        <w:rPr>
          <w:rFonts w:ascii="Courier New" w:cs="Courier New" w:eastAsia="Courier New" w:hAnsi="Courier New"/>
          <w:color w:val="D4D4D4"/>
          <w:sz w:val="16"/>
          <w:szCs w:val="16"/>
        </w:rPr>
        <w:t xml:space="preserve">        IF openOrders.count &gt; 0 THEN</w:t>
      </w:r>
    </w:p>
    <w:p>
      <w:pPr>
        <w:shd w:fill="1E1E1E" w:val="clear"/>
        <w:spacing w:after="20" w:before="20"/>
        <w:ind w:left="360"/>
      </w:pPr>
      <w:r>
        <w:rPr>
          <w:rFonts w:ascii="Courier New" w:cs="Courier New" w:eastAsia="Courier New" w:hAnsi="Courier New"/>
          <w:color w:val="D4D4D4"/>
          <w:sz w:val="16"/>
          <w:szCs w:val="16"/>
        </w:rPr>
        <w:t xml:space="preserve">            OPEN_ORDER_EXISTS = TRUE</w:t>
      </w:r>
    </w:p>
    <w:p>
      <w:pPr>
        <w:shd w:fill="1E1E1E" w:val="clear"/>
        <w:spacing w:after="20" w:before="20"/>
        <w:ind w:left="360"/>
      </w:pPr>
      <w:r>
        <w:rPr>
          <w:rFonts w:ascii="Courier New" w:cs="Courier New" w:eastAsia="Courier New" w:hAnsi="Courier New"/>
          <w:color w:val="D4D4D4"/>
          <w:sz w:val="16"/>
          <w:szCs w:val="16"/>
        </w:rPr>
        <w:t xml:space="preserve">            IF Action = 'Warning' THEN</w:t>
      </w:r>
    </w:p>
    <w:p>
      <w:pPr>
        <w:shd w:fill="1E1E1E" w:val="clear"/>
        <w:spacing w:after="20" w:before="20"/>
        <w:ind w:left="360"/>
      </w:pPr>
      <w:r>
        <w:rPr>
          <w:rFonts w:ascii="Courier New" w:cs="Courier New" w:eastAsia="Courier New" w:hAnsi="Courier New"/>
          <w:color w:val="D4D4D4"/>
          <w:sz w:val="16"/>
          <w:szCs w:val="16"/>
        </w:rPr>
        <w:t xml:space="preserve">                DISPLAY warning to agent; allow override</w:t>
      </w:r>
    </w:p>
    <w:p>
      <w:pPr>
        <w:shd w:fill="1E1E1E" w:val="clear"/>
        <w:spacing w:after="20" w:before="20"/>
        <w:ind w:left="360"/>
      </w:pPr>
      <w:r>
        <w:rPr>
          <w:rFonts w:ascii="Courier New" w:cs="Courier New" w:eastAsia="Courier New" w:hAnsi="Courier New"/>
          <w:color w:val="D4D4D4"/>
          <w:sz w:val="16"/>
          <w:szCs w:val="16"/>
        </w:rPr>
        <w:t xml:space="preserve">            ELSE IF Action = 'TeamLead Override' THEN</w:t>
      </w:r>
    </w:p>
    <w:p>
      <w:pPr>
        <w:shd w:fill="1E1E1E" w:val="clear"/>
        <w:spacing w:after="20" w:before="20"/>
        <w:ind w:left="360"/>
      </w:pPr>
      <w:r>
        <w:rPr>
          <w:rFonts w:ascii="Courier New" w:cs="Courier New" w:eastAsia="Courier New" w:hAnsi="Courier New"/>
          <w:color w:val="D4D4D4"/>
          <w:sz w:val="16"/>
          <w:szCs w:val="16"/>
        </w:rPr>
        <w:t xml:space="preserve">                REQUIRE team-lead authorization</w:t>
      </w:r>
    </w:p>
    <w:p>
      <w:pPr>
        <w:shd w:fill="1E1E1E" w:val="clear"/>
        <w:spacing w:after="20" w:before="20"/>
        <w:ind w:left="360"/>
      </w:pPr>
      <w:r>
        <w:rPr>
          <w:rFonts w:ascii="Courier New" w:cs="Courier New" w:eastAsia="Courier New" w:hAnsi="Courier New"/>
          <w:color w:val="D4D4D4"/>
          <w:sz w:val="16"/>
          <w:szCs w:val="16"/>
        </w:rPr>
        <w:t xml:space="preserve">            END IF</w:t>
      </w:r>
    </w:p>
    <w:p>
      <w:pPr>
        <w:shd w:fill="1E1E1E" w:val="clear"/>
        <w:spacing w:after="20" w:before="20"/>
        <w:ind w:left="360"/>
      </w:pPr>
      <w:r>
        <w:rPr>
          <w:rFonts w:ascii="Courier New" w:cs="Courier New" w:eastAsia="Courier New" w:hAnsi="Courier New"/>
          <w:color w:val="D4D4D4"/>
          <w:sz w:val="16"/>
          <w:szCs w:val="16"/>
        </w:rPr>
        <w:t xml:space="preserve">        END IF</w:t>
      </w:r>
    </w:p>
    <w:p>
      <w:pPr>
        <w:shd w:fill="1E1E1E" w:val="clear"/>
        <w:spacing w:after="20" w:before="20"/>
        <w:ind w:left="360"/>
      </w:pPr>
      <w:r>
        <w:rPr>
          <w:rFonts w:ascii="Courier New" w:cs="Courier New" w:eastAsia="Courier New" w:hAnsi="Courier New"/>
          <w:color w:val="D4D4D4"/>
          <w:sz w:val="16"/>
          <w:szCs w:val="16"/>
        </w:rPr>
        <w:t xml:space="preserve">    END FOR</w:t>
      </w:r>
    </w:p>
    <w:p>
      <w:pPr>
        <w:shd w:fill="1E1E1E" w:val="clear"/>
        <w:spacing w:after="20" w:before="20"/>
        <w:ind w:left="360"/>
      </w:pPr>
      <w:r>
        <w:rPr>
          <w:rFonts w:ascii="Courier New" w:cs="Courier New" w:eastAsia="Courier New" w:hAnsi="Courier New"/>
          <w:color w:val="D4D4D4"/>
          <w:sz w:val="16"/>
          <w:szCs w:val="16"/>
        </w:rPr>
        <w:t xml:space="preserve">END FUNCTION</w:t>
      </w:r>
    </w:p>
    <w:p>
      <w:pPr>
        <w:spacing w:after="0" w:before="120"/>
      </w:pPr>
    </w:p>
    <w:p>
      <w:pPr>
        <w:pStyle w:val="Heading2"/>
        <w:pBdr>
          <w:bottom w:val="single" w:color="2E75B6" w:sz="3" w:space="1"/>
        </w:pBdr>
        <w:spacing w:after="100" w:before="280"/>
      </w:pPr>
      <w:r>
        <w:rPr>
          <w:rFonts w:ascii="Arial" w:cs="Arial" w:eastAsia="Arial" w:hAnsi="Arial"/>
          <w:b/>
          <w:bCs/>
          <w:color w:val="1F3864"/>
          <w:sz w:val="28"/>
          <w:szCs w:val="28"/>
        </w:rPr>
        <w:t xml:space="preserve">4.5  Combo Indicator (Multi-Energy Orders)</w:t>
      </w:r>
    </w:p>
    <w:p>
      <w:pPr>
        <w:spacing w:after="60" w:before="60"/>
      </w:pPr>
      <w:r>
        <w:rPr>
          <w:rFonts w:ascii="Arial" w:cs="Arial" w:eastAsia="Arial" w:hAnsi="Arial"/>
          <w:sz w:val="20"/>
          <w:szCs w:val="20"/>
        </w:rPr>
        <w:t xml:space="preserve">When both Gas and Electric rows are selected in MOM, the system generates two orders behind the scenes (one per energy type). The Combo Indicator is passed to the Order Creation interface. The Gas scheduling screen is used as master; the scheduled date is auto-applied (auto-slapped) to the Electric order. Both orders share a common premise ID and Move-In date.</w:t>
      </w:r>
    </w:p>
    <w:p>
      <w:pPr>
        <w:spacing w:after="0" w:before="120"/>
      </w:pPr>
    </w:p>
    <w:p>
      <w:pPr>
        <w:pStyle w:val="Heading1"/>
        <w:pBdr>
          <w:bottom w:val="single" w:color="2E75B6" w:sz="4"/>
        </w:pBdr>
        <w:shd w:fill="1F3864" w:val="clear"/>
        <w:spacing w:after="120" w:before="360"/>
        <w:ind w:left="120" w:right="120"/>
      </w:pPr>
      <w:r>
        <w:rPr>
          <w:rFonts w:ascii="Arial" w:cs="Arial" w:eastAsia="Arial" w:hAnsi="Arial"/>
          <w:b/>
          <w:bCs/>
          <w:color w:val="FFFFFF"/>
          <w:sz w:val="36"/>
          <w:szCs w:val="36"/>
        </w:rPr>
        <w:t xml:space="preserve">5. Step 3 – Address Maintenance</w:t>
      </w:r>
    </w:p>
    <w:p>
      <w:pPr>
        <w:spacing w:after="0" w:before="120"/>
      </w:pPr>
    </w:p>
    <w:p>
      <w:pPr>
        <w:spacing w:after="60" w:before="60"/>
      </w:pPr>
      <w:r>
        <w:rPr>
          <w:rFonts w:ascii="Arial" w:cs="Arial" w:eastAsia="Arial" w:hAnsi="Arial"/>
          <w:sz w:val="20"/>
          <w:szCs w:val="20"/>
        </w:rPr>
        <w:t xml:space="preserve">The Address Maintenance step captures the mailing/invoice address for the new contract. SSC V2 provides four selection options aligned to the legacy CRM Address Maintenance view:</w:t>
      </w:r>
    </w:p>
    <w:p>
      <w:pPr>
        <w:spacing w:after="0" w:before="120"/>
      </w:pP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200"/>
        <w:gridCol w:w="3500"/>
        <w:gridCol w:w="4600"/>
      </w:tblGrid>
      <w:tr>
        <w:trPr>
          <w:tblHeader/>
        </w:trPr>
        <w:tc>
          <w:tcPr>
            <w:tcW w:type="dxa" w:w="12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Option</w:t>
            </w:r>
          </w:p>
        </w:tc>
        <w:tc>
          <w:tcPr>
            <w:tcW w:type="dxa" w:w="35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c>
          <w:tcPr>
            <w:tcW w:type="dxa" w:w="46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Editable Fields</w:t>
            </w:r>
          </w:p>
        </w:tc>
      </w:tr>
      <w:tr>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1 – Premise Address</w:t>
            </w:r>
          </w:p>
        </w:tc>
        <w:tc>
          <w:tcPr>
            <w:tcW w:type="dxa" w:w="3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Use the confirmed premise address as mailing address</w:t>
            </w:r>
          </w:p>
        </w:tc>
        <w:tc>
          <w:tcPr>
            <w:tcW w:type="dxa" w:w="4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Email, Phone, Mobile, Fax only</w:t>
            </w:r>
          </w:p>
        </w:tc>
      </w:tr>
      <w:tr>
        <w:tc>
          <w:tcPr>
            <w:tcW w:type="dxa" w:w="12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2 – Customer Address</w:t>
            </w:r>
          </w:p>
        </w:tc>
        <w:tc>
          <w:tcPr>
            <w:tcW w:type="dxa" w:w="35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Use the Business Partner's existing default address</w:t>
            </w:r>
          </w:p>
        </w:tc>
        <w:tc>
          <w:tcPr>
            <w:tcW w:type="dxa" w:w="46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Email, Phone, Mobile, Fax only</w:t>
            </w:r>
          </w:p>
        </w:tc>
      </w:tr>
      <w:tr>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3 – New Mailing Address</w:t>
            </w:r>
          </w:p>
        </w:tc>
        <w:tc>
          <w:tcPr>
            <w:tcW w:type="dxa" w:w="3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Create a new address with validity date range</w:t>
            </w:r>
          </w:p>
        </w:tc>
        <w:tc>
          <w:tcPr>
            <w:tcW w:type="dxa" w:w="4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All address fields + validity dates</w:t>
            </w:r>
          </w:p>
        </w:tc>
      </w:tr>
      <w:tr>
        <w:tc>
          <w:tcPr>
            <w:tcW w:type="dxa" w:w="12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4 – PO Box</w:t>
            </w:r>
          </w:p>
        </w:tc>
        <w:tc>
          <w:tcPr>
            <w:tcW w:type="dxa" w:w="35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Create a new PO Box address as mailing address</w:t>
            </w:r>
          </w:p>
        </w:tc>
        <w:tc>
          <w:tcPr>
            <w:tcW w:type="dxa" w:w="46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PO Box number, postal code, city</w:t>
            </w:r>
          </w:p>
        </w:tc>
      </w:tr>
    </w:tbl>
    <w:p>
      <w:pPr>
        <w:spacing w:after="0" w:before="120"/>
      </w:pPr>
    </w:p>
    <w:p>
      <w:pPr>
        <w:shd w:fill="F2F2F2" w:val="clear"/>
        <w:spacing w:after="80" w:before="80"/>
        <w:ind w:left="360"/>
      </w:pPr>
      <w:r>
        <w:rPr>
          <w:rFonts w:ascii="Arial" w:cs="Arial" w:eastAsia="Arial" w:hAnsi="Arial"/>
          <w:b/>
          <w:bCs/>
          <w:color w:val="C55A11"/>
          <w:sz w:val="18"/>
          <w:szCs w:val="18"/>
        </w:rPr>
        <w:t xml:space="preserve">⚠ Note: </w:t>
      </w:r>
      <w:r>
        <w:rPr>
          <w:rFonts w:ascii="Arial" w:cs="Arial" w:eastAsia="Arial" w:hAnsi="Arial"/>
          <w:i/>
          <w:iCs/>
          <w:sz w:val="18"/>
          <w:szCs w:val="18"/>
        </w:rPr>
        <w:t xml:space="preserve">To set a custom default address, implement BAdI Enhancement Point EHP_ISU_C4C_ADDRESS_LOGIC_MI / Enhancement Spot ES_ISU_C4C_MOVE_EDIT.</w:t>
      </w:r>
    </w:p>
    <w:p>
      <w:pPr>
        <w:spacing w:after="0" w:before="120"/>
      </w:pPr>
    </w:p>
    <w:p>
      <w:pPr>
        <w:spacing w:after="60" w:before="60"/>
      </w:pPr>
      <w:r>
        <w:rPr>
          <w:rFonts w:ascii="Arial" w:cs="Arial" w:eastAsia="Arial" w:hAnsi="Arial"/>
          <w:sz w:val="20"/>
          <w:szCs w:val="20"/>
        </w:rPr>
        <w:t xml:space="preserve">The selected address is replicated to the Summary view in display-only mode and written to the ECC Move-In document upon Submit.</w:t>
      </w:r>
    </w:p>
    <w:p>
      <w:pPr>
        <w:spacing w:after="0" w:before="120"/>
      </w:pPr>
    </w:p>
    <w:p>
      <w:r>
        <w:br w:type="page"/>
      </w:r>
    </w:p>
    <w:p>
      <w:pPr>
        <w:pStyle w:val="Heading1"/>
        <w:pBdr>
          <w:bottom w:val="single" w:color="2E75B6" w:sz="4"/>
        </w:pBdr>
        <w:shd w:fill="1F3864" w:val="clear"/>
        <w:spacing w:after="120" w:before="360"/>
        <w:ind w:left="120" w:right="120"/>
      </w:pPr>
      <w:r>
        <w:rPr>
          <w:rFonts w:ascii="Arial" w:cs="Arial" w:eastAsia="Arial" w:hAnsi="Arial"/>
          <w:b/>
          <w:bCs/>
          <w:color w:val="FFFFFF"/>
          <w:sz w:val="36"/>
          <w:szCs w:val="36"/>
        </w:rPr>
        <w:t xml:space="preserve">6. Step 4 – Service Order / Notification Creation (Move-In)</w:t>
      </w:r>
    </w:p>
    <w:p>
      <w:pPr>
        <w:spacing w:after="0" w:before="120"/>
      </w:pPr>
    </w:p>
    <w:p>
      <w:pPr>
        <w:spacing w:after="60" w:before="60"/>
      </w:pPr>
      <w:r>
        <w:rPr>
          <w:rFonts w:ascii="Arial" w:cs="Arial" w:eastAsia="Arial" w:hAnsi="Arial"/>
          <w:sz w:val="20"/>
          <w:szCs w:val="20"/>
        </w:rPr>
        <w:t xml:space="preserve">This step translates the derived MOM order code(s) into IS-U PM Service Orders and/or Notifications, bypassing the standard Order Initiation Layer (OIL) screen. The order code, Premise ID, Move-In date, Combo Indicator, and (where applicable) the meter number are passed directly from the Contract Management context.</w:t>
      </w:r>
    </w:p>
    <w:p>
      <w:pPr>
        <w:spacing w:after="0" w:before="120"/>
      </w:pPr>
    </w:p>
    <w:p>
      <w:pPr>
        <w:pStyle w:val="Heading2"/>
        <w:pBdr>
          <w:bottom w:val="single" w:color="2E75B6" w:sz="3" w:space="1"/>
        </w:pBdr>
        <w:spacing w:after="100" w:before="280"/>
      </w:pPr>
      <w:r>
        <w:rPr>
          <w:rFonts w:ascii="Arial" w:cs="Arial" w:eastAsia="Arial" w:hAnsi="Arial"/>
          <w:b/>
          <w:bCs/>
          <w:color w:val="1F3864"/>
          <w:sz w:val="28"/>
          <w:szCs w:val="28"/>
        </w:rPr>
        <w:t xml:space="preserve">6.1  Order Creation Interface Parameters</w:t>
      </w:r>
    </w:p>
    <w:p>
      <w:pPr>
        <w:spacing w:after="0" w:before="120"/>
      </w:pP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4700"/>
      </w:tblGrid>
      <w:tr>
        <w:trPr>
          <w:tblHeader/>
        </w:trPr>
        <w:tc>
          <w:tcPr>
            <w:tcW w:type="dxa" w:w="20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Parameter</w:t>
            </w:r>
          </w:p>
        </w:tc>
        <w:tc>
          <w:tcPr>
            <w:tcW w:type="dxa" w:w="26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Source</w:t>
            </w:r>
          </w:p>
        </w:tc>
        <w:tc>
          <w:tcPr>
            <w:tcW w:type="dxa" w:w="47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Order Code</w:t>
            </w:r>
          </w:p>
        </w:tc>
        <w:tc>
          <w:tcPr>
            <w:tcW w:type="dxa" w:w="2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BRFplus DETERMINE_MOM_ORDER_CODES</w:t>
            </w:r>
          </w:p>
        </w:tc>
        <w:tc>
          <w:tcPr>
            <w:tcW w:type="dxa" w:w="4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IS-U order type code (e.g., ELEC_READ, GAS_REINSTALL)</w:t>
            </w:r>
          </w:p>
        </w:tc>
      </w:tr>
      <w:tr>
        <w:tc>
          <w:tcPr>
            <w:tcW w:type="dxa" w:w="20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Premise ID</w:t>
            </w:r>
          </w:p>
        </w:tc>
        <w:tc>
          <w:tcPr>
            <w:tcW w:type="dxa" w:w="26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Confirmed premise from global context</w:t>
            </w:r>
          </w:p>
        </w:tc>
        <w:tc>
          <w:tcPr>
            <w:tcW w:type="dxa" w:w="47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IS-U Premise / Connection Object ID</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Move-In Date</w:t>
            </w:r>
          </w:p>
        </w:tc>
        <w:tc>
          <w:tcPr>
            <w:tcW w:type="dxa" w:w="2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Contract Start Date (Step 2)</w:t>
            </w:r>
          </w:p>
        </w:tc>
        <w:tc>
          <w:tcPr>
            <w:tcW w:type="dxa" w:w="4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Requested service start date for scheduling alignment</w:t>
            </w:r>
          </w:p>
        </w:tc>
      </w:tr>
      <w:tr>
        <w:tc>
          <w:tcPr>
            <w:tcW w:type="dxa" w:w="20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Combo Indicator</w:t>
            </w:r>
          </w:p>
        </w:tc>
        <w:tc>
          <w:tcPr>
            <w:tcW w:type="dxa" w:w="26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MOM selection (both energy types)</w:t>
            </w:r>
          </w:p>
        </w:tc>
        <w:tc>
          <w:tcPr>
            <w:tcW w:type="dxa" w:w="47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Signals multi-energy order creation</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Meter Number</w:t>
            </w:r>
          </w:p>
        </w:tc>
        <w:tc>
          <w:tcPr>
            <w:tcW w:type="dxa" w:w="2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MOM row (for re-install)</w:t>
            </w:r>
          </w:p>
        </w:tc>
        <w:tc>
          <w:tcPr>
            <w:tcW w:type="dxa" w:w="4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Prior meter material number for re-install orders</w:t>
            </w:r>
          </w:p>
        </w:tc>
      </w:tr>
      <w:tr>
        <w:tc>
          <w:tcPr>
            <w:tcW w:type="dxa" w:w="20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Contract Mgmt Source Flag</w:t>
            </w:r>
          </w:p>
        </w:tc>
        <w:tc>
          <w:tcPr>
            <w:tcW w:type="dxa" w:w="26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System flag</w:t>
            </w:r>
          </w:p>
        </w:tc>
        <w:tc>
          <w:tcPr>
            <w:tcW w:type="dxa" w:w="47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Indicates order originated from Contract Management (bypasses OIL)</w:t>
            </w:r>
          </w:p>
        </w:tc>
      </w:tr>
    </w:tbl>
    <w:p>
      <w:pPr>
        <w:spacing w:after="0" w:before="120"/>
      </w:pPr>
    </w:p>
    <w:p>
      <w:pPr>
        <w:pStyle w:val="Heading2"/>
        <w:pBdr>
          <w:bottom w:val="single" w:color="2E75B6" w:sz="3" w:space="1"/>
        </w:pBdr>
        <w:spacing w:after="100" w:before="280"/>
      </w:pPr>
      <w:r>
        <w:rPr>
          <w:rFonts w:ascii="Arial" w:cs="Arial" w:eastAsia="Arial" w:hAnsi="Arial"/>
          <w:b/>
          <w:bCs/>
          <w:color w:val="1F3864"/>
          <w:sz w:val="28"/>
          <w:szCs w:val="28"/>
        </w:rPr>
        <w:t xml:space="preserve">6.2  Notification Creation Determination Logic</w:t>
      </w:r>
    </w:p>
    <w:p>
      <w:pPr>
        <w:spacing w:after="60" w:before="60"/>
      </w:pPr>
      <w:r>
        <w:rPr>
          <w:rFonts w:ascii="Arial" w:cs="Arial" w:eastAsia="Arial" w:hAnsi="Arial"/>
          <w:sz w:val="20"/>
          <w:szCs w:val="20"/>
        </w:rPr>
        <w:t xml:space="preserve">The system evaluates the following sequential checks to determine whether a service notification should be Created or Cancelled for each installation. Only one order is created per installation.</w:t>
      </w:r>
    </w:p>
    <w:p>
      <w:pPr>
        <w:spacing w:after="0" w:before="120"/>
      </w:pPr>
    </w:p>
    <w:p>
      <w:pPr>
        <w:shd w:fill="1E1E1E" w:val="clear"/>
        <w:spacing w:after="20" w:before="20"/>
        <w:ind w:left="360"/>
      </w:pPr>
      <w:r>
        <w:rPr>
          <w:rFonts w:ascii="Courier New" w:cs="Courier New" w:eastAsia="Courier New" w:hAnsi="Courier New"/>
          <w:color w:val="D4D4D4"/>
          <w:sz w:val="16"/>
          <w:szCs w:val="16"/>
        </w:rPr>
        <w:t xml:space="preserve">// Notification Pre-Process Gate</w:t>
      </w:r>
    </w:p>
    <w:p>
      <w:pPr>
        <w:shd w:fill="1E1E1E" w:val="clear"/>
        <w:spacing w:after="20" w:before="20"/>
        <w:ind w:left="360"/>
      </w:pPr>
      <w:r>
        <w:rPr>
          <w:rFonts w:ascii="Courier New" w:cs="Courier New" w:eastAsia="Courier New" w:hAnsi="Courier New"/>
          <w:color w:val="D4D4D4"/>
          <w:sz w:val="16"/>
          <w:szCs w:val="16"/>
        </w:rPr>
        <w:t xml:space="preserve">IF FACTA_Result = 'F' (Failed)                  → DISABLE Notification step</w:t>
      </w:r>
    </w:p>
    <w:p>
      <w:pPr>
        <w:shd w:fill="1E1E1E" w:val="clear"/>
        <w:spacing w:after="20" w:before="20"/>
        <w:ind w:left="360"/>
      </w:pPr>
      <w:r>
        <w:rPr>
          <w:rFonts w:ascii="Courier New" w:cs="Courier New" w:eastAsia="Courier New" w:hAnsi="Courier New"/>
          <w:color w:val="D4D4D4"/>
          <w:sz w:val="16"/>
          <w:szCs w:val="16"/>
        </w:rPr>
        <w:t xml:space="preserve">   OR PIR_Flag = TRUE (Positive ID Required)    → DISABLE Notification step</w:t>
      </w:r>
    </w:p>
    <w:p>
      <w:pPr>
        <w:shd w:fill="1E1E1E" w:val="clear"/>
        <w:spacing w:after="20" w:before="20"/>
        <w:ind w:left="360"/>
      </w:pPr>
      <w:r>
        <w:rPr>
          <w:rFonts w:ascii="Courier New" w:cs="Courier New" w:eastAsia="Courier New" w:hAnsi="Courier New"/>
          <w:color w:val="D4D4D4"/>
          <w:sz w:val="16"/>
          <w:szCs w:val="16"/>
        </w:rPr>
        <w:t xml:space="preserve">   OR SecurityDepositRequested = TRUE           → DISABLE Notification step</w:t>
      </w:r>
    </w:p>
    <w:p>
      <w:pPr>
        <w:shd w:fill="1E1E1E" w:val="clear"/>
        <w:spacing w:after="20" w:before="20"/>
        <w:ind w:left="360"/>
      </w:pPr>
      <w:r>
        <w:rPr>
          <w:rFonts w:ascii="Courier New" w:cs="Courier New" w:eastAsia="Courier New" w:hAnsi="Courier New"/>
          <w:color w:val="D4D4D4"/>
          <w:sz w:val="16"/>
          <w:szCs w:val="16"/>
        </w:rPr>
        <w:t xml:space="preserve">   (Exception: SecurityDeposit entered manually → Notification remains ENABLED)</w:t>
      </w:r>
    </w:p>
    <w:p>
      <w:pPr>
        <w:shd w:fill="1E1E1E" w:val="clear"/>
        <w:spacing w:after="20" w:before="20"/>
        <w:ind w:left="360"/>
      </w:pPr>
      <w:r>
        <w:rPr>
          <w:rFonts w:ascii="Courier New" w:cs="Courier New" w:eastAsia="Courier New" w:hAnsi="Courier New"/>
          <w:color w:val="D4D4D4"/>
          <w:sz w:val="16"/>
          <w:szCs w:val="16"/>
        </w:rPr>
        <w:t xml:space="preserve"/>
      </w:r>
    </w:p>
    <w:p>
      <w:pPr>
        <w:shd w:fill="1E1E1E" w:val="clear"/>
        <w:spacing w:after="20" w:before="20"/>
        <w:ind w:left="360"/>
      </w:pPr>
      <w:r>
        <w:rPr>
          <w:rFonts w:ascii="Courier New" w:cs="Courier New" w:eastAsia="Courier New" w:hAnsi="Courier New"/>
          <w:color w:val="D4D4D4"/>
          <w:sz w:val="16"/>
          <w:szCs w:val="16"/>
        </w:rPr>
        <w:t xml:space="preserve">// For each installation in Contract Selection List:</w:t>
      </w:r>
    </w:p>
    <w:p>
      <w:pPr>
        <w:shd w:fill="1E1E1E" w:val="clear"/>
        <w:spacing w:after="20" w:before="20"/>
        <w:ind w:left="360"/>
      </w:pPr>
      <w:r>
        <w:rPr>
          <w:rFonts w:ascii="Courier New" w:cs="Courier New" w:eastAsia="Courier New" w:hAnsi="Courier New"/>
          <w:color w:val="D4D4D4"/>
          <w:sz w:val="16"/>
          <w:szCs w:val="16"/>
        </w:rPr>
        <w:t xml:space="preserve">FOR EACH installation DO</w:t>
      </w:r>
    </w:p>
    <w:p>
      <w:pPr>
        <w:shd w:fill="1E1E1E" w:val="clear"/>
        <w:spacing w:after="20" w:before="20"/>
        <w:ind w:left="360"/>
      </w:pPr>
      <w:r>
        <w:rPr>
          <w:rFonts w:ascii="Courier New" w:cs="Courier New" w:eastAsia="Courier New" w:hAnsi="Courier New"/>
          <w:color w:val="D4D4D4"/>
          <w:sz w:val="16"/>
          <w:szCs w:val="16"/>
        </w:rPr>
        <w:t xml:space="preserve">    meterReadResult = GET meter read from Step 2</w:t>
      </w:r>
    </w:p>
    <w:p>
      <w:pPr>
        <w:shd w:fill="1E1E1E" w:val="clear"/>
        <w:spacing w:after="20" w:before="20"/>
        <w:ind w:left="360"/>
      </w:pPr>
      <w:r>
        <w:rPr>
          <w:rFonts w:ascii="Courier New" w:cs="Courier New" w:eastAsia="Courier New" w:hAnsi="Courier New"/>
          <w:color w:val="D4D4D4"/>
          <w:sz w:val="16"/>
          <w:szCs w:val="16"/>
        </w:rPr>
        <w:t xml:space="preserve">    IF meterReadResult = 'Actual Read Obtained' THEN</w:t>
      </w:r>
    </w:p>
    <w:p>
      <w:pPr>
        <w:shd w:fill="1E1E1E" w:val="clear"/>
        <w:spacing w:after="20" w:before="20"/>
        <w:ind w:left="360"/>
      </w:pPr>
      <w:r>
        <w:rPr>
          <w:rFonts w:ascii="Courier New" w:cs="Courier New" w:eastAsia="Courier New" w:hAnsi="Courier New"/>
          <w:color w:val="D4D4D4"/>
          <w:sz w:val="16"/>
          <w:szCs w:val="16"/>
        </w:rPr>
        <w:t xml:space="preserve">        OrderCode = [read-type order code for division]</w:t>
      </w:r>
    </w:p>
    <w:p>
      <w:pPr>
        <w:shd w:fill="1E1E1E" w:val="clear"/>
        <w:spacing w:after="20" w:before="20"/>
        <w:ind w:left="360"/>
      </w:pPr>
      <w:r>
        <w:rPr>
          <w:rFonts w:ascii="Courier New" w:cs="Courier New" w:eastAsia="Courier New" w:hAnsi="Courier New"/>
          <w:color w:val="D4D4D4"/>
          <w:sz w:val="16"/>
          <w:szCs w:val="16"/>
        </w:rPr>
        <w:t xml:space="preserve">    ELSE IF meterReadResult = 'No Read / Estimated' THEN</w:t>
      </w:r>
    </w:p>
    <w:p>
      <w:pPr>
        <w:shd w:fill="1E1E1E" w:val="clear"/>
        <w:spacing w:after="20" w:before="20"/>
        <w:ind w:left="360"/>
      </w:pPr>
      <w:r>
        <w:rPr>
          <w:rFonts w:ascii="Courier New" w:cs="Courier New" w:eastAsia="Courier New" w:hAnsi="Courier New"/>
          <w:color w:val="D4D4D4"/>
          <w:sz w:val="16"/>
          <w:szCs w:val="16"/>
        </w:rPr>
        <w:t xml:space="preserve">        OrderCode = [estimate-type order code]</w:t>
      </w:r>
    </w:p>
    <w:p>
      <w:pPr>
        <w:shd w:fill="1E1E1E" w:val="clear"/>
        <w:spacing w:after="20" w:before="20"/>
        <w:ind w:left="360"/>
      </w:pPr>
      <w:r>
        <w:rPr>
          <w:rFonts w:ascii="Courier New" w:cs="Courier New" w:eastAsia="Courier New" w:hAnsi="Courier New"/>
          <w:color w:val="D4D4D4"/>
          <w:sz w:val="16"/>
          <w:szCs w:val="16"/>
        </w:rPr>
        <w:t xml:space="preserve">    END IF</w:t>
      </w:r>
    </w:p>
    <w:p>
      <w:pPr>
        <w:shd w:fill="1E1E1E" w:val="clear"/>
        <w:spacing w:after="20" w:before="20"/>
        <w:ind w:left="360"/>
      </w:pPr>
      <w:r>
        <w:rPr>
          <w:rFonts w:ascii="Courier New" w:cs="Courier New" w:eastAsia="Courier New" w:hAnsi="Courier New"/>
          <w:color w:val="D4D4D4"/>
          <w:sz w:val="16"/>
          <w:szCs w:val="16"/>
        </w:rPr>
        <w:t xml:space="preserve"/>
      </w:r>
    </w:p>
    <w:p>
      <w:pPr>
        <w:shd w:fill="1E1E1E" w:val="clear"/>
        <w:spacing w:after="20" w:before="20"/>
        <w:ind w:left="360"/>
      </w:pPr>
      <w:r>
        <w:rPr>
          <w:rFonts w:ascii="Courier New" w:cs="Courier New" w:eastAsia="Courier New" w:hAnsi="Courier New"/>
          <w:color w:val="D4D4D4"/>
          <w:sz w:val="16"/>
          <w:szCs w:val="16"/>
        </w:rPr>
        <w:t xml:space="preserve">    // Check for open notification to cancel</w:t>
      </w:r>
    </w:p>
    <w:p>
      <w:pPr>
        <w:shd w:fill="1E1E1E" w:val="clear"/>
        <w:spacing w:after="20" w:before="20"/>
        <w:ind w:left="360"/>
      </w:pPr>
      <w:r>
        <w:rPr>
          <w:rFonts w:ascii="Courier New" w:cs="Courier New" w:eastAsia="Courier New" w:hAnsi="Courier New"/>
          <w:color w:val="D4D4D4"/>
          <w:sz w:val="16"/>
          <w:szCs w:val="16"/>
        </w:rPr>
        <w:t xml:space="preserve">    openNotif = QUERY IS-U for open notification of same type at installation</w:t>
      </w:r>
    </w:p>
    <w:p>
      <w:pPr>
        <w:shd w:fill="1E1E1E" w:val="clear"/>
        <w:spacing w:after="20" w:before="20"/>
        <w:ind w:left="360"/>
      </w:pPr>
      <w:r>
        <w:rPr>
          <w:rFonts w:ascii="Courier New" w:cs="Courier New" w:eastAsia="Courier New" w:hAnsi="Courier New"/>
          <w:color w:val="D4D4D4"/>
          <w:sz w:val="16"/>
          <w:szCs w:val="16"/>
        </w:rPr>
        <w:t xml:space="preserve">    IF openNotif EXISTS THEN</w:t>
      </w:r>
    </w:p>
    <w:p>
      <w:pPr>
        <w:shd w:fill="1E1E1E" w:val="clear"/>
        <w:spacing w:after="20" w:before="20"/>
        <w:ind w:left="360"/>
      </w:pPr>
      <w:r>
        <w:rPr>
          <w:rFonts w:ascii="Courier New" w:cs="Courier New" w:eastAsia="Courier New" w:hAnsi="Courier New"/>
          <w:color w:val="D4D4D4"/>
          <w:sz w:val="16"/>
          <w:szCs w:val="16"/>
        </w:rPr>
        <w:t xml:space="preserve">        Action = 'Cancel'  // cancel existing to avoid duplicate field trip</w:t>
      </w:r>
    </w:p>
    <w:p>
      <w:pPr>
        <w:shd w:fill="1E1E1E" w:val="clear"/>
        <w:spacing w:after="20" w:before="20"/>
        <w:ind w:left="360"/>
      </w:pPr>
      <w:r>
        <w:rPr>
          <w:rFonts w:ascii="Courier New" w:cs="Courier New" w:eastAsia="Courier New" w:hAnsi="Courier New"/>
          <w:color w:val="D4D4D4"/>
          <w:sz w:val="16"/>
          <w:szCs w:val="16"/>
        </w:rPr>
        <w:t xml:space="preserve">    ELSE</w:t>
      </w:r>
    </w:p>
    <w:p>
      <w:pPr>
        <w:shd w:fill="1E1E1E" w:val="clear"/>
        <w:spacing w:after="20" w:before="20"/>
        <w:ind w:left="360"/>
      </w:pPr>
      <w:r>
        <w:rPr>
          <w:rFonts w:ascii="Courier New" w:cs="Courier New" w:eastAsia="Courier New" w:hAnsi="Courier New"/>
          <w:color w:val="D4D4D4"/>
          <w:sz w:val="16"/>
          <w:szCs w:val="16"/>
        </w:rPr>
        <w:t xml:space="preserve">        Action = 'Create'</w:t>
      </w:r>
    </w:p>
    <w:p>
      <w:pPr>
        <w:shd w:fill="1E1E1E" w:val="clear"/>
        <w:spacing w:after="20" w:before="20"/>
        <w:ind w:left="360"/>
      </w:pPr>
      <w:r>
        <w:rPr>
          <w:rFonts w:ascii="Courier New" w:cs="Courier New" w:eastAsia="Courier New" w:hAnsi="Courier New"/>
          <w:color w:val="D4D4D4"/>
          <w:sz w:val="16"/>
          <w:szCs w:val="16"/>
        </w:rPr>
        <w:t xml:space="preserve">    END IF</w:t>
      </w:r>
    </w:p>
    <w:p>
      <w:pPr>
        <w:shd w:fill="1E1E1E" w:val="clear"/>
        <w:spacing w:after="20" w:before="20"/>
        <w:ind w:left="360"/>
      </w:pPr>
      <w:r>
        <w:rPr>
          <w:rFonts w:ascii="Courier New" w:cs="Courier New" w:eastAsia="Courier New" w:hAnsi="Courier New"/>
          <w:color w:val="D4D4D4"/>
          <w:sz w:val="16"/>
          <w:szCs w:val="16"/>
        </w:rPr>
        <w:t xml:space="preserve">END FOR</w:t>
      </w:r>
    </w:p>
    <w:p>
      <w:pPr>
        <w:spacing w:after="0" w:before="120"/>
      </w:pPr>
    </w:p>
    <w:p>
      <w:pPr>
        <w:pStyle w:val="Heading2"/>
        <w:pBdr>
          <w:bottom w:val="single" w:color="2E75B6" w:sz="3" w:space="1"/>
        </w:pBdr>
        <w:spacing w:after="100" w:before="280"/>
      </w:pPr>
      <w:r>
        <w:rPr>
          <w:rFonts w:ascii="Arial" w:cs="Arial" w:eastAsia="Arial" w:hAnsi="Arial"/>
          <w:b/>
          <w:bCs/>
          <w:color w:val="1F3864"/>
          <w:sz w:val="28"/>
          <w:szCs w:val="28"/>
        </w:rPr>
        <w:t xml:space="preserve">6.3  Notification Structure Fields</w:t>
      </w:r>
    </w:p>
    <w:p>
      <w:pPr>
        <w:spacing w:after="0" w:before="120"/>
      </w:pP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5600"/>
      </w:tblGrid>
      <w:tr>
        <w:trPr>
          <w:tblHeader/>
        </w:trPr>
        <w:tc>
          <w:tcPr>
            <w:tcW w:type="dxa" w:w="22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15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Display to Agent</w:t>
            </w:r>
          </w:p>
        </w:tc>
        <w:tc>
          <w:tcPr>
            <w:tcW w:type="dxa" w:w="56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Value / Source</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Process</w:t>
            </w:r>
          </w:p>
        </w:tc>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Yes</w:t>
            </w:r>
          </w:p>
        </w:tc>
        <w:tc>
          <w:tcPr>
            <w:tcW w:type="dxa" w:w="5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Enabled checkbox</w:t>
            </w:r>
          </w:p>
        </w:tc>
      </w:tr>
      <w:tr>
        <w:tc>
          <w:tcPr>
            <w:tcW w:type="dxa" w:w="22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Action</w:t>
            </w:r>
          </w:p>
        </w:tc>
        <w:tc>
          <w:tcPr>
            <w:tcW w:type="dxa" w:w="15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Yes</w:t>
            </w:r>
          </w:p>
        </w:tc>
        <w:tc>
          <w:tcPr>
            <w:tcW w:type="dxa" w:w="56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Create or Cancel (system determined)</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Indicator</w:t>
            </w:r>
          </w:p>
        </w:tc>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Yes</w:t>
            </w:r>
          </w:p>
        </w:tc>
        <w:tc>
          <w:tcPr>
            <w:tcW w:type="dxa" w:w="5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Default Marked – agent can uncheck</w:t>
            </w:r>
          </w:p>
        </w:tc>
      </w:tr>
      <w:tr>
        <w:tc>
          <w:tcPr>
            <w:tcW w:type="dxa" w:w="22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Description</w:t>
            </w:r>
          </w:p>
        </w:tc>
        <w:tc>
          <w:tcPr>
            <w:tcW w:type="dxa" w:w="15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Yes</w:t>
            </w:r>
          </w:p>
        </w:tc>
        <w:tc>
          <w:tcPr>
            <w:tcW w:type="dxa" w:w="56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Notification Code description</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Device</w:t>
            </w:r>
          </w:p>
        </w:tc>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Yes</w:t>
            </w:r>
          </w:p>
        </w:tc>
        <w:tc>
          <w:tcPr>
            <w:tcW w:type="dxa" w:w="5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Device associated with installation</w:t>
            </w:r>
          </w:p>
        </w:tc>
      </w:tr>
      <w:tr>
        <w:tc>
          <w:tcPr>
            <w:tcW w:type="dxa" w:w="22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Location</w:t>
            </w:r>
          </w:p>
        </w:tc>
        <w:tc>
          <w:tcPr>
            <w:tcW w:type="dxa" w:w="15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Yes</w:t>
            </w:r>
          </w:p>
        </w:tc>
        <w:tc>
          <w:tcPr>
            <w:tcW w:type="dxa" w:w="56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Device location description</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Schedule Date</w:t>
            </w:r>
          </w:p>
        </w:tc>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Yes</w:t>
            </w:r>
          </w:p>
        </w:tc>
        <w:tc>
          <w:tcPr>
            <w:tcW w:type="dxa" w:w="5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Defaulted to Move-In date</w:t>
            </w:r>
          </w:p>
        </w:tc>
      </w:tr>
      <w:tr>
        <w:tc>
          <w:tcPr>
            <w:tcW w:type="dxa" w:w="22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Schedule Time</w:t>
            </w:r>
          </w:p>
        </w:tc>
        <w:tc>
          <w:tcPr>
            <w:tcW w:type="dxa" w:w="15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Yes</w:t>
            </w:r>
          </w:p>
        </w:tc>
        <w:tc>
          <w:tcPr>
            <w:tcW w:type="dxa" w:w="56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Appointment time slot</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Notification #</w:t>
            </w:r>
          </w:p>
        </w:tc>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Yes</w:t>
            </w:r>
          </w:p>
        </w:tc>
        <w:tc>
          <w:tcPr>
            <w:tcW w:type="dxa" w:w="5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Assigned by IS-U after creation</w:t>
            </w:r>
          </w:p>
        </w:tc>
      </w:tr>
      <w:tr>
        <w:tc>
          <w:tcPr>
            <w:tcW w:type="dxa" w:w="22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Status</w:t>
            </w:r>
          </w:p>
        </w:tc>
        <w:tc>
          <w:tcPr>
            <w:tcW w:type="dxa" w:w="15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Yes</w:t>
            </w:r>
          </w:p>
        </w:tc>
        <w:tc>
          <w:tcPr>
            <w:tcW w:type="dxa" w:w="56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IS-U system status (open/completed)</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Contract Start Date</w:t>
            </w:r>
          </w:p>
        </w:tc>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No (internal)</w:t>
            </w:r>
          </w:p>
        </w:tc>
        <w:tc>
          <w:tcPr>
            <w:tcW w:type="dxa" w:w="5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Used for scheduling alignment</w:t>
            </w:r>
          </w:p>
        </w:tc>
      </w:tr>
      <w:tr>
        <w:tc>
          <w:tcPr>
            <w:tcW w:type="dxa" w:w="22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Order Code</w:t>
            </w:r>
          </w:p>
        </w:tc>
        <w:tc>
          <w:tcPr>
            <w:tcW w:type="dxa" w:w="15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No (internal)</w:t>
            </w:r>
          </w:p>
        </w:tc>
        <w:tc>
          <w:tcPr>
            <w:tcW w:type="dxa" w:w="56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Passed to IS-U order create</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Installation ID</w:t>
            </w:r>
          </w:p>
        </w:tc>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No (internal)</w:t>
            </w:r>
          </w:p>
        </w:tc>
        <w:tc>
          <w:tcPr>
            <w:tcW w:type="dxa" w:w="5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IS-U installation number</w:t>
            </w:r>
          </w:p>
        </w:tc>
      </w:tr>
      <w:tr>
        <w:tc>
          <w:tcPr>
            <w:tcW w:type="dxa" w:w="22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New Contract BP</w:t>
            </w:r>
          </w:p>
        </w:tc>
        <w:tc>
          <w:tcPr>
            <w:tcW w:type="dxa" w:w="15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No (internal)</w:t>
            </w:r>
          </w:p>
        </w:tc>
        <w:tc>
          <w:tcPr>
            <w:tcW w:type="dxa" w:w="56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Confirmed Business Partner</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Process Complete Code</w:t>
            </w:r>
          </w:p>
        </w:tc>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No (internal)</w:t>
            </w:r>
          </w:p>
        </w:tc>
        <w:tc>
          <w:tcPr>
            <w:tcW w:type="dxa" w:w="5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S = Success, E = Error</w:t>
            </w:r>
          </w:p>
        </w:tc>
      </w:tr>
    </w:tbl>
    <w:p>
      <w:pPr>
        <w:spacing w:after="0" w:before="120"/>
      </w:pPr>
    </w:p>
    <w:p>
      <w:pPr>
        <w:pStyle w:val="Heading2"/>
        <w:pBdr>
          <w:bottom w:val="single" w:color="2E75B6" w:sz="3" w:space="1"/>
        </w:pBdr>
        <w:spacing w:after="100" w:before="280"/>
      </w:pPr>
      <w:r>
        <w:rPr>
          <w:rFonts w:ascii="Arial" w:cs="Arial" w:eastAsia="Arial" w:hAnsi="Arial"/>
          <w:b/>
          <w:bCs/>
          <w:color w:val="1F3864"/>
          <w:sz w:val="28"/>
          <w:szCs w:val="28"/>
        </w:rPr>
        <w:t xml:space="preserve">6.4  Order / Notification Cancellation on Process Abort</w:t>
      </w:r>
    </w:p>
    <w:p>
      <w:pPr>
        <w:shd w:fill="E2EFDA" w:val="clear"/>
        <w:spacing w:after="80" w:before="80"/>
        <w:ind w:left="360"/>
      </w:pPr>
      <w:r>
        <w:rPr>
          <w:rFonts w:ascii="Arial" w:cs="Arial" w:eastAsia="Arial" w:hAnsi="Arial"/>
          <w:b/>
          <w:bCs/>
          <w:color w:val="375623"/>
          <w:sz w:val="18"/>
          <w:szCs w:val="18"/>
        </w:rPr>
        <w:t xml:space="preserve">✔ Rule: </w:t>
      </w:r>
      <w:r>
        <w:rPr>
          <w:rFonts w:ascii="Arial" w:cs="Arial" w:eastAsia="Arial" w:hAnsi="Arial"/>
          <w:sz w:val="18"/>
          <w:szCs w:val="18"/>
        </w:rPr>
        <w:t xml:space="preserve">If the Contract Management process is terminated AFTER notifications have been created, the system must automatically cancel all open orders and notifications created within that session.</w:t>
      </w:r>
    </w:p>
    <w:p>
      <w:pPr>
        <w:spacing w:after="60" w:before="60"/>
      </w:pPr>
      <w:r>
        <w:rPr>
          <w:rFonts w:ascii="Arial" w:cs="Arial" w:eastAsia="Arial" w:hAnsi="Arial"/>
          <w:sz w:val="20"/>
          <w:szCs w:val="20"/>
        </w:rPr>
        <w:t xml:space="preserve">This prevents orphan field orders from being dispatched when the Move-In is not completed. Cancel logic is triggered on the 'Cancel Process' confirmation dialog.</w:t>
      </w:r>
    </w:p>
    <w:p>
      <w:pPr>
        <w:spacing w:after="0" w:before="120"/>
      </w:pPr>
    </w:p>
    <w:p>
      <w:pPr>
        <w:pStyle w:val="Heading1"/>
        <w:pBdr>
          <w:bottom w:val="single" w:color="2E75B6" w:sz="4"/>
        </w:pBdr>
        <w:shd w:fill="1F3864" w:val="clear"/>
        <w:spacing w:after="120" w:before="360"/>
        <w:ind w:left="120" w:right="120"/>
      </w:pPr>
      <w:r>
        <w:rPr>
          <w:rFonts w:ascii="Arial" w:cs="Arial" w:eastAsia="Arial" w:hAnsi="Arial"/>
          <w:b/>
          <w:bCs/>
          <w:color w:val="FFFFFF"/>
          <w:sz w:val="36"/>
          <w:szCs w:val="36"/>
        </w:rPr>
        <w:t xml:space="preserve">7. Step 5 – Summary &amp; Submit</w:t>
      </w:r>
    </w:p>
    <w:p>
      <w:pPr>
        <w:spacing w:after="0" w:before="120"/>
      </w:pPr>
    </w:p>
    <w:p>
      <w:pPr>
        <w:spacing w:after="60" w:before="60"/>
      </w:pPr>
      <w:r>
        <w:rPr>
          <w:rFonts w:ascii="Arial" w:cs="Arial" w:eastAsia="Arial" w:hAnsi="Arial"/>
          <w:sz w:val="20"/>
          <w:szCs w:val="20"/>
        </w:rPr>
        <w:t xml:space="preserve">The Summary view aggregates all data from the preceding steps and presents a read-only overview to the agent before final submission. The Submit button is disabled if any unresolved errors exist.</w:t>
      </w:r>
    </w:p>
    <w:p>
      <w:pPr>
        <w:spacing w:after="0" w:before="120"/>
      </w:pPr>
    </w:p>
    <w:p>
      <w:pPr>
        <w:pStyle w:val="Heading2"/>
        <w:pBdr>
          <w:bottom w:val="single" w:color="2E75B6" w:sz="3" w:space="1"/>
        </w:pBdr>
        <w:spacing w:after="100" w:before="280"/>
      </w:pPr>
      <w:r>
        <w:rPr>
          <w:rFonts w:ascii="Arial" w:cs="Arial" w:eastAsia="Arial" w:hAnsi="Arial"/>
          <w:b/>
          <w:bCs/>
          <w:color w:val="1F3864"/>
          <w:sz w:val="28"/>
          <w:szCs w:val="28"/>
        </w:rPr>
        <w:t xml:space="preserve">7.1  Summary Assignment Blocks</w:t>
      </w:r>
    </w:p>
    <w:p>
      <w:pPr>
        <w:pStyle w:val="ListParagraph"/>
        <w:numPr>
          <w:ilvl w:val="0"/>
          <w:numId w:val="3"/>
        </w:numPr>
        <w:spacing w:after="40" w:before="40"/>
      </w:pPr>
      <w:r>
        <w:rPr>
          <w:rFonts w:ascii="Arial" w:cs="Arial" w:eastAsia="Arial" w:hAnsi="Arial"/>
          <w:sz w:val="20"/>
          <w:szCs w:val="20"/>
        </w:rPr>
        <w:t xml:space="preserve">FACTA &amp; Identification block – FACTA result, PIR flag, model statements if applicable.</w:t>
      </w:r>
    </w:p>
    <w:p>
      <w:pPr>
        <w:pStyle w:val="ListParagraph"/>
        <w:numPr>
          <w:ilvl w:val="0"/>
          <w:numId w:val="3"/>
        </w:numPr>
        <w:spacing w:after="40" w:before="40"/>
      </w:pPr>
      <w:r>
        <w:rPr>
          <w:rFonts w:ascii="Arial" w:cs="Arial" w:eastAsia="Arial" w:hAnsi="Arial"/>
          <w:sz w:val="20"/>
          <w:szCs w:val="20"/>
        </w:rPr>
        <w:t xml:space="preserve">Conditions of Service – security deposit, waiver, seasonal connection fee, WPP/SPP enrollment.</w:t>
      </w:r>
    </w:p>
    <w:p>
      <w:pPr>
        <w:pStyle w:val="ListParagraph"/>
        <w:numPr>
          <w:ilvl w:val="0"/>
          <w:numId w:val="3"/>
        </w:numPr>
        <w:spacing w:after="40" w:before="40"/>
      </w:pPr>
      <w:r>
        <w:rPr>
          <w:rFonts w:ascii="Arial" w:cs="Arial" w:eastAsia="Arial" w:hAnsi="Arial"/>
          <w:sz w:val="20"/>
          <w:szCs w:val="20"/>
        </w:rPr>
        <w:t xml:space="preserve">Contracts Start at Premise – premise address, division, product description, start date (display only).</w:t>
      </w:r>
    </w:p>
    <w:p>
      <w:pPr>
        <w:pStyle w:val="ListParagraph"/>
        <w:numPr>
          <w:ilvl w:val="0"/>
          <w:numId w:val="3"/>
        </w:numPr>
        <w:spacing w:after="40" w:before="40"/>
      </w:pPr>
      <w:r>
        <w:rPr>
          <w:rFonts w:ascii="Arial" w:cs="Arial" w:eastAsia="Arial" w:hAnsi="Arial"/>
          <w:sz w:val="20"/>
          <w:szCs w:val="20"/>
        </w:rPr>
        <w:t xml:space="preserve">Address – Invoice – default mailing address from Address Maintenance (display only).</w:t>
      </w:r>
    </w:p>
    <w:p>
      <w:pPr>
        <w:pStyle w:val="ListParagraph"/>
        <w:numPr>
          <w:ilvl w:val="0"/>
          <w:numId w:val="3"/>
        </w:numPr>
        <w:spacing w:after="40" w:before="40"/>
      </w:pPr>
      <w:r>
        <w:rPr>
          <w:rFonts w:ascii="Arial" w:cs="Arial" w:eastAsia="Arial" w:hAnsi="Arial"/>
          <w:sz w:val="20"/>
          <w:szCs w:val="20"/>
        </w:rPr>
        <w:t xml:space="preserve">Customer Info Notes – editable long-text note; transferred to Interaction Record on submit (text type = System Notes).</w:t>
      </w:r>
    </w:p>
    <w:p>
      <w:pPr>
        <w:pStyle w:val="ListParagraph"/>
        <w:numPr>
          <w:ilvl w:val="0"/>
          <w:numId w:val="3"/>
        </w:numPr>
        <w:spacing w:after="40" w:before="40"/>
      </w:pPr>
      <w:r>
        <w:rPr>
          <w:rFonts w:ascii="Arial" w:cs="Arial" w:eastAsia="Arial" w:hAnsi="Arial"/>
          <w:sz w:val="20"/>
          <w:szCs w:val="20"/>
        </w:rPr>
        <w:t xml:space="preserve">Notifications – all service orders/notifications created in Step 4 (display only).</w:t>
      </w:r>
    </w:p>
    <w:p>
      <w:pPr>
        <w:spacing w:after="0" w:before="120"/>
      </w:pPr>
    </w:p>
    <w:p>
      <w:pPr>
        <w:pStyle w:val="Heading2"/>
        <w:pBdr>
          <w:bottom w:val="single" w:color="2E75B6" w:sz="3" w:space="1"/>
        </w:pBdr>
        <w:spacing w:after="100" w:before="280"/>
      </w:pPr>
      <w:r>
        <w:rPr>
          <w:rFonts w:ascii="Arial" w:cs="Arial" w:eastAsia="Arial" w:hAnsi="Arial"/>
          <w:b/>
          <w:bCs/>
          <w:color w:val="1F3864"/>
          <w:sz w:val="28"/>
          <w:szCs w:val="28"/>
        </w:rPr>
        <w:t xml:space="preserve">7.2  Model Statements (Read to Customer)</w:t>
      </w:r>
    </w:p>
    <w:p>
      <w:pPr>
        <w:spacing w:after="0" w:before="120"/>
      </w:pP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500"/>
        <w:gridCol w:w="6800"/>
      </w:tblGrid>
      <w:tr>
        <w:trPr>
          <w:tblHeader/>
        </w:trPr>
        <w:tc>
          <w:tcPr>
            <w:tcW w:type="dxa" w:w="25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Condition</w:t>
            </w:r>
          </w:p>
        </w:tc>
        <w:tc>
          <w:tcPr>
            <w:tcW w:type="dxa" w:w="68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Model Statement Trigger</w:t>
            </w:r>
          </w:p>
        </w:tc>
      </w:tr>
      <w:tr>
        <w:tc>
          <w:tcPr>
            <w:tcW w:type="dxa" w:w="2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FACTA Failed + Positive ID Required</w:t>
            </w:r>
          </w:p>
        </w:tc>
        <w:tc>
          <w:tcPr>
            <w:tcW w:type="dxa" w:w="6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Read: 'For your protection, we must validate your identification... come into our office within five business days...'</w:t>
            </w:r>
          </w:p>
        </w:tc>
      </w:tr>
      <w:tr>
        <w:tc>
          <w:tcPr>
            <w:tcW w:type="dxa" w:w="25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FACTA Passed + Security Deposit Required</w:t>
            </w:r>
          </w:p>
        </w:tc>
        <w:tc>
          <w:tcPr>
            <w:tcW w:type="dxa" w:w="68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Read: 'To complete your request for service, you will be required to pay a security deposit of [amount] within five business days...'</w:t>
            </w:r>
          </w:p>
        </w:tc>
      </w:tr>
      <w:tr>
        <w:tc>
          <w:tcPr>
            <w:tcW w:type="dxa" w:w="2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FACTA Passed + Positive ID Required</w:t>
            </w:r>
          </w:p>
        </w:tc>
        <w:tc>
          <w:tcPr>
            <w:tcW w:type="dxa" w:w="6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Read: 'To complete your request for service, additional information is required. Come into our office within five business days...'</w:t>
            </w:r>
          </w:p>
        </w:tc>
      </w:tr>
      <w:tr>
        <w:tc>
          <w:tcPr>
            <w:tcW w:type="dxa" w:w="25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Customer Refused ID</w:t>
            </w:r>
          </w:p>
        </w:tc>
        <w:tc>
          <w:tcPr>
            <w:tcW w:type="dxa" w:w="68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Read: 'For your protection... you must personally come into our office to request service...'</w:t>
            </w:r>
          </w:p>
        </w:tc>
      </w:tr>
    </w:tbl>
    <w:p>
      <w:pPr>
        <w:spacing w:after="0" w:before="120"/>
      </w:pPr>
    </w:p>
    <w:p>
      <w:pPr>
        <w:pStyle w:val="Heading2"/>
        <w:pBdr>
          <w:bottom w:val="single" w:color="2E75B6" w:sz="3" w:space="1"/>
        </w:pBdr>
        <w:spacing w:after="100" w:before="280"/>
      </w:pPr>
      <w:r>
        <w:rPr>
          <w:rFonts w:ascii="Arial" w:cs="Arial" w:eastAsia="Arial" w:hAnsi="Arial"/>
          <w:b/>
          <w:bCs/>
          <w:color w:val="1F3864"/>
          <w:sz w:val="28"/>
          <w:szCs w:val="28"/>
        </w:rPr>
        <w:t xml:space="preserve">7.3  Submit Processing</w:t>
      </w:r>
    </w:p>
    <w:p>
      <w:pPr>
        <w:spacing w:after="60" w:before="60"/>
      </w:pPr>
      <w:r>
        <w:rPr>
          <w:rFonts w:ascii="Arial" w:cs="Arial" w:eastAsia="Arial" w:hAnsi="Arial"/>
          <w:sz w:val="20"/>
          <w:szCs w:val="20"/>
        </w:rPr>
        <w:t xml:space="preserve">On Submit, the following actions are executed in sequence:</w:t>
      </w:r>
    </w:p>
    <w:p>
      <w:pPr>
        <w:pStyle w:val="ListParagraph"/>
        <w:numPr>
          <w:ilvl w:val="0"/>
          <w:numId w:val="3"/>
        </w:numPr>
        <w:spacing w:after="40" w:before="40"/>
      </w:pPr>
      <w:r>
        <w:rPr>
          <w:rFonts w:ascii="Arial" w:cs="Arial" w:eastAsia="Arial" w:hAnsi="Arial"/>
          <w:sz w:val="20"/>
          <w:szCs w:val="20"/>
        </w:rPr>
        <w:t xml:space="preserve">Business Agreement (BuAg) is created in the background via custom API MD_ENH_090-BuAg_Default_Fields with auto-populated Tax Code and BuAg Class.</w:t>
      </w:r>
    </w:p>
    <w:p>
      <w:pPr>
        <w:pStyle w:val="ListParagraph"/>
        <w:numPr>
          <w:ilvl w:val="0"/>
          <w:numId w:val="3"/>
        </w:numPr>
        <w:spacing w:after="40" w:before="40"/>
      </w:pPr>
      <w:r>
        <w:rPr>
          <w:rFonts w:ascii="Arial" w:cs="Arial" w:eastAsia="Arial" w:hAnsi="Arial"/>
          <w:sz w:val="20"/>
          <w:szCs w:val="20"/>
        </w:rPr>
        <w:t xml:space="preserve">IS-U Move-In Workflow WS93000115 is triggered after CRM contract replication to ECC.</w:t>
      </w:r>
    </w:p>
    <w:p>
      <w:pPr>
        <w:pStyle w:val="ListParagraph"/>
        <w:numPr>
          <w:ilvl w:val="0"/>
          <w:numId w:val="3"/>
        </w:numPr>
        <w:spacing w:after="40" w:before="40"/>
      </w:pPr>
      <w:r>
        <w:rPr>
          <w:rFonts w:ascii="Arial" w:cs="Arial" w:eastAsia="Arial" w:hAnsi="Arial"/>
          <w:sz w:val="20"/>
          <w:szCs w:val="20"/>
        </w:rPr>
        <w:t xml:space="preserve">Interaction Record is written with APP ID = CM_CRNC: 'New Contract Created for [Contract Start Date]. Pending conditions: [PIR/SDR/FACTA flags]'.</w:t>
      </w:r>
    </w:p>
    <w:p>
      <w:pPr>
        <w:pStyle w:val="ListParagraph"/>
        <w:numPr>
          <w:ilvl w:val="0"/>
          <w:numId w:val="3"/>
        </w:numPr>
        <w:spacing w:after="40" w:before="40"/>
      </w:pPr>
      <w:r>
        <w:rPr>
          <w:rFonts w:ascii="Arial" w:cs="Arial" w:eastAsia="Arial" w:hAnsi="Arial"/>
          <w:sz w:val="20"/>
          <w:szCs w:val="20"/>
        </w:rPr>
        <w:t xml:space="preserve">If a Force Ended Contract was created during the session: additional Interaction Record with APP ID = CM_CREC.</w:t>
      </w:r>
    </w:p>
    <w:p>
      <w:pPr>
        <w:pStyle w:val="ListParagraph"/>
        <w:numPr>
          <w:ilvl w:val="0"/>
          <w:numId w:val="3"/>
        </w:numPr>
        <w:spacing w:after="40" w:before="40"/>
      </w:pPr>
      <w:r>
        <w:rPr>
          <w:rFonts w:ascii="Arial" w:cs="Arial" w:eastAsia="Arial" w:hAnsi="Arial"/>
          <w:sz w:val="20"/>
          <w:szCs w:val="20"/>
        </w:rPr>
        <w:t xml:space="preserve">Service Order and Notification numbers returned from IS-U are stored on the contract for traceability.</w:t>
      </w:r>
    </w:p>
    <w:p>
      <w:pPr>
        <w:pStyle w:val="ListParagraph"/>
        <w:numPr>
          <w:ilvl w:val="0"/>
          <w:numId w:val="3"/>
        </w:numPr>
        <w:spacing w:after="40" w:before="40"/>
      </w:pPr>
      <w:r>
        <w:rPr>
          <w:rFonts w:ascii="Arial" w:cs="Arial" w:eastAsia="Arial" w:hAnsi="Arial"/>
          <w:sz w:val="20"/>
          <w:szCs w:val="20"/>
        </w:rPr>
        <w:t xml:space="preserve">Summary screen presented to agent with order/notification numbers to communicate to customer.</w:t>
      </w:r>
    </w:p>
    <w:p>
      <w:pPr>
        <w:spacing w:after="0" w:before="120"/>
      </w:pPr>
    </w:p>
    <w:p>
      <w:pPr>
        <w:pStyle w:val="Heading2"/>
        <w:pBdr>
          <w:bottom w:val="single" w:color="2E75B6" w:sz="3" w:space="1"/>
        </w:pBdr>
        <w:spacing w:after="100" w:before="280"/>
      </w:pPr>
      <w:r>
        <w:rPr>
          <w:rFonts w:ascii="Arial" w:cs="Arial" w:eastAsia="Arial" w:hAnsi="Arial"/>
          <w:b/>
          <w:bCs/>
          <w:color w:val="1F3864"/>
          <w:sz w:val="28"/>
          <w:szCs w:val="28"/>
        </w:rPr>
        <w:t xml:space="preserve">7.4  Dry-Run Capability (SSC V2 Native)</w:t>
      </w:r>
    </w:p>
    <w:p>
      <w:pPr>
        <w:spacing w:after="60" w:before="60"/>
      </w:pPr>
      <w:r>
        <w:rPr>
          <w:rFonts w:ascii="Arial" w:cs="Arial" w:eastAsia="Arial" w:hAnsi="Arial"/>
          <w:sz w:val="20"/>
          <w:szCs w:val="20"/>
        </w:rPr>
        <w:t xml:space="preserve">SSC V2 supports a Dry Run mode for Move-In, allowing the agent or customer to validate all inputs and receive pre-calculated deposit amounts, order codes, and scheduling slots without committing data to S/4HANA. This is invoked via the 'Submit via MDT' button or the Dry Run API.</w:t>
      </w:r>
    </w:p>
    <w:p>
      <w:pPr>
        <w:spacing w:after="0" w:before="120"/>
      </w:pPr>
    </w:p>
    <w:p>
      <w:r>
        <w:br w:type="page"/>
      </w:r>
    </w:p>
    <w:p>
      <w:pPr>
        <w:pStyle w:val="Heading1"/>
        <w:pBdr>
          <w:bottom w:val="single" w:color="2E75B6" w:sz="4"/>
        </w:pBdr>
        <w:shd w:fill="1F3864" w:val="clear"/>
        <w:spacing w:after="120" w:before="360"/>
        <w:ind w:left="120" w:right="120"/>
      </w:pPr>
      <w:r>
        <w:rPr>
          <w:rFonts w:ascii="Arial" w:cs="Arial" w:eastAsia="Arial" w:hAnsi="Arial"/>
          <w:b/>
          <w:bCs/>
          <w:color w:val="FFFFFF"/>
          <w:sz w:val="36"/>
          <w:szCs w:val="36"/>
        </w:rPr>
        <w:t xml:space="preserve">8. SAP Service Cloud V2 – Configuration Steps</w:t>
      </w:r>
    </w:p>
    <w:p>
      <w:pPr>
        <w:spacing w:after="0" w:before="120"/>
      </w:pPr>
    </w:p>
    <w:p>
      <w:pPr>
        <w:pStyle w:val="Heading2"/>
        <w:pBdr>
          <w:bottom w:val="single" w:color="2E75B6" w:sz="3" w:space="1"/>
        </w:pBdr>
        <w:spacing w:after="100" w:before="280"/>
      </w:pPr>
      <w:r>
        <w:rPr>
          <w:rFonts w:ascii="Arial" w:cs="Arial" w:eastAsia="Arial" w:hAnsi="Arial"/>
          <w:b/>
          <w:bCs/>
          <w:color w:val="1F3864"/>
          <w:sz w:val="28"/>
          <w:szCs w:val="28"/>
        </w:rPr>
        <w:t xml:space="preserve">8.1  Utilities Add-On Activation</w:t>
      </w:r>
    </w:p>
    <w:p>
      <w:pPr>
        <w:pStyle w:val="ListParagraph"/>
        <w:numPr>
          <w:ilvl w:val="0"/>
          <w:numId w:val="2"/>
        </w:numPr>
        <w:spacing w:after="40" w:before="40"/>
      </w:pPr>
      <w:r>
        <w:rPr>
          <w:rFonts w:ascii="Arial" w:cs="Arial" w:eastAsia="Arial" w:hAnsi="Arial"/>
          <w:sz w:val="20"/>
          <w:szCs w:val="20"/>
        </w:rPr>
        <w:t xml:space="preserve">Activate IS-U CS-C4C component (IS-UT 808 SP0 minimum; apply OSS Notes 3469751, 3483270, 3479320, 3484932, 3725105).</w:t>
      </w:r>
    </w:p>
    <w:p>
      <w:pPr>
        <w:pStyle w:val="ListParagraph"/>
        <w:numPr>
          <w:ilvl w:val="0"/>
          <w:numId w:val="2"/>
        </w:numPr>
        <w:spacing w:after="40" w:before="40"/>
      </w:pPr>
      <w:r>
        <w:rPr>
          <w:rFonts w:ascii="Arial" w:cs="Arial" w:eastAsia="Arial" w:hAnsi="Arial"/>
          <w:sz w:val="20"/>
          <w:szCs w:val="20"/>
        </w:rPr>
        <w:t xml:space="preserve">In SSC V2: Settings → Utilities → Move Process → General Settings — configure default date limits, address types, country, currency, and services.</w:t>
      </w:r>
    </w:p>
    <w:p>
      <w:pPr>
        <w:pStyle w:val="ListParagraph"/>
        <w:numPr>
          <w:ilvl w:val="0"/>
          <w:numId w:val="2"/>
        </w:numPr>
        <w:spacing w:after="40" w:before="40"/>
      </w:pPr>
      <w:r>
        <w:rPr>
          <w:rFonts w:ascii="Arial" w:cs="Arial" w:eastAsia="Arial" w:hAnsi="Arial"/>
          <w:sz w:val="20"/>
          <w:szCs w:val="20"/>
        </w:rPr>
        <w:t xml:space="preserve">Enable Move-In Guided Process in the Agent Console sidebar under Utilities module.</w:t>
      </w:r>
    </w:p>
    <w:p>
      <w:pPr>
        <w:spacing w:after="0" w:before="120"/>
      </w:pPr>
    </w:p>
    <w:p>
      <w:pPr>
        <w:pStyle w:val="Heading2"/>
        <w:pBdr>
          <w:bottom w:val="single" w:color="2E75B6" w:sz="3" w:space="1"/>
        </w:pBdr>
        <w:spacing w:after="100" w:before="280"/>
      </w:pPr>
      <w:r>
        <w:rPr>
          <w:rFonts w:ascii="Arial" w:cs="Arial" w:eastAsia="Arial" w:hAnsi="Arial"/>
          <w:b/>
          <w:bCs/>
          <w:color w:val="1F3864"/>
          <w:sz w:val="28"/>
          <w:szCs w:val="28"/>
        </w:rPr>
        <w:t xml:space="preserve">8.2  Communication Configuration (SSC V2 ↔ S/4HANA via CPI)</w:t>
      </w:r>
    </w:p>
    <w:p>
      <w:pPr>
        <w:pStyle w:val="ListParagraph"/>
        <w:numPr>
          <w:ilvl w:val="0"/>
          <w:numId w:val="2"/>
        </w:numPr>
        <w:spacing w:after="40" w:before="40"/>
      </w:pPr>
      <w:r>
        <w:rPr>
          <w:rFonts w:ascii="Arial" w:cs="Arial" w:eastAsia="Arial" w:hAnsi="Arial"/>
          <w:sz w:val="20"/>
          <w:szCs w:val="20"/>
        </w:rPr>
        <w:t xml:space="preserve">Create Communication System for S/4HANA (Settings → All Settings → Integration → Communication Configuration).</w:t>
      </w:r>
    </w:p>
    <w:p>
      <w:pPr>
        <w:pStyle w:val="ListParagraph"/>
        <w:numPr>
          <w:ilvl w:val="0"/>
          <w:numId w:val="2"/>
        </w:numPr>
        <w:spacing w:after="40" w:before="40"/>
      </w:pPr>
      <w:r>
        <w:rPr>
          <w:rFonts w:ascii="Arial" w:cs="Arial" w:eastAsia="Arial" w:hAnsi="Arial"/>
          <w:sz w:val="20"/>
          <w:szCs w:val="20"/>
        </w:rPr>
        <w:t xml:space="preserve">Add Inbound Configuration: 'Replicate Premise from SAP S/4HANA'.</w:t>
      </w:r>
    </w:p>
    <w:p>
      <w:pPr>
        <w:pStyle w:val="ListParagraph"/>
        <w:numPr>
          <w:ilvl w:val="0"/>
          <w:numId w:val="2"/>
        </w:numPr>
        <w:spacing w:after="40" w:before="40"/>
      </w:pPr>
      <w:r>
        <w:rPr>
          <w:rFonts w:ascii="Arial" w:cs="Arial" w:eastAsia="Arial" w:hAnsi="Arial"/>
          <w:sz w:val="20"/>
          <w:szCs w:val="20"/>
        </w:rPr>
        <w:t xml:space="preserve">Add Inbound Configuration: 'Replicate Utilities Contract Account from SAP S/4HANA'.</w:t>
      </w:r>
    </w:p>
    <w:p>
      <w:pPr>
        <w:pStyle w:val="ListParagraph"/>
        <w:numPr>
          <w:ilvl w:val="0"/>
          <w:numId w:val="2"/>
        </w:numPr>
        <w:spacing w:after="40" w:before="40"/>
      </w:pPr>
      <w:r>
        <w:rPr>
          <w:rFonts w:ascii="Arial" w:cs="Arial" w:eastAsia="Arial" w:hAnsi="Arial"/>
          <w:sz w:val="20"/>
          <w:szCs w:val="20"/>
        </w:rPr>
        <w:t xml:space="preserve">Configure 'Integrate Service Cloud Utilities Master Data with SAP S/4HANA' module.</w:t>
      </w:r>
    </w:p>
    <w:p>
      <w:pPr>
        <w:spacing w:after="0" w:before="120"/>
      </w:pPr>
    </w:p>
    <w:p>
      <w:pPr>
        <w:pStyle w:val="Heading2"/>
        <w:pBdr>
          <w:bottom w:val="single" w:color="2E75B6" w:sz="3" w:space="1"/>
        </w:pBdr>
        <w:spacing w:after="100" w:before="280"/>
      </w:pPr>
      <w:r>
        <w:rPr>
          <w:rFonts w:ascii="Arial" w:cs="Arial" w:eastAsia="Arial" w:hAnsi="Arial"/>
          <w:b/>
          <w:bCs/>
          <w:color w:val="1F3864"/>
          <w:sz w:val="28"/>
          <w:szCs w:val="28"/>
        </w:rPr>
        <w:t xml:space="preserve">8.3  BAdI Configuration (Extensibility)</w:t>
      </w:r>
    </w:p>
    <w:p>
      <w:pPr>
        <w:spacing w:after="0" w:before="120"/>
      </w:pP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00"/>
      </w:tblGrid>
      <w:tr>
        <w:trPr>
          <w:tblHeader/>
        </w:trPr>
        <w:tc>
          <w:tcPr>
            <w:tcW w:type="dxa" w:w="30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BAdI / Enhancement Spot</w:t>
            </w:r>
          </w:p>
        </w:tc>
        <w:tc>
          <w:tcPr>
            <w:tcW w:type="dxa" w:w="30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Purpose</w:t>
            </w:r>
          </w:p>
        </w:tc>
        <w:tc>
          <w:tcPr>
            <w:tcW w:type="dxa" w:w="33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Transaction</w:t>
            </w:r>
          </w:p>
        </w:tc>
      </w:tr>
      <w:tr>
        <w:tc>
          <w:tcPr>
            <w:tcW w:type="dxa" w:w="3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ISU_C4C_V2_SEC_DEPOSIT_CALC</w:t>
            </w:r>
          </w:p>
        </w:tc>
        <w:tc>
          <w:tcPr>
            <w:tcW w:type="dxa" w:w="3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Custom security deposit calculation logic</w:t>
            </w:r>
          </w:p>
        </w:tc>
        <w:tc>
          <w:tcPr>
            <w:tcW w:type="dxa" w:w="33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SE18 / Extensibility</w:t>
            </w:r>
          </w:p>
        </w:tc>
      </w:tr>
      <w:tr>
        <w:tc>
          <w:tcPr>
            <w:tcW w:type="dxa" w:w="30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EHP_ISU_C4C_ADDRESS_LOGIC_MI / ES_ISU_C4C_MOVE_EDIT</w:t>
            </w:r>
          </w:p>
        </w:tc>
        <w:tc>
          <w:tcPr>
            <w:tcW w:type="dxa" w:w="30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Custom address default logic (Premise / Customer)</w:t>
            </w:r>
          </w:p>
        </w:tc>
        <w:tc>
          <w:tcPr>
            <w:tcW w:type="dxa" w:w="33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SE18</w:t>
            </w:r>
          </w:p>
        </w:tc>
      </w:tr>
      <w:tr>
        <w:tc>
          <w:tcPr>
            <w:tcW w:type="dxa" w:w="3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ISU_C4C_V2_TECH_OBJS_REPL</w:t>
            </w:r>
          </w:p>
        </w:tc>
        <w:tc>
          <w:tcPr>
            <w:tcW w:type="dxa" w:w="3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Extend premise/connection object replication payload</w:t>
            </w:r>
          </w:p>
        </w:tc>
        <w:tc>
          <w:tcPr>
            <w:tcW w:type="dxa" w:w="33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SE18</w:t>
            </w:r>
          </w:p>
        </w:tc>
      </w:tr>
      <w:tr>
        <w:tc>
          <w:tcPr>
            <w:tcW w:type="dxa" w:w="30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ISU_C4C_V2_REPLICATION_CONF</w:t>
            </w:r>
          </w:p>
        </w:tc>
        <w:tc>
          <w:tcPr>
            <w:tcW w:type="dxa" w:w="30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Dynamically change logical port for outbound replication</w:t>
            </w:r>
          </w:p>
        </w:tc>
        <w:tc>
          <w:tcPr>
            <w:tcW w:type="dxa" w:w="33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SE18</w:t>
            </w:r>
          </w:p>
        </w:tc>
      </w:tr>
      <w:tr>
        <w:tc>
          <w:tcPr>
            <w:tcW w:type="dxa" w:w="3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MDG_ID_MAPPING_API</w:t>
            </w:r>
          </w:p>
        </w:tc>
        <w:tc>
          <w:tcPr>
            <w:tcW w:type="dxa" w:w="3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Modify local system determination during DRF processing</w:t>
            </w:r>
          </w:p>
        </w:tc>
        <w:tc>
          <w:tcPr>
            <w:tcW w:type="dxa" w:w="33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SE18</w:t>
            </w:r>
          </w:p>
        </w:tc>
      </w:tr>
    </w:tbl>
    <w:p>
      <w:pPr>
        <w:spacing w:after="0" w:before="120"/>
      </w:pPr>
    </w:p>
    <w:p>
      <w:pPr>
        <w:pStyle w:val="Heading2"/>
        <w:pBdr>
          <w:bottom w:val="single" w:color="2E75B6" w:sz="3" w:space="1"/>
        </w:pBdr>
        <w:spacing w:after="100" w:before="280"/>
      </w:pPr>
      <w:r>
        <w:rPr>
          <w:rFonts w:ascii="Arial" w:cs="Arial" w:eastAsia="Arial" w:hAnsi="Arial"/>
          <w:b/>
          <w:bCs/>
          <w:color w:val="1F3864"/>
          <w:sz w:val="28"/>
          <w:szCs w:val="28"/>
        </w:rPr>
        <w:t xml:space="preserve">8.4  Guided Process / Scripting Configuration</w:t>
      </w:r>
    </w:p>
    <w:p>
      <w:pPr>
        <w:pStyle w:val="ListParagraph"/>
        <w:numPr>
          <w:ilvl w:val="0"/>
          <w:numId w:val="2"/>
        </w:numPr>
        <w:spacing w:after="40" w:before="40"/>
      </w:pPr>
      <w:r>
        <w:rPr>
          <w:rFonts w:ascii="Arial" w:cs="Arial" w:eastAsia="Arial" w:hAnsi="Arial"/>
          <w:sz w:val="20"/>
          <w:szCs w:val="20"/>
        </w:rPr>
        <w:t xml:space="preserve">Define Move-In Guided Process with 6 steps matching the process framework in Section 3.</w:t>
      </w:r>
    </w:p>
    <w:p>
      <w:pPr>
        <w:pStyle w:val="ListParagraph"/>
        <w:numPr>
          <w:ilvl w:val="0"/>
          <w:numId w:val="2"/>
        </w:numPr>
        <w:spacing w:after="40" w:before="40"/>
      </w:pPr>
      <w:r>
        <w:rPr>
          <w:rFonts w:ascii="Arial" w:cs="Arial" w:eastAsia="Arial" w:hAnsi="Arial"/>
          <w:sz w:val="20"/>
          <w:szCs w:val="20"/>
        </w:rPr>
        <w:t xml:space="preserve">Configure step dependencies: each step is enabled only when the prior step completes without error.</w:t>
      </w:r>
    </w:p>
    <w:p>
      <w:pPr>
        <w:pStyle w:val="ListParagraph"/>
        <w:numPr>
          <w:ilvl w:val="0"/>
          <w:numId w:val="2"/>
        </w:numPr>
        <w:spacing w:after="40" w:before="40"/>
      </w:pPr>
      <w:r>
        <w:rPr>
          <w:rFonts w:ascii="Arial" w:cs="Arial" w:eastAsia="Arial" w:hAnsi="Arial"/>
          <w:sz w:val="20"/>
          <w:szCs w:val="20"/>
        </w:rPr>
        <w:t xml:space="preserve">Map Scripting Questions to FACTA input fields, product questionnaire, and meter read entry.</w:t>
      </w:r>
    </w:p>
    <w:p>
      <w:pPr>
        <w:pStyle w:val="ListParagraph"/>
        <w:numPr>
          <w:ilvl w:val="0"/>
          <w:numId w:val="2"/>
        </w:numPr>
        <w:spacing w:after="40" w:before="40"/>
      </w:pPr>
      <w:r>
        <w:rPr>
          <w:rFonts w:ascii="Arial" w:cs="Arial" w:eastAsia="Arial" w:hAnsi="Arial"/>
          <w:sz w:val="20"/>
          <w:szCs w:val="20"/>
        </w:rPr>
        <w:t xml:space="preserve">Configure step-level error messages (System Error codes 070, 110, 020 mapped from legacy PP6).</w:t>
      </w:r>
    </w:p>
    <w:p>
      <w:pPr>
        <w:pStyle w:val="ListParagraph"/>
        <w:numPr>
          <w:ilvl w:val="0"/>
          <w:numId w:val="2"/>
        </w:numPr>
        <w:spacing w:after="40" w:before="40"/>
      </w:pPr>
      <w:r>
        <w:rPr>
          <w:rFonts w:ascii="Arial" w:cs="Arial" w:eastAsia="Arial" w:hAnsi="Arial"/>
          <w:sz w:val="20"/>
          <w:szCs w:val="20"/>
        </w:rPr>
        <w:t xml:space="preserve">Enable 'Cancel Process' button with confirmation popup and automatic order cancellation trigger.</w:t>
      </w:r>
    </w:p>
    <w:p>
      <w:pPr>
        <w:spacing w:after="0" w:before="120"/>
      </w:pPr>
    </w:p>
    <w:p>
      <w:pPr>
        <w:pStyle w:val="Heading2"/>
        <w:pBdr>
          <w:bottom w:val="single" w:color="2E75B6" w:sz="3" w:space="1"/>
        </w:pBdr>
        <w:spacing w:after="100" w:before="280"/>
      </w:pPr>
      <w:r>
        <w:rPr>
          <w:rFonts w:ascii="Arial" w:cs="Arial" w:eastAsia="Arial" w:hAnsi="Arial"/>
          <w:b/>
          <w:bCs/>
          <w:color w:val="1F3864"/>
          <w:sz w:val="28"/>
          <w:szCs w:val="28"/>
        </w:rPr>
        <w:t xml:space="preserve">8.5  Security &amp; Role Configuration</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600"/>
        <w:gridCol w:w="3400"/>
        <w:gridCol w:w="4300"/>
      </w:tblGrid>
      <w:tr>
        <w:trPr>
          <w:tblHeader/>
        </w:trPr>
        <w:tc>
          <w:tcPr>
            <w:tcW w:type="dxa" w:w="16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Role</w:t>
            </w:r>
          </w:p>
        </w:tc>
        <w:tc>
          <w:tcPr>
            <w:tcW w:type="dxa" w:w="34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Permitted Actions</w:t>
            </w:r>
          </w:p>
        </w:tc>
        <w:tc>
          <w:tcPr>
            <w:tcW w:type="dxa" w:w="43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Restrictions</w:t>
            </w:r>
          </w:p>
        </w:tc>
      </w:tr>
      <w:tr>
        <w:tc>
          <w:tcPr>
            <w:tcW w:type="dxa" w:w="1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CSR 2 / 3 / 4</w:t>
            </w:r>
          </w:p>
        </w:tc>
        <w:tc>
          <w:tcPr>
            <w:tcW w:type="dxa" w:w="3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Full Move-In process; FACTA mandatory</w:t>
            </w:r>
          </w:p>
        </w:tc>
        <w:tc>
          <w:tcPr>
            <w:tcW w:type="dxa" w:w="43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Cannot skip FACTA; Cannot create back-office meter orders</w:t>
            </w:r>
          </w:p>
        </w:tc>
      </w:tr>
      <w:tr>
        <w:tc>
          <w:tcPr>
            <w:tcW w:type="dxa" w:w="16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VCC Management</w:t>
            </w:r>
          </w:p>
        </w:tc>
        <w:tc>
          <w:tcPr>
            <w:tcW w:type="dxa" w:w="34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All CSR actions + team lead override on open-order blocks</w:t>
            </w:r>
          </w:p>
        </w:tc>
        <w:tc>
          <w:tcPr>
            <w:tcW w:type="dxa" w:w="43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Back-office order types controlled by security</w:t>
            </w:r>
          </w:p>
        </w:tc>
      </w:tr>
      <w:tr>
        <w:tc>
          <w:tcPr>
            <w:tcW w:type="dxa" w:w="1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BCOS / Billing / Revenue Recovery</w:t>
            </w:r>
          </w:p>
        </w:tc>
        <w:tc>
          <w:tcPr>
            <w:tcW w:type="dxa" w:w="3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Back-office meter orders (Read, Remove)</w:t>
            </w:r>
          </w:p>
        </w:tc>
        <w:tc>
          <w:tcPr>
            <w:tcW w:type="dxa" w:w="43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Cannot access front-office MOM types</w:t>
            </w:r>
          </w:p>
        </w:tc>
      </w:tr>
      <w:tr>
        <w:tc>
          <w:tcPr>
            <w:tcW w:type="dxa" w:w="16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Consumer Affairs</w:t>
            </w:r>
          </w:p>
        </w:tc>
        <w:tc>
          <w:tcPr>
            <w:tcW w:type="dxa" w:w="34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View contract and notification data; create notes</w:t>
            </w:r>
          </w:p>
        </w:tc>
        <w:tc>
          <w:tcPr>
            <w:tcW w:type="dxa" w:w="43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No order creation</w:t>
            </w:r>
          </w:p>
        </w:tc>
      </w:tr>
    </w:tbl>
    <w:p>
      <w:pPr>
        <w:spacing w:after="0" w:before="120"/>
      </w:pPr>
    </w:p>
    <w:p>
      <w:pPr>
        <w:pStyle w:val="Heading1"/>
        <w:pBdr>
          <w:bottom w:val="single" w:color="2E75B6" w:sz="4"/>
        </w:pBdr>
        <w:shd w:fill="1F3864" w:val="clear"/>
        <w:spacing w:after="120" w:before="360"/>
        <w:ind w:left="120" w:right="120"/>
      </w:pPr>
      <w:r>
        <w:rPr>
          <w:rFonts w:ascii="Arial" w:cs="Arial" w:eastAsia="Arial" w:hAnsi="Arial"/>
          <w:b/>
          <w:bCs/>
          <w:color w:val="FFFFFF"/>
          <w:sz w:val="36"/>
          <w:szCs w:val="36"/>
        </w:rPr>
        <w:t xml:space="preserve">9. SAP S/4HANA IS-U – Configuration Steps</w:t>
      </w:r>
    </w:p>
    <w:p>
      <w:pPr>
        <w:spacing w:after="0" w:before="120"/>
      </w:pPr>
    </w:p>
    <w:p>
      <w:pPr>
        <w:pStyle w:val="Heading2"/>
        <w:pBdr>
          <w:bottom w:val="single" w:color="2E75B6" w:sz="3" w:space="1"/>
        </w:pBdr>
        <w:spacing w:after="100" w:before="280"/>
      </w:pPr>
      <w:r>
        <w:rPr>
          <w:rFonts w:ascii="Arial" w:cs="Arial" w:eastAsia="Arial" w:hAnsi="Arial"/>
          <w:b/>
          <w:bCs/>
          <w:color w:val="1F3864"/>
          <w:sz w:val="28"/>
          <w:szCs w:val="28"/>
        </w:rPr>
        <w:t xml:space="preserve">9.1  Master Data Replication Setup</w:t>
      </w:r>
    </w:p>
    <w:p>
      <w:pPr>
        <w:pStyle w:val="Heading3"/>
        <w:spacing w:after="80" w:before="200"/>
      </w:pPr>
      <w:r>
        <w:rPr>
          <w:rFonts w:ascii="Arial" w:cs="Arial" w:eastAsia="Arial" w:hAnsi="Arial"/>
          <w:b/>
          <w:bCs/>
          <w:color w:val="2E75B6"/>
          <w:sz w:val="24"/>
          <w:szCs w:val="24"/>
        </w:rPr>
        <w:t xml:space="preserve">Contract Account Replication</w:t>
      </w:r>
    </w:p>
    <w:p>
      <w:pPr>
        <w:pStyle w:val="ListParagraph"/>
        <w:numPr>
          <w:ilvl w:val="0"/>
          <w:numId w:val="2"/>
        </w:numPr>
        <w:spacing w:after="40" w:before="40"/>
      </w:pPr>
      <w:r>
        <w:rPr>
          <w:rFonts w:ascii="Arial" w:cs="Arial" w:eastAsia="Arial" w:hAnsi="Arial"/>
          <w:sz w:val="20"/>
          <w:szCs w:val="20"/>
        </w:rPr>
        <w:t xml:space="preserve">SOAMANAGER → search CO_FKK_MDG_CONTRACT_ACCOUNT_BU → create logical port → configure endpoint: /cxf/Utilities/contractAccountReplication.</w:t>
      </w:r>
    </w:p>
    <w:p>
      <w:pPr>
        <w:pStyle w:val="ListParagraph"/>
        <w:numPr>
          <w:ilvl w:val="0"/>
          <w:numId w:val="2"/>
        </w:numPr>
        <w:spacing w:after="40" w:before="40"/>
      </w:pPr>
      <w:r>
        <w:rPr>
          <w:rFonts w:ascii="Arial" w:cs="Arial" w:eastAsia="Arial" w:hAnsi="Arial"/>
          <w:sz w:val="20"/>
          <w:szCs w:val="20"/>
        </w:rPr>
        <w:t xml:space="preserve">DRFIMG → Define Technical Settings for Business Systems → create DRF entry for SSC V2 system.</w:t>
      </w:r>
    </w:p>
    <w:p>
      <w:pPr>
        <w:pStyle w:val="ListParagraph"/>
        <w:numPr>
          <w:ilvl w:val="0"/>
          <w:numId w:val="2"/>
        </w:numPr>
        <w:spacing w:after="40" w:before="40"/>
      </w:pPr>
      <w:r>
        <w:rPr>
          <w:rFonts w:ascii="Arial" w:cs="Arial" w:eastAsia="Arial" w:hAnsi="Arial"/>
          <w:sz w:val="20"/>
          <w:szCs w:val="20"/>
        </w:rPr>
        <w:t xml:space="preserve">Define Replication Model → Assign Outbound Implementation DRF_0036_3 → Assign Target System → set PACK_SIZE_BULK = 20.</w:t>
      </w:r>
    </w:p>
    <w:p>
      <w:pPr>
        <w:pStyle w:val="ListParagraph"/>
        <w:numPr>
          <w:ilvl w:val="0"/>
          <w:numId w:val="2"/>
        </w:numPr>
        <w:spacing w:after="40" w:before="40"/>
      </w:pPr>
      <w:r>
        <w:rPr>
          <w:rFonts w:ascii="Arial" w:cs="Arial" w:eastAsia="Arial" w:hAnsi="Arial"/>
          <w:sz w:val="20"/>
          <w:szCs w:val="20"/>
        </w:rPr>
        <w:t xml:space="preserve">Execute initial load: DRFOUT transaction, Replication Model = &lt;your model&gt;, Outbound = 986_3.</w:t>
      </w:r>
    </w:p>
    <w:p>
      <w:pPr>
        <w:spacing w:after="0" w:before="120"/>
      </w:pPr>
    </w:p>
    <w:p>
      <w:pPr>
        <w:pStyle w:val="Heading3"/>
        <w:spacing w:after="80" w:before="200"/>
      </w:pPr>
      <w:r>
        <w:rPr>
          <w:rFonts w:ascii="Arial" w:cs="Arial" w:eastAsia="Arial" w:hAnsi="Arial"/>
          <w:b/>
          <w:bCs/>
          <w:color w:val="2E75B6"/>
          <w:sz w:val="24"/>
          <w:szCs w:val="24"/>
        </w:rPr>
        <w:t xml:space="preserve">Premise / Connection Object Replication</w:t>
      </w:r>
    </w:p>
    <w:p>
      <w:pPr>
        <w:pStyle w:val="ListParagraph"/>
        <w:numPr>
          <w:ilvl w:val="0"/>
          <w:numId w:val="2"/>
        </w:numPr>
        <w:spacing w:after="40" w:before="40"/>
      </w:pPr>
      <w:r>
        <w:rPr>
          <w:rFonts w:ascii="Arial" w:cs="Arial" w:eastAsia="Arial" w:hAnsi="Arial"/>
          <w:sz w:val="20"/>
          <w:szCs w:val="20"/>
        </w:rPr>
        <w:t xml:space="preserve">Implement OSS Note 3484932; set IS-UT 808 SP0 minimum.</w:t>
      </w:r>
    </w:p>
    <w:p>
      <w:pPr>
        <w:pStyle w:val="ListParagraph"/>
        <w:numPr>
          <w:ilvl w:val="0"/>
          <w:numId w:val="2"/>
        </w:numPr>
        <w:spacing w:after="40" w:before="40"/>
      </w:pPr>
      <w:r>
        <w:rPr>
          <w:rFonts w:ascii="Arial" w:cs="Arial" w:eastAsia="Arial" w:hAnsi="Arial"/>
          <w:sz w:val="20"/>
          <w:szCs w:val="20"/>
        </w:rPr>
        <w:t xml:space="preserve">SOAMANAGER → configure CO_ISU_C4C_V2_PREM_CONNOBJ_REP outbound service.</w:t>
      </w:r>
    </w:p>
    <w:p>
      <w:pPr>
        <w:pStyle w:val="ListParagraph"/>
        <w:numPr>
          <w:ilvl w:val="0"/>
          <w:numId w:val="2"/>
        </w:numPr>
        <w:spacing w:after="40" w:before="40"/>
      </w:pPr>
      <w:r>
        <w:rPr>
          <w:rFonts w:ascii="Arial" w:cs="Arial" w:eastAsia="Arial" w:hAnsi="Arial"/>
          <w:sz w:val="20"/>
          <w:szCs w:val="20"/>
        </w:rPr>
        <w:t xml:space="preserve">Implement BAdI ISU_C4C_V2_TECH_OBJS_REPL to pass receiver system data.</w:t>
      </w:r>
    </w:p>
    <w:p>
      <w:pPr>
        <w:pStyle w:val="ListParagraph"/>
        <w:numPr>
          <w:ilvl w:val="0"/>
          <w:numId w:val="2"/>
        </w:numPr>
        <w:spacing w:after="40" w:before="40"/>
      </w:pPr>
      <w:r>
        <w:rPr>
          <w:rFonts w:ascii="Arial" w:cs="Arial" w:eastAsia="Arial" w:hAnsi="Arial"/>
          <w:sz w:val="20"/>
          <w:szCs w:val="20"/>
        </w:rPr>
        <w:t xml:space="preserve">SWE2 → configure delta replication workflow for Connection Object (change event) and Premise (create + change events), class CL_ISU_C4C_V2_TECH_OBJ_REP, receiver type ISU_C4C_V2_TECHOBJ_REP.</w:t>
      </w:r>
    </w:p>
    <w:p>
      <w:pPr>
        <w:pStyle w:val="ListParagraph"/>
        <w:numPr>
          <w:ilvl w:val="0"/>
          <w:numId w:val="2"/>
        </w:numPr>
        <w:spacing w:after="40" w:before="40"/>
      </w:pPr>
      <w:r>
        <w:rPr>
          <w:rFonts w:ascii="Arial" w:cs="Arial" w:eastAsia="Arial" w:hAnsi="Arial"/>
          <w:sz w:val="20"/>
          <w:szCs w:val="20"/>
        </w:rPr>
        <w:t xml:space="preserve">Execute initial load report ISU_C4C_V2_TECH_OBJECTS_REPL.</w:t>
      </w:r>
    </w:p>
    <w:p>
      <w:pPr>
        <w:spacing w:after="0" w:before="120"/>
      </w:pPr>
    </w:p>
    <w:p>
      <w:pPr>
        <w:pStyle w:val="Heading3"/>
        <w:spacing w:after="80" w:before="200"/>
      </w:pPr>
      <w:r>
        <w:rPr>
          <w:rFonts w:ascii="Arial" w:cs="Arial" w:eastAsia="Arial" w:hAnsi="Arial"/>
          <w:b/>
          <w:bCs/>
          <w:color w:val="2E75B6"/>
          <w:sz w:val="24"/>
          <w:szCs w:val="24"/>
        </w:rPr>
        <w:t xml:space="preserve">Business Partner Replication</w:t>
      </w:r>
    </w:p>
    <w:p>
      <w:pPr>
        <w:pStyle w:val="ListParagraph"/>
        <w:numPr>
          <w:ilvl w:val="0"/>
          <w:numId w:val="2"/>
        </w:numPr>
        <w:spacing w:after="40" w:before="40"/>
      </w:pPr>
      <w:r>
        <w:rPr>
          <w:rFonts w:ascii="Arial" w:cs="Arial" w:eastAsia="Arial" w:hAnsi="Arial"/>
          <w:sz w:val="20"/>
          <w:szCs w:val="20"/>
        </w:rPr>
        <w:t xml:space="preserve">DRFOUT → Replication Model = &lt;your model&gt;, Outbound Implementation = 986_3, Replication Mode = Manual → select required BPs and relationships.</w:t>
      </w:r>
    </w:p>
    <w:p>
      <w:pPr>
        <w:spacing w:after="0" w:before="120"/>
      </w:pPr>
    </w:p>
    <w:p>
      <w:pPr>
        <w:pStyle w:val="Heading2"/>
        <w:pBdr>
          <w:bottom w:val="single" w:color="2E75B6" w:sz="3" w:space="1"/>
        </w:pBdr>
        <w:spacing w:after="100" w:before="280"/>
      </w:pPr>
      <w:r>
        <w:rPr>
          <w:rFonts w:ascii="Arial" w:cs="Arial" w:eastAsia="Arial" w:hAnsi="Arial"/>
          <w:b/>
          <w:bCs/>
          <w:color w:val="1F3864"/>
          <w:sz w:val="28"/>
          <w:szCs w:val="28"/>
        </w:rPr>
        <w:t xml:space="preserve">9.2  BRFplus Configuration</w:t>
      </w:r>
    </w:p>
    <w:p>
      <w:pPr>
        <w:pStyle w:val="ListParagraph"/>
        <w:numPr>
          <w:ilvl w:val="0"/>
          <w:numId w:val="2"/>
        </w:numPr>
        <w:spacing w:after="40" w:before="40"/>
      </w:pPr>
      <w:r>
        <w:rPr>
          <w:rFonts w:ascii="Arial" w:cs="Arial" w:eastAsia="Arial" w:hAnsi="Arial"/>
          <w:sz w:val="20"/>
          <w:szCs w:val="20"/>
        </w:rPr>
        <w:t xml:space="preserve">Create/configure BRFplus Function: DETERMINE_MOM_ORDER_CODES — input: MOM row entries (energy type, meter status, history, disconnect type, hardship flag); output: order code table.</w:t>
      </w:r>
    </w:p>
    <w:p>
      <w:pPr>
        <w:pStyle w:val="ListParagraph"/>
        <w:numPr>
          <w:ilvl w:val="0"/>
          <w:numId w:val="2"/>
        </w:numPr>
        <w:spacing w:after="40" w:before="40"/>
      </w:pPr>
      <w:r>
        <w:rPr>
          <w:rFonts w:ascii="Arial" w:cs="Arial" w:eastAsia="Arial" w:hAnsi="Arial"/>
          <w:sz w:val="20"/>
          <w:szCs w:val="20"/>
        </w:rPr>
        <w:t xml:space="preserve">Create/configure BRFplus Function: OPEN_ORDER_CHECK — input: Order Code 1, Order Code 2, Notification Code, Special Check Code; output: Open Order Exists boolean + static class variable OPEN_ORDER_EXISTS.</w:t>
      </w:r>
    </w:p>
    <w:p>
      <w:pPr>
        <w:pStyle w:val="ListParagraph"/>
        <w:numPr>
          <w:ilvl w:val="0"/>
          <w:numId w:val="2"/>
        </w:numPr>
        <w:spacing w:after="40" w:before="40"/>
      </w:pPr>
      <w:r>
        <w:rPr>
          <w:rFonts w:ascii="Arial" w:cs="Arial" w:eastAsia="Arial" w:hAnsi="Arial"/>
          <w:sz w:val="20"/>
          <w:szCs w:val="20"/>
        </w:rPr>
        <w:t xml:space="preserve">Create Ruleset RS_OPEN_ORDER_CHECK in DETERMINE_NEXT_VIEW function (higher-level) for central open-order check management. Exceptions (switch tree scenarios) handled at lower level.</w:t>
      </w:r>
    </w:p>
    <w:p>
      <w:pPr>
        <w:pStyle w:val="ListParagraph"/>
        <w:numPr>
          <w:ilvl w:val="0"/>
          <w:numId w:val="2"/>
        </w:numPr>
        <w:spacing w:after="40" w:before="40"/>
      </w:pPr>
      <w:r>
        <w:rPr>
          <w:rFonts w:ascii="Arial" w:cs="Arial" w:eastAsia="Arial" w:hAnsi="Arial"/>
          <w:sz w:val="20"/>
          <w:szCs w:val="20"/>
        </w:rPr>
        <w:t xml:space="preserve">Configure Decision Tables in BRFplus for MOM order code mapping (see Section 4.3) — all rules configurable without development.</w:t>
      </w:r>
    </w:p>
    <w:p>
      <w:pPr>
        <w:spacing w:after="0" w:before="120"/>
      </w:pPr>
    </w:p>
    <w:p>
      <w:pPr>
        <w:pStyle w:val="Heading2"/>
        <w:pBdr>
          <w:bottom w:val="single" w:color="2E75B6" w:sz="3" w:space="1"/>
        </w:pBdr>
        <w:spacing w:after="100" w:before="280"/>
      </w:pPr>
      <w:r>
        <w:rPr>
          <w:rFonts w:ascii="Arial" w:cs="Arial" w:eastAsia="Arial" w:hAnsi="Arial"/>
          <w:b/>
          <w:bCs/>
          <w:color w:val="1F3864"/>
          <w:sz w:val="28"/>
          <w:szCs w:val="28"/>
        </w:rPr>
        <w:t xml:space="preserve">9.3  Custom Function Modules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00"/>
      </w:tblGrid>
      <w:tr>
        <w:trPr>
          <w:tblHeader/>
        </w:trPr>
        <w:tc>
          <w:tcPr>
            <w:tcW w:type="dxa" w:w="26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Function Module / API</w:t>
            </w:r>
          </w:p>
        </w:tc>
        <w:tc>
          <w:tcPr>
            <w:tcW w:type="dxa" w:w="32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Purpose</w:t>
            </w:r>
          </w:p>
        </w:tc>
        <w:tc>
          <w:tcPr>
            <w:tcW w:type="dxa" w:w="35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Called From</w:t>
            </w:r>
          </w:p>
        </w:tc>
      </w:tr>
      <w:tr>
        <w:tc>
          <w:tcPr>
            <w:tcW w:type="dxa" w:w="2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Z_DO_EQUIFAX_CHECK</w:t>
            </w:r>
          </w:p>
        </w:tc>
        <w:tc>
          <w:tcPr>
            <w:tcW w:type="dxa" w:w="3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Real-time FACTA identity validation</w:t>
            </w:r>
          </w:p>
        </w:tc>
        <w:tc>
          <w:tcPr>
            <w:tcW w:type="dxa" w:w="3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Step 1 (Pre-Move-In)</w:t>
            </w:r>
          </w:p>
        </w:tc>
      </w:tr>
      <w:tr>
        <w:tc>
          <w:tcPr>
            <w:tcW w:type="dxa" w:w="26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Z_CALC_SECURITY_DEPOSIT</w:t>
            </w:r>
          </w:p>
        </w:tc>
        <w:tc>
          <w:tcPr>
            <w:tcW w:type="dxa" w:w="32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Calculate security deposit per POD/installation</w:t>
            </w:r>
          </w:p>
        </w:tc>
        <w:tc>
          <w:tcPr>
            <w:tcW w:type="dxa" w:w="35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Step 2 (Contract &amp; Meter Data)</w:t>
            </w:r>
          </w:p>
        </w:tc>
      </w:tr>
      <w:tr>
        <w:tc>
          <w:tcPr>
            <w:tcW w:type="dxa" w:w="2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Z_MI_VERIFY_PREMISE</w:t>
            </w:r>
          </w:p>
        </w:tc>
        <w:tc>
          <w:tcPr>
            <w:tcW w:type="dxa" w:w="3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Verify BP details, dunning level, disconnection status</w:t>
            </w:r>
          </w:p>
        </w:tc>
        <w:tc>
          <w:tcPr>
            <w:tcW w:type="dxa" w:w="3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Step 2</w:t>
            </w:r>
          </w:p>
        </w:tc>
      </w:tr>
      <w:tr>
        <w:tc>
          <w:tcPr>
            <w:tcW w:type="dxa" w:w="26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FKK_CALC_CHARGE (R2/R2)</w:t>
            </w:r>
          </w:p>
        </w:tc>
        <w:tc>
          <w:tcPr>
            <w:tcW w:type="dxa" w:w="32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Calculate seasonal connection fee</w:t>
            </w:r>
          </w:p>
        </w:tc>
        <w:tc>
          <w:tcPr>
            <w:tcW w:type="dxa" w:w="35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Step 2</w:t>
            </w:r>
          </w:p>
        </w:tc>
      </w:tr>
      <w:tr>
        <w:tc>
          <w:tcPr>
            <w:tcW w:type="dxa" w:w="2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MD_ENH_090-BuAg_Default_Fields</w:t>
            </w:r>
          </w:p>
        </w:tc>
        <w:tc>
          <w:tcPr>
            <w:tcW w:type="dxa" w:w="3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Auto-populate BuAg Class and Tax Code on Submit</w:t>
            </w:r>
          </w:p>
        </w:tc>
        <w:tc>
          <w:tcPr>
            <w:tcW w:type="dxa" w:w="3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Step 5 (Submit)</w:t>
            </w:r>
          </w:p>
        </w:tc>
      </w:tr>
      <w:tr>
        <w:tc>
          <w:tcPr>
            <w:tcW w:type="dxa" w:w="26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WS93000115 (IS-U Workflow)</w:t>
            </w:r>
          </w:p>
        </w:tc>
        <w:tc>
          <w:tcPr>
            <w:tcW w:type="dxa" w:w="32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Execute Move-In workflow post-contract replication</w:t>
            </w:r>
          </w:p>
        </w:tc>
        <w:tc>
          <w:tcPr>
            <w:tcW w:type="dxa" w:w="35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Step 5 (Submit)</w:t>
            </w:r>
          </w:p>
        </w:tc>
      </w:tr>
    </w:tbl>
    <w:p>
      <w:pPr>
        <w:spacing w:after="0" w:before="120"/>
      </w:pPr>
    </w:p>
    <w:p>
      <w:pPr>
        <w:pStyle w:val="Heading2"/>
        <w:pBdr>
          <w:bottom w:val="single" w:color="2E75B6" w:sz="3" w:space="1"/>
        </w:pBdr>
        <w:spacing w:after="100" w:before="280"/>
      </w:pPr>
      <w:r>
        <w:rPr>
          <w:rFonts w:ascii="Arial" w:cs="Arial" w:eastAsia="Arial" w:hAnsi="Arial"/>
          <w:b/>
          <w:bCs/>
          <w:color w:val="1F3864"/>
          <w:sz w:val="28"/>
          <w:szCs w:val="28"/>
        </w:rPr>
        <w:t xml:space="preserve">9.4  Order Code to IS-U Mapping Table (T399A / TEN399A)</w:t>
      </w:r>
    </w:p>
    <w:p>
      <w:pPr>
        <w:spacing w:after="60" w:before="60"/>
      </w:pPr>
      <w:r>
        <w:rPr>
          <w:rFonts w:ascii="Arial" w:cs="Arial" w:eastAsia="Arial" w:hAnsi="Arial"/>
          <w:sz w:val="20"/>
          <w:szCs w:val="20"/>
        </w:rPr>
        <w:t xml:space="preserve">All Move-In order codes must be configured in table T399A (orders) or TEN399A (notifications) to enable the open-order check. Key fields:</w:t>
      </w:r>
    </w:p>
    <w:p>
      <w:pPr>
        <w:spacing w:after="0" w:before="120"/>
      </w:pP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2200"/>
        <w:gridCol w:w="1400"/>
        <w:gridCol w:w="2500"/>
      </w:tblGrid>
      <w:tr>
        <w:trPr>
          <w:tblHeader/>
        </w:trPr>
        <w:tc>
          <w:tcPr>
            <w:tcW w:type="dxa" w:w="18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Order Code</w:t>
            </w:r>
          </w:p>
        </w:tc>
        <w:tc>
          <w:tcPr>
            <w:tcW w:type="dxa" w:w="14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IS-U Order Type</w:t>
            </w:r>
          </w:p>
        </w:tc>
        <w:tc>
          <w:tcPr>
            <w:tcW w:type="dxa" w:w="22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MAT (Maintenance Activity Type)</w:t>
            </w:r>
          </w:p>
        </w:tc>
        <w:tc>
          <w:tcPr>
            <w:tcW w:type="dxa" w:w="14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Energy Division</w:t>
            </w:r>
          </w:p>
        </w:tc>
        <w:tc>
          <w:tcPr>
            <w:tcW w:type="dxa" w:w="25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Type</w:t>
            </w:r>
          </w:p>
        </w:tc>
      </w:tr>
      <w:tr>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ELEC_READ</w:t>
            </w:r>
          </w:p>
        </w:tc>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SM01</w:t>
            </w:r>
          </w:p>
        </w:tc>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0001</w:t>
            </w:r>
          </w:p>
        </w:tc>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01 – Electric</w:t>
            </w:r>
          </w:p>
        </w:tc>
        <w:tc>
          <w:tcPr>
            <w:tcW w:type="dxa" w:w="2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Notification</w:t>
            </w:r>
          </w:p>
        </w:tc>
      </w:tr>
      <w:tr>
        <w:tc>
          <w:tcPr>
            <w:tcW w:type="dxa" w:w="18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GAS_READ</w:t>
            </w:r>
          </w:p>
        </w:tc>
        <w:tc>
          <w:tcPr>
            <w:tcW w:type="dxa" w:w="14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SM02</w:t>
            </w:r>
          </w:p>
        </w:tc>
        <w:tc>
          <w:tcPr>
            <w:tcW w:type="dxa" w:w="22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0001</w:t>
            </w:r>
          </w:p>
        </w:tc>
        <w:tc>
          <w:tcPr>
            <w:tcW w:type="dxa" w:w="14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02 – Gas</w:t>
            </w:r>
          </w:p>
        </w:tc>
        <w:tc>
          <w:tcPr>
            <w:tcW w:type="dxa" w:w="25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Notification</w:t>
            </w:r>
          </w:p>
        </w:tc>
      </w:tr>
      <w:tr>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ELEC_READ_AMI</w:t>
            </w:r>
          </w:p>
        </w:tc>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SM01</w:t>
            </w:r>
          </w:p>
        </w:tc>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0010</w:t>
            </w:r>
          </w:p>
        </w:tc>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01 – Electric</w:t>
            </w:r>
          </w:p>
        </w:tc>
        <w:tc>
          <w:tcPr>
            <w:tcW w:type="dxa" w:w="2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Notification</w:t>
            </w:r>
          </w:p>
        </w:tc>
      </w:tr>
      <w:tr>
        <w:tc>
          <w:tcPr>
            <w:tcW w:type="dxa" w:w="18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GAS_READ_AMI</w:t>
            </w:r>
          </w:p>
        </w:tc>
        <w:tc>
          <w:tcPr>
            <w:tcW w:type="dxa" w:w="14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SM02</w:t>
            </w:r>
          </w:p>
        </w:tc>
        <w:tc>
          <w:tcPr>
            <w:tcW w:type="dxa" w:w="22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0010</w:t>
            </w:r>
          </w:p>
        </w:tc>
        <w:tc>
          <w:tcPr>
            <w:tcW w:type="dxa" w:w="14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02 – Gas</w:t>
            </w:r>
          </w:p>
        </w:tc>
        <w:tc>
          <w:tcPr>
            <w:tcW w:type="dxa" w:w="25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Notification</w:t>
            </w:r>
          </w:p>
        </w:tc>
      </w:tr>
      <w:tr>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ELEC_REINSTALL</w:t>
            </w:r>
          </w:p>
        </w:tc>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IM01</w:t>
            </w:r>
          </w:p>
        </w:tc>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0020</w:t>
            </w:r>
          </w:p>
        </w:tc>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01 – Electric</w:t>
            </w:r>
          </w:p>
        </w:tc>
        <w:tc>
          <w:tcPr>
            <w:tcW w:type="dxa" w:w="2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Work Order</w:t>
            </w:r>
          </w:p>
        </w:tc>
      </w:tr>
      <w:tr>
        <w:tc>
          <w:tcPr>
            <w:tcW w:type="dxa" w:w="18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GAS_REINSTALL</w:t>
            </w:r>
          </w:p>
        </w:tc>
        <w:tc>
          <w:tcPr>
            <w:tcW w:type="dxa" w:w="14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IM02</w:t>
            </w:r>
          </w:p>
        </w:tc>
        <w:tc>
          <w:tcPr>
            <w:tcW w:type="dxa" w:w="22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0020</w:t>
            </w:r>
          </w:p>
        </w:tc>
        <w:tc>
          <w:tcPr>
            <w:tcW w:type="dxa" w:w="14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02 – Gas</w:t>
            </w:r>
          </w:p>
        </w:tc>
        <w:tc>
          <w:tcPr>
            <w:tcW w:type="dxa" w:w="25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Work Order</w:t>
            </w:r>
          </w:p>
        </w:tc>
      </w:tr>
      <w:tr>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GAS_ALTERATION</w:t>
            </w:r>
          </w:p>
        </w:tc>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AL01</w:t>
            </w:r>
          </w:p>
        </w:tc>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0030</w:t>
            </w:r>
          </w:p>
        </w:tc>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02 – Gas</w:t>
            </w:r>
          </w:p>
        </w:tc>
        <w:tc>
          <w:tcPr>
            <w:tcW w:type="dxa" w:w="2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Work Order</w:t>
            </w:r>
          </w:p>
        </w:tc>
      </w:tr>
      <w:tr>
        <w:tc>
          <w:tcPr>
            <w:tcW w:type="dxa" w:w="18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COMBO_READ</w:t>
            </w:r>
          </w:p>
        </w:tc>
        <w:tc>
          <w:tcPr>
            <w:tcW w:type="dxa" w:w="14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SM03</w:t>
            </w:r>
          </w:p>
        </w:tc>
        <w:tc>
          <w:tcPr>
            <w:tcW w:type="dxa" w:w="22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0001</w:t>
            </w:r>
          </w:p>
        </w:tc>
        <w:tc>
          <w:tcPr>
            <w:tcW w:type="dxa" w:w="14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01+02</w:t>
            </w:r>
          </w:p>
        </w:tc>
        <w:tc>
          <w:tcPr>
            <w:tcW w:type="dxa" w:w="25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Notification (combo)</w:t>
            </w:r>
          </w:p>
        </w:tc>
      </w:tr>
    </w:tbl>
    <w:p>
      <w:pPr>
        <w:spacing w:after="0" w:before="120"/>
      </w:pPr>
    </w:p>
    <w:p>
      <w:pPr>
        <w:shd w:fill="F2F2F2" w:val="clear"/>
        <w:spacing w:after="80" w:before="80"/>
        <w:ind w:left="360"/>
      </w:pPr>
      <w:r>
        <w:rPr>
          <w:rFonts w:ascii="Arial" w:cs="Arial" w:eastAsia="Arial" w:hAnsi="Arial"/>
          <w:b/>
          <w:bCs/>
          <w:color w:val="C55A11"/>
          <w:sz w:val="18"/>
          <w:szCs w:val="18"/>
        </w:rPr>
        <w:t xml:space="preserve">⚠ Note: </w:t>
      </w:r>
      <w:r>
        <w:rPr>
          <w:rFonts w:ascii="Arial" w:cs="Arial" w:eastAsia="Arial" w:hAnsi="Arial"/>
          <w:i/>
          <w:iCs/>
          <w:sz w:val="18"/>
          <w:szCs w:val="18"/>
        </w:rPr>
        <w:t xml:space="preserve">Exact IS-U order type and MAT codes must be validated against the CMS Energy-specific configuration in the target S/4HANA system. The values above are representative.</w:t>
      </w:r>
    </w:p>
    <w:p>
      <w:pPr>
        <w:spacing w:after="0" w:before="120"/>
      </w:pPr>
    </w:p>
    <w:p>
      <w:r>
        <w:br w:type="page"/>
      </w:r>
    </w:p>
    <w:p>
      <w:pPr>
        <w:pStyle w:val="Heading1"/>
        <w:pBdr>
          <w:bottom w:val="single" w:color="2E75B6" w:sz="4"/>
        </w:pBdr>
        <w:shd w:fill="1F3864" w:val="clear"/>
        <w:spacing w:after="120" w:before="360"/>
        <w:ind w:left="120" w:right="120"/>
      </w:pPr>
      <w:r>
        <w:rPr>
          <w:rFonts w:ascii="Arial" w:cs="Arial" w:eastAsia="Arial" w:hAnsi="Arial"/>
          <w:b/>
          <w:bCs/>
          <w:color w:val="FFFFFF"/>
          <w:sz w:val="36"/>
          <w:szCs w:val="36"/>
        </w:rPr>
        <w:t xml:space="preserve">10. SAP Cloud Integration (CPI) – Configuration</w:t>
      </w:r>
    </w:p>
    <w:p>
      <w:pPr>
        <w:spacing w:after="0" w:before="120"/>
      </w:pPr>
    </w:p>
    <w:p>
      <w:pPr>
        <w:pStyle w:val="Heading2"/>
        <w:pBdr>
          <w:bottom w:val="single" w:color="2E75B6" w:sz="3" w:space="1"/>
        </w:pBdr>
        <w:spacing w:after="100" w:before="280"/>
      </w:pPr>
      <w:r>
        <w:rPr>
          <w:rFonts w:ascii="Arial" w:cs="Arial" w:eastAsia="Arial" w:hAnsi="Arial"/>
          <w:b/>
          <w:bCs/>
          <w:color w:val="1F3864"/>
          <w:sz w:val="28"/>
          <w:szCs w:val="28"/>
        </w:rPr>
        <w:t xml:space="preserve">10.1  Integration Package</w:t>
      </w:r>
    </w:p>
    <w:p>
      <w:pPr>
        <w:pStyle w:val="ListParagraph"/>
        <w:numPr>
          <w:ilvl w:val="0"/>
          <w:numId w:val="2"/>
        </w:numPr>
        <w:spacing w:after="40" w:before="40"/>
      </w:pPr>
      <w:r>
        <w:rPr>
          <w:rFonts w:ascii="Arial" w:cs="Arial" w:eastAsia="Arial" w:hAnsi="Arial"/>
          <w:sz w:val="20"/>
          <w:szCs w:val="20"/>
        </w:rPr>
        <w:t xml:space="preserve">Deploy SAP standard package: 'SAP Service Cloud V2 for Utilities Master Data Integration with SAP S/4HANA' (latest version).</w:t>
      </w:r>
    </w:p>
    <w:p>
      <w:pPr>
        <w:pStyle w:val="ListParagraph"/>
        <w:numPr>
          <w:ilvl w:val="0"/>
          <w:numId w:val="2"/>
        </w:numPr>
        <w:spacing w:after="40" w:before="40"/>
      </w:pPr>
      <w:r>
        <w:rPr>
          <w:rFonts w:ascii="Arial" w:cs="Arial" w:eastAsia="Arial" w:hAnsi="Arial"/>
          <w:sz w:val="20"/>
          <w:szCs w:val="20"/>
        </w:rPr>
        <w:t xml:space="preserve">Update / undeploy deprecated flows: 'Replicate Utilities Technical Master Data from SAP S4HANA' → replace with new flow 'Replicate Utilities Premise Connection Object from S4HANA'.</w:t>
      </w:r>
    </w:p>
    <w:p>
      <w:pPr>
        <w:spacing w:after="0" w:before="120"/>
      </w:pPr>
    </w:p>
    <w:p>
      <w:pPr>
        <w:pStyle w:val="Heading2"/>
        <w:pBdr>
          <w:bottom w:val="single" w:color="2E75B6" w:sz="3" w:space="1"/>
        </w:pBdr>
        <w:spacing w:after="100" w:before="280"/>
      </w:pPr>
      <w:r>
        <w:rPr>
          <w:rFonts w:ascii="Arial" w:cs="Arial" w:eastAsia="Arial" w:hAnsi="Arial"/>
          <w:b/>
          <w:bCs/>
          <w:color w:val="1F3864"/>
          <w:sz w:val="28"/>
          <w:szCs w:val="28"/>
        </w:rPr>
        <w:t xml:space="preserve">10.2  Integration Flows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1200"/>
        <w:gridCol w:w="3500"/>
      </w:tblGrid>
      <w:tr>
        <w:trPr>
          <w:tblHeader/>
        </w:trPr>
        <w:tc>
          <w:tcPr>
            <w:tcW w:type="dxa" w:w="32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Integration Flow</w:t>
            </w:r>
          </w:p>
        </w:tc>
        <w:tc>
          <w:tcPr>
            <w:tcW w:type="dxa" w:w="14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Direction</w:t>
            </w:r>
          </w:p>
        </w:tc>
        <w:tc>
          <w:tcPr>
            <w:tcW w:type="dxa" w:w="12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Protocol</w:t>
            </w:r>
          </w:p>
        </w:tc>
        <w:tc>
          <w:tcPr>
            <w:tcW w:type="dxa" w:w="35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Trigger</w:t>
            </w:r>
          </w:p>
        </w:tc>
      </w:tr>
      <w:tr>
        <w:tc>
          <w:tcPr>
            <w:tcW w:type="dxa" w:w="3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Replicate Utilities Contract Account from S/4HANA</w:t>
            </w:r>
          </w:p>
        </w:tc>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S/4HANA → SSC V2</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SOAP (async, DRF)</w:t>
            </w:r>
          </w:p>
        </w:tc>
        <w:tc>
          <w:tcPr>
            <w:tcW w:type="dxa" w:w="3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DRF event on contract account create/change</w:t>
            </w:r>
          </w:p>
        </w:tc>
      </w:tr>
      <w:tr>
        <w:tc>
          <w:tcPr>
            <w:tcW w:type="dxa" w:w="32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Replicate Utilities Premise Connection Object from S4HANA</w:t>
            </w:r>
          </w:p>
        </w:tc>
        <w:tc>
          <w:tcPr>
            <w:tcW w:type="dxa" w:w="14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S/4HANA → SSC V2</w:t>
            </w:r>
          </w:p>
        </w:tc>
        <w:tc>
          <w:tcPr>
            <w:tcW w:type="dxa" w:w="12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SOAP (async, SWE2)</w:t>
            </w:r>
          </w:p>
        </w:tc>
        <w:tc>
          <w:tcPr>
            <w:tcW w:type="dxa" w:w="35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SWE2 event on premise/connection object create/change</w:t>
            </w:r>
          </w:p>
        </w:tc>
      </w:tr>
      <w:tr>
        <w:tc>
          <w:tcPr>
            <w:tcW w:type="dxa" w:w="3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Move-In Execution (sync)</w:t>
            </w:r>
          </w:p>
        </w:tc>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SSC V2 → S/4HANA</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REST/OData</w:t>
            </w:r>
          </w:p>
        </w:tc>
        <w:tc>
          <w:tcPr>
            <w:tcW w:type="dxa" w:w="3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Agent Submit button</w:t>
            </w:r>
          </w:p>
        </w:tc>
      </w:tr>
      <w:tr>
        <w:tc>
          <w:tcPr>
            <w:tcW w:type="dxa" w:w="32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Business Partner Replication</w:t>
            </w:r>
          </w:p>
        </w:tc>
        <w:tc>
          <w:tcPr>
            <w:tcW w:type="dxa" w:w="14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S/4HANA → SSC V2</w:t>
            </w:r>
          </w:p>
        </w:tc>
        <w:tc>
          <w:tcPr>
            <w:tcW w:type="dxa" w:w="12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SOAP (async, DRF)</w:t>
            </w:r>
          </w:p>
        </w:tc>
        <w:tc>
          <w:tcPr>
            <w:tcW w:type="dxa" w:w="35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DRF DRFOUT run</w:t>
            </w:r>
          </w:p>
        </w:tc>
      </w:tr>
    </w:tbl>
    <w:p>
      <w:pPr>
        <w:spacing w:after="0" w:before="120"/>
      </w:pPr>
    </w:p>
    <w:p>
      <w:pPr>
        <w:pStyle w:val="Heading2"/>
        <w:pBdr>
          <w:bottom w:val="single" w:color="2E75B6" w:sz="3" w:space="1"/>
        </w:pBdr>
        <w:spacing w:after="100" w:before="280"/>
      </w:pPr>
      <w:r>
        <w:rPr>
          <w:rFonts w:ascii="Arial" w:cs="Arial" w:eastAsia="Arial" w:hAnsi="Arial"/>
          <w:b/>
          <w:bCs/>
          <w:color w:val="1F3864"/>
          <w:sz w:val="28"/>
          <w:szCs w:val="28"/>
        </w:rPr>
        <w:t xml:space="preserve">10.3  Security Credentials</w:t>
      </w:r>
    </w:p>
    <w:p>
      <w:pPr>
        <w:pStyle w:val="ListParagraph"/>
        <w:numPr>
          <w:ilvl w:val="0"/>
          <w:numId w:val="2"/>
        </w:numPr>
        <w:spacing w:after="40" w:before="40"/>
      </w:pPr>
      <w:r>
        <w:rPr>
          <w:rFonts w:ascii="Arial" w:cs="Arial" w:eastAsia="Arial" w:hAnsi="Arial"/>
          <w:sz w:val="20"/>
          <w:szCs w:val="20"/>
        </w:rPr>
        <w:t xml:space="preserve">Deploy Basic Authentication or Certificate-based authentication credentials in CPI Security Artifacts for S/4HANA connectivity.</w:t>
      </w:r>
    </w:p>
    <w:p>
      <w:pPr>
        <w:pStyle w:val="ListParagraph"/>
        <w:numPr>
          <w:ilvl w:val="0"/>
          <w:numId w:val="2"/>
        </w:numPr>
        <w:spacing w:after="40" w:before="40"/>
      </w:pPr>
      <w:r>
        <w:rPr>
          <w:rFonts w:ascii="Arial" w:cs="Arial" w:eastAsia="Arial" w:hAnsi="Arial"/>
          <w:sz w:val="20"/>
          <w:szCs w:val="20"/>
        </w:rPr>
        <w:t xml:space="preserve">Configure SAP Cloud Connector with reverse proxy or direct mapping for on-premise S/4HANA endpoints.</w:t>
      </w:r>
    </w:p>
    <w:p>
      <w:pPr>
        <w:pStyle w:val="ListParagraph"/>
        <w:numPr>
          <w:ilvl w:val="0"/>
          <w:numId w:val="2"/>
        </w:numPr>
        <w:spacing w:after="40" w:before="40"/>
      </w:pPr>
      <w:r>
        <w:rPr>
          <w:rFonts w:ascii="Arial" w:cs="Arial" w:eastAsia="Arial" w:hAnsi="Arial"/>
          <w:sz w:val="20"/>
          <w:szCs w:val="20"/>
        </w:rPr>
        <w:t xml:space="preserve">Enable Principal Propagation for synchronous Move-In execution flows (SSC V2 → S/4HANA). Note: Principal Propagation is NOT supported for async DRF/replication flows.</w:t>
      </w:r>
    </w:p>
    <w:p>
      <w:pPr>
        <w:spacing w:after="0" w:before="120"/>
      </w:pPr>
    </w:p>
    <w:p>
      <w:pPr>
        <w:pStyle w:val="Heading2"/>
        <w:pBdr>
          <w:bottom w:val="single" w:color="2E75B6" w:sz="3" w:space="1"/>
        </w:pBdr>
        <w:spacing w:after="100" w:before="280"/>
      </w:pPr>
      <w:r>
        <w:rPr>
          <w:rFonts w:ascii="Arial" w:cs="Arial" w:eastAsia="Arial" w:hAnsi="Arial"/>
          <w:b/>
          <w:bCs/>
          <w:color w:val="1F3864"/>
          <w:sz w:val="28"/>
          <w:szCs w:val="28"/>
        </w:rPr>
        <w:t xml:space="preserve">10.4  Receiver Configuration for Premise Replication</w:t>
      </w:r>
    </w:p>
    <w:p>
      <w:pPr>
        <w:pStyle w:val="ListParagraph"/>
        <w:numPr>
          <w:ilvl w:val="0"/>
          <w:numId w:val="2"/>
        </w:numPr>
        <w:spacing w:after="40" w:before="40"/>
      </w:pPr>
      <w:r>
        <w:rPr>
          <w:rFonts w:ascii="Arial" w:cs="Arial" w:eastAsia="Arial" w:hAnsi="Arial"/>
          <w:sz w:val="20"/>
          <w:szCs w:val="20"/>
        </w:rPr>
        <w:t xml:space="preserve">In the Replicate Utilities Premise Connection Object flow: Sender tab → set Authorization and User Role; Receiver tab → Host = SSC V2 tenant URL (without https://), Port = 443, Proxy = Internet, Allow Chunking = Yes, Authentication = Basic.</w:t>
      </w:r>
    </w:p>
    <w:p>
      <w:pPr>
        <w:pStyle w:val="ListParagraph"/>
        <w:numPr>
          <w:ilvl w:val="0"/>
          <w:numId w:val="2"/>
        </w:numPr>
        <w:spacing w:after="40" w:before="40"/>
      </w:pPr>
      <w:r>
        <w:rPr>
          <w:rFonts w:ascii="Arial" w:cs="Arial" w:eastAsia="Arial" w:hAnsi="Arial"/>
          <w:sz w:val="20"/>
          <w:szCs w:val="20"/>
        </w:rPr>
        <w:t xml:space="preserve">Repeat configuration for the Contract Account replication flow.</w:t>
      </w:r>
    </w:p>
    <w:p>
      <w:pPr>
        <w:spacing w:after="0" w:before="120"/>
      </w:pPr>
    </w:p>
    <w:p>
      <w:pPr>
        <w:pStyle w:val="Heading1"/>
        <w:pBdr>
          <w:bottom w:val="single" w:color="2E75B6" w:sz="4"/>
        </w:pBdr>
        <w:shd w:fill="1F3864" w:val="clear"/>
        <w:spacing w:after="120" w:before="360"/>
        <w:ind w:left="120" w:right="120"/>
      </w:pPr>
      <w:r>
        <w:rPr>
          <w:rFonts w:ascii="Arial" w:cs="Arial" w:eastAsia="Arial" w:hAnsi="Arial"/>
          <w:b/>
          <w:bCs/>
          <w:color w:val="FFFFFF"/>
          <w:sz w:val="36"/>
          <w:szCs w:val="36"/>
        </w:rPr>
        <w:t xml:space="preserve">11. Validation Rules &amp; Error Handling Matrix</w:t>
      </w:r>
    </w:p>
    <w:p>
      <w:pPr>
        <w:spacing w:after="0" w:before="120"/>
      </w:pP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2200"/>
        <w:gridCol w:w="1000"/>
        <w:gridCol w:w="3000"/>
      </w:tblGrid>
      <w:tr>
        <w:trPr>
          <w:tblHeader/>
        </w:trPr>
        <w:tc>
          <w:tcPr>
            <w:tcW w:type="dxa" w:w="9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Error Code</w:t>
            </w:r>
          </w:p>
        </w:tc>
        <w:tc>
          <w:tcPr>
            <w:tcW w:type="dxa" w:w="22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Trigger Condition</w:t>
            </w:r>
          </w:p>
        </w:tc>
        <w:tc>
          <w:tcPr>
            <w:tcW w:type="dxa" w:w="22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Message to Agent</w:t>
            </w:r>
          </w:p>
        </w:tc>
        <w:tc>
          <w:tcPr>
            <w:tcW w:type="dxa" w:w="10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Traffic Light</w:t>
            </w:r>
          </w:p>
        </w:tc>
        <w:tc>
          <w:tcPr>
            <w:tcW w:type="dxa" w:w="30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Action Required</w:t>
            </w:r>
          </w:p>
        </w:tc>
      </w:tr>
      <w:tr>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070</w:t>
            </w:r>
          </w:p>
        </w:tc>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Contract Start Date is blank when Meter Data section opened</w:t>
            </w:r>
          </w:p>
        </w:tc>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'Contract Start Date is required'</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Red / Block</w:t>
            </w:r>
          </w:p>
        </w:tc>
        <w:tc>
          <w:tcPr>
            <w:tcW w:type="dxa" w:w="3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Agent must enter date</w:t>
            </w:r>
          </w:p>
        </w:tc>
      </w:tr>
      <w:tr>
        <w:tc>
          <w:tcPr>
            <w:tcW w:type="dxa" w:w="9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020</w:t>
            </w:r>
          </w:p>
        </w:tc>
        <w:tc>
          <w:tcPr>
            <w:tcW w:type="dxa" w:w="22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Outstanding Notification Actions exist unchecked</w:t>
            </w:r>
          </w:p>
        </w:tc>
        <w:tc>
          <w:tcPr>
            <w:tcW w:type="dxa" w:w="22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'Outstanding Notification Action(s) exist'</w:t>
            </w:r>
          </w:p>
        </w:tc>
        <w:tc>
          <w:tcPr>
            <w:tcW w:type="dxa" w:w="10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Red / Block</w:t>
            </w:r>
          </w:p>
        </w:tc>
        <w:tc>
          <w:tcPr>
            <w:tcW w:type="dxa" w:w="30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Agent processes or unchecks each notification</w:t>
            </w:r>
          </w:p>
        </w:tc>
      </w:tr>
      <w:tr>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110</w:t>
            </w:r>
          </w:p>
        </w:tc>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Agent removes Security Deposit amount without providing Waiver Reason</w:t>
            </w:r>
          </w:p>
        </w:tc>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Security Deposit Waiver Reason mandatory</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Red / Block</w:t>
            </w:r>
          </w:p>
        </w:tc>
        <w:tc>
          <w:tcPr>
            <w:tcW w:type="dxa" w:w="3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Agent enters waiver reason code</w:t>
            </w:r>
          </w:p>
        </w:tc>
      </w:tr>
      <w:tr>
        <w:tc>
          <w:tcPr>
            <w:tcW w:type="dxa" w:w="9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FACTA-F</w:t>
            </w:r>
          </w:p>
        </w:tc>
        <w:tc>
          <w:tcPr>
            <w:tcW w:type="dxa" w:w="22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Equifax returns 'F' (Fail)</w:t>
            </w:r>
          </w:p>
        </w:tc>
        <w:tc>
          <w:tcPr>
            <w:tcW w:type="dxa" w:w="22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Model statement for failed ID</w:t>
            </w:r>
          </w:p>
        </w:tc>
        <w:tc>
          <w:tcPr>
            <w:tcW w:type="dxa" w:w="10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Red / Block</w:t>
            </w:r>
          </w:p>
        </w:tc>
        <w:tc>
          <w:tcPr>
            <w:tcW w:type="dxa" w:w="30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Disable Notification step; IDF contact created</w:t>
            </w:r>
          </w:p>
        </w:tc>
      </w:tr>
      <w:tr>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FACTA-R</w:t>
            </w:r>
          </w:p>
        </w:tc>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Equifax returns 'R' (Refused)</w:t>
            </w:r>
          </w:p>
        </w:tc>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Model statement for refused ID</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Red / Block</w:t>
            </w:r>
          </w:p>
        </w:tc>
        <w:tc>
          <w:tcPr>
            <w:tcW w:type="dxa" w:w="3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Customer must visit office</w:t>
            </w:r>
          </w:p>
        </w:tc>
      </w:tr>
      <w:tr>
        <w:tc>
          <w:tcPr>
            <w:tcW w:type="dxa" w:w="9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FACTA-E</w:t>
            </w:r>
          </w:p>
        </w:tc>
        <w:tc>
          <w:tcPr>
            <w:tcW w:type="dxa" w:w="22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Connectivity error to Equifax</w:t>
            </w:r>
          </w:p>
        </w:tc>
        <w:tc>
          <w:tcPr>
            <w:tcW w:type="dxa" w:w="22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'A connectivity error occurred during validation'</w:t>
            </w:r>
          </w:p>
        </w:tc>
        <w:tc>
          <w:tcPr>
            <w:tcW w:type="dxa" w:w="10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Red / Block</w:t>
            </w:r>
          </w:p>
        </w:tc>
        <w:tc>
          <w:tcPr>
            <w:tcW w:type="dxa" w:w="30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Retry or escalate to IT</w:t>
            </w:r>
          </w:p>
        </w:tc>
      </w:tr>
      <w:tr>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MOM-NM</w:t>
            </w:r>
          </w:p>
        </w:tc>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No meter / no history for selected energy type</w:t>
            </w:r>
          </w:p>
        </w:tc>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'Design activities needed; create New Business Service Request'</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Red / Block</w:t>
            </w:r>
          </w:p>
        </w:tc>
        <w:tc>
          <w:tcPr>
            <w:tcW w:type="dxa" w:w="3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Redirect to New Business process</w:t>
            </w:r>
          </w:p>
        </w:tc>
      </w:tr>
      <w:tr>
        <w:tc>
          <w:tcPr>
            <w:tcW w:type="dxa" w:w="9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MOM-ME</w:t>
            </w:r>
          </w:p>
        </w:tc>
        <w:tc>
          <w:tcPr>
            <w:tcW w:type="dxa" w:w="22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Meter already exists for selected row</w:t>
            </w:r>
          </w:p>
        </w:tc>
        <w:tc>
          <w:tcPr>
            <w:tcW w:type="dxa" w:w="22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'Meter already exists for this service'</w:t>
            </w:r>
          </w:p>
        </w:tc>
        <w:tc>
          <w:tcPr>
            <w:tcW w:type="dxa" w:w="10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Red / Block</w:t>
            </w:r>
          </w:p>
        </w:tc>
        <w:tc>
          <w:tcPr>
            <w:tcW w:type="dxa" w:w="30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Create New Business if additional meter needed</w:t>
            </w:r>
          </w:p>
        </w:tc>
      </w:tr>
      <w:tr>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PIR-001</w:t>
            </w:r>
          </w:p>
        </w:tc>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FACTA passed but PIR flag set</w:t>
            </w:r>
          </w:p>
        </w:tc>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Additional ID required; visit office</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Amber / Warn</w:t>
            </w:r>
          </w:p>
        </w:tc>
        <w:tc>
          <w:tcPr>
            <w:tcW w:type="dxa" w:w="3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Disable Notifications; proceed with contract</w:t>
            </w:r>
          </w:p>
        </w:tc>
      </w:tr>
      <w:tr>
        <w:tc>
          <w:tcPr>
            <w:tcW w:type="dxa" w:w="9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OPEN-ORD</w:t>
            </w:r>
          </w:p>
        </w:tc>
        <w:tc>
          <w:tcPr>
            <w:tcW w:type="dxa" w:w="22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Open order of same type exists</w:t>
            </w:r>
          </w:p>
        </w:tc>
        <w:tc>
          <w:tcPr>
            <w:tcW w:type="dxa" w:w="22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Warning or Team Lead Override required</w:t>
            </w:r>
          </w:p>
        </w:tc>
        <w:tc>
          <w:tcPr>
            <w:tcW w:type="dxa" w:w="10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Amber / Warn or Block</w:t>
            </w:r>
          </w:p>
        </w:tc>
        <w:tc>
          <w:tcPr>
            <w:tcW w:type="dxa" w:w="30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Modify existing order; or obtain TL override</w:t>
            </w:r>
          </w:p>
        </w:tc>
      </w:tr>
    </w:tbl>
    <w:p>
      <w:pPr>
        <w:spacing w:after="0" w:before="120"/>
      </w:pPr>
    </w:p>
    <w:p>
      <w:r>
        <w:br w:type="page"/>
      </w:r>
    </w:p>
    <w:p>
      <w:pPr>
        <w:pStyle w:val="Heading1"/>
        <w:pBdr>
          <w:bottom w:val="single" w:color="2E75B6" w:sz="4"/>
        </w:pBdr>
        <w:shd w:fill="1F3864" w:val="clear"/>
        <w:spacing w:after="120" w:before="360"/>
        <w:ind w:left="120" w:right="120"/>
      </w:pPr>
      <w:r>
        <w:rPr>
          <w:rFonts w:ascii="Arial" w:cs="Arial" w:eastAsia="Arial" w:hAnsi="Arial"/>
          <w:b/>
          <w:bCs/>
          <w:color w:val="FFFFFF"/>
          <w:sz w:val="36"/>
          <w:szCs w:val="36"/>
        </w:rPr>
        <w:t xml:space="preserve">12. Key Data Flow &amp; Field Mapping</w:t>
      </w:r>
    </w:p>
    <w:p>
      <w:pPr>
        <w:spacing w:after="0" w:before="120"/>
      </w:pPr>
    </w:p>
    <w:p>
      <w:pPr>
        <w:pStyle w:val="Heading2"/>
        <w:pBdr>
          <w:bottom w:val="single" w:color="2E75B6" w:sz="3" w:space="1"/>
        </w:pBdr>
        <w:spacing w:after="100" w:before="280"/>
      </w:pPr>
      <w:r>
        <w:rPr>
          <w:rFonts w:ascii="Arial" w:cs="Arial" w:eastAsia="Arial" w:hAnsi="Arial"/>
          <w:b/>
          <w:bCs/>
          <w:color w:val="1F3864"/>
          <w:sz w:val="28"/>
          <w:szCs w:val="28"/>
        </w:rPr>
        <w:t xml:space="preserve">12.1  Data Passed from Contract Management to Order Creation</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000"/>
        <w:gridCol w:w="3500"/>
      </w:tblGrid>
      <w:tr>
        <w:trPr>
          <w:tblHeader/>
        </w:trPr>
        <w:tc>
          <w:tcPr>
            <w:tcW w:type="dxa" w:w="18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20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Source</w:t>
            </w:r>
          </w:p>
        </w:tc>
        <w:tc>
          <w:tcPr>
            <w:tcW w:type="dxa" w:w="20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Passed To</w:t>
            </w:r>
          </w:p>
        </w:tc>
        <w:tc>
          <w:tcPr>
            <w:tcW w:type="dxa" w:w="35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Order Code</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BRFplus DETERMINE_MOM_ORDER_CODES</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IS-U Order Create API</w:t>
            </w:r>
          </w:p>
        </w:tc>
        <w:tc>
          <w:tcPr>
            <w:tcW w:type="dxa" w:w="3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Bypasses OIL screen</w:t>
            </w:r>
          </w:p>
        </w:tc>
      </w:tr>
      <w:tr>
        <w:tc>
          <w:tcPr>
            <w:tcW w:type="dxa" w:w="18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Premise ID</w:t>
            </w:r>
          </w:p>
        </w:tc>
        <w:tc>
          <w:tcPr>
            <w:tcW w:type="dxa" w:w="20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Global Context (confirmed premise)</w:t>
            </w:r>
          </w:p>
        </w:tc>
        <w:tc>
          <w:tcPr>
            <w:tcW w:type="dxa" w:w="20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IS-U Order Create API</w:t>
            </w:r>
          </w:p>
        </w:tc>
        <w:tc>
          <w:tcPr>
            <w:tcW w:type="dxa" w:w="35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Connection Object / Premise #</w:t>
            </w:r>
          </w:p>
        </w:tc>
      </w:tr>
      <w:tr>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Move-In Date</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Contract Start Date</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IS-U Order Create + Scheduling view</w:t>
            </w:r>
          </w:p>
        </w:tc>
        <w:tc>
          <w:tcPr>
            <w:tcW w:type="dxa" w:w="3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Used to align scheduling</w:t>
            </w:r>
          </w:p>
        </w:tc>
      </w:tr>
      <w:tr>
        <w:tc>
          <w:tcPr>
            <w:tcW w:type="dxa" w:w="18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Move-Out Date</w:t>
            </w:r>
          </w:p>
        </w:tc>
        <w:tc>
          <w:tcPr>
            <w:tcW w:type="dxa" w:w="20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Step 2 (if applicable for transfer)</w:t>
            </w:r>
          </w:p>
        </w:tc>
        <w:tc>
          <w:tcPr>
            <w:tcW w:type="dxa" w:w="20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IS-U Order Create</w:t>
            </w:r>
          </w:p>
        </w:tc>
        <w:tc>
          <w:tcPr>
            <w:tcW w:type="dxa" w:w="35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For move-out side of transfer</w:t>
            </w:r>
          </w:p>
        </w:tc>
      </w:tr>
      <w:tr>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Combo Indicator</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MOM multi-row selection</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IS-U Order Create API</w:t>
            </w:r>
          </w:p>
        </w:tc>
        <w:tc>
          <w:tcPr>
            <w:tcW w:type="dxa" w:w="3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Gas scheduling drives Electric date</w:t>
            </w:r>
          </w:p>
        </w:tc>
      </w:tr>
      <w:tr>
        <w:tc>
          <w:tcPr>
            <w:tcW w:type="dxa" w:w="18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Meter Number</w:t>
            </w:r>
          </w:p>
        </w:tc>
        <w:tc>
          <w:tcPr>
            <w:tcW w:type="dxa" w:w="20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MOM row (prior device)</w:t>
            </w:r>
          </w:p>
        </w:tc>
        <w:tc>
          <w:tcPr>
            <w:tcW w:type="dxa" w:w="20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IS-U Re-Install Order</w:t>
            </w:r>
          </w:p>
        </w:tc>
        <w:tc>
          <w:tcPr>
            <w:tcW w:type="dxa" w:w="35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Prior material number required</w:t>
            </w:r>
          </w:p>
        </w:tc>
      </w:tr>
      <w:tr>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Contract Mgmt Source Flag</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System constant</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IS-U Order Create API</w:t>
            </w:r>
          </w:p>
        </w:tc>
        <w:tc>
          <w:tcPr>
            <w:tcW w:type="dxa" w:w="3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Signals bypass origin</w:t>
            </w:r>
          </w:p>
        </w:tc>
      </w:tr>
      <w:tr>
        <w:tc>
          <w:tcPr>
            <w:tcW w:type="dxa" w:w="18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Notification / Order Numbers</w:t>
            </w:r>
          </w:p>
        </w:tc>
        <w:tc>
          <w:tcPr>
            <w:tcW w:type="dxa" w:w="20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IS-U response</w:t>
            </w:r>
          </w:p>
        </w:tc>
        <w:tc>
          <w:tcPr>
            <w:tcW w:type="dxa" w:w="20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Contract Management</w:t>
            </w:r>
          </w:p>
        </w:tc>
        <w:tc>
          <w:tcPr>
            <w:tcW w:type="dxa" w:w="35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Stored for summary display</w:t>
            </w:r>
          </w:p>
        </w:tc>
      </w:tr>
    </w:tbl>
    <w:p>
      <w:pPr>
        <w:spacing w:after="0" w:before="120"/>
      </w:pPr>
    </w:p>
    <w:p>
      <w:pPr>
        <w:pStyle w:val="Heading2"/>
        <w:pBdr>
          <w:bottom w:val="single" w:color="2E75B6" w:sz="3" w:space="1"/>
        </w:pBdr>
        <w:spacing w:after="100" w:before="280"/>
      </w:pPr>
      <w:r>
        <w:rPr>
          <w:rFonts w:ascii="Arial" w:cs="Arial" w:eastAsia="Arial" w:hAnsi="Arial"/>
          <w:b/>
          <w:bCs/>
          <w:color w:val="1F3864"/>
          <w:sz w:val="28"/>
          <w:szCs w:val="28"/>
        </w:rPr>
        <w:t xml:space="preserve">12.2  IS-U Move-In Workflow Input Structure</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4100"/>
      </w:tblGrid>
      <w:tr>
        <w:trPr>
          <w:tblHeader/>
        </w:trPr>
        <w:tc>
          <w:tcPr>
            <w:tcW w:type="dxa" w:w="26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Structure / Field</w:t>
            </w:r>
          </w:p>
        </w:tc>
        <w:tc>
          <w:tcPr>
            <w:tcW w:type="dxa" w:w="26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Value / Source</w:t>
            </w:r>
          </w:p>
        </w:tc>
        <w:tc>
          <w:tcPr>
            <w:tcW w:type="dxa" w:w="41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Purpose</w:t>
            </w:r>
          </w:p>
        </w:tc>
      </w:tr>
      <w:tr>
        <w:tc>
          <w:tcPr>
            <w:tcW w:type="dxa" w:w="2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ZFOCS_PMI_COS-LIFE_SUPPORT</w:t>
            </w:r>
          </w:p>
        </w:tc>
        <w:tc>
          <w:tcPr>
            <w:tcW w:type="dxa" w:w="2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Residential questionnaire response</w:t>
            </w:r>
          </w:p>
        </w:tc>
        <w:tc>
          <w:tcPr>
            <w:tcW w:type="dxa" w:w="4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Life support customer flag</w:t>
            </w:r>
          </w:p>
        </w:tc>
      </w:tr>
      <w:tr>
        <w:tc>
          <w:tcPr>
            <w:tcW w:type="dxa" w:w="26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ZFOCS_PMI_COS-PRIME_TIMER</w:t>
            </w:r>
          </w:p>
        </w:tc>
        <w:tc>
          <w:tcPr>
            <w:tcW w:type="dxa" w:w="26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Residential questionnaire response</w:t>
            </w:r>
          </w:p>
        </w:tc>
        <w:tc>
          <w:tcPr>
            <w:tcW w:type="dxa" w:w="41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Senior customer indicator</w:t>
            </w:r>
          </w:p>
        </w:tc>
      </w:tr>
      <w:tr>
        <w:tc>
          <w:tcPr>
            <w:tcW w:type="dxa" w:w="2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ZFOCS_PMI_COS-PRIMARY_RESIDENCE</w:t>
            </w:r>
          </w:p>
        </w:tc>
        <w:tc>
          <w:tcPr>
            <w:tcW w:type="dxa" w:w="2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Residential questionnaire response</w:t>
            </w:r>
          </w:p>
        </w:tc>
        <w:tc>
          <w:tcPr>
            <w:tcW w:type="dxa" w:w="4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Primary residence indicator</w:t>
            </w:r>
          </w:p>
        </w:tc>
      </w:tr>
      <w:tr>
        <w:tc>
          <w:tcPr>
            <w:tcW w:type="dxa" w:w="26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ZFOCS_PMI_COS-DWELLING_TYPE</w:t>
            </w:r>
          </w:p>
        </w:tc>
        <w:tc>
          <w:tcPr>
            <w:tcW w:type="dxa" w:w="26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Residential questionnaire response</w:t>
            </w:r>
          </w:p>
        </w:tc>
        <w:tc>
          <w:tcPr>
            <w:tcW w:type="dxa" w:w="41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Dwelling type code</w:t>
            </w:r>
          </w:p>
        </w:tc>
      </w:tr>
      <w:tr>
        <w:tc>
          <w:tcPr>
            <w:tcW w:type="dxa" w:w="2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ZFOCS_PMI_COS-HOME_HEAT_FUEL</w:t>
            </w:r>
          </w:p>
        </w:tc>
        <w:tc>
          <w:tcPr>
            <w:tcW w:type="dxa" w:w="2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Residential questionnaire response</w:t>
            </w:r>
          </w:p>
        </w:tc>
        <w:tc>
          <w:tcPr>
            <w:tcW w:type="dxa" w:w="4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Fuel type indicator</w:t>
            </w:r>
          </w:p>
        </w:tc>
      </w:tr>
      <w:tr>
        <w:tc>
          <w:tcPr>
            <w:tcW w:type="dxa" w:w="26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ZFOCS_PMI_COS-BILL_CLASS</w:t>
            </w:r>
          </w:p>
        </w:tc>
        <w:tc>
          <w:tcPr>
            <w:tcW w:type="dxa" w:w="26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Res/Comm questionnaire response</w:t>
            </w:r>
          </w:p>
        </w:tc>
        <w:tc>
          <w:tcPr>
            <w:tcW w:type="dxa" w:w="41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Billing class indicator</w:t>
            </w:r>
          </w:p>
        </w:tc>
      </w:tr>
      <w:tr>
        <w:tc>
          <w:tcPr>
            <w:tcW w:type="dxa" w:w="2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ZFOCS_PMI_COS-INCOME_ASSISTANCE</w:t>
            </w:r>
          </w:p>
        </w:tc>
        <w:tc>
          <w:tcPr>
            <w:tcW w:type="dxa" w:w="2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Residential questionnaire response</w:t>
            </w:r>
          </w:p>
        </w:tc>
        <w:tc>
          <w:tcPr>
            <w:tcW w:type="dxa" w:w="4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Income assistance flag</w:t>
            </w:r>
          </w:p>
        </w:tc>
      </w:tr>
      <w:tr>
        <w:tc>
          <w:tcPr>
            <w:tcW w:type="dxa" w:w="26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ZFOCS_PMI_COS-TAX_EXEMPT</w:t>
            </w:r>
          </w:p>
        </w:tc>
        <w:tc>
          <w:tcPr>
            <w:tcW w:type="dxa" w:w="26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Commercial questionnaire response</w:t>
            </w:r>
          </w:p>
        </w:tc>
        <w:tc>
          <w:tcPr>
            <w:tcW w:type="dxa" w:w="41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Tax exempt indicator</w:t>
            </w:r>
          </w:p>
        </w:tc>
      </w:tr>
      <w:tr>
        <w:tc>
          <w:tcPr>
            <w:tcW w:type="dxa" w:w="2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ZFOCS_INSTALL_OPTION_T</w:t>
            </w:r>
          </w:p>
        </w:tc>
        <w:tc>
          <w:tcPr>
            <w:tcW w:type="dxa" w:w="2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Contract selection list</w:t>
            </w:r>
          </w:p>
        </w:tc>
        <w:tc>
          <w:tcPr>
            <w:tcW w:type="dxa" w:w="4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Installation-level options table</w:t>
            </w:r>
          </w:p>
        </w:tc>
      </w:tr>
      <w:tr>
        <w:tc>
          <w:tcPr>
            <w:tcW w:type="dxa" w:w="26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Security Deposit Amount</w:t>
            </w:r>
          </w:p>
        </w:tc>
        <w:tc>
          <w:tcPr>
            <w:tcW w:type="dxa" w:w="26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Z_CALC_SECURITY_DEPOSIT result</w:t>
            </w:r>
          </w:p>
        </w:tc>
        <w:tc>
          <w:tcPr>
            <w:tcW w:type="dxa" w:w="41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Deposit created during contract replication</w:t>
            </w:r>
          </w:p>
        </w:tc>
      </w:tr>
      <w:tr>
        <w:tc>
          <w:tcPr>
            <w:tcW w:type="dxa" w:w="2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Security Deposit Reason</w:t>
            </w:r>
          </w:p>
        </w:tc>
        <w:tc>
          <w:tcPr>
            <w:tcW w:type="dxa" w:w="2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0001 / 0009 (numeric code)</w:t>
            </w:r>
          </w:p>
        </w:tc>
        <w:tc>
          <w:tcPr>
            <w:tcW w:type="dxa" w:w="4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Reason code for deposit</w:t>
            </w:r>
          </w:p>
        </w:tc>
      </w:tr>
      <w:tr>
        <w:tc>
          <w:tcPr>
            <w:tcW w:type="dxa" w:w="26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Connection Fee Amount</w:t>
            </w:r>
          </w:p>
        </w:tc>
        <w:tc>
          <w:tcPr>
            <w:tcW w:type="dxa" w:w="26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FKK_CALC_CHARGE result</w:t>
            </w:r>
          </w:p>
        </w:tc>
        <w:tc>
          <w:tcPr>
            <w:tcW w:type="dxa" w:w="41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Seasonal connection fee posting</w:t>
            </w:r>
          </w:p>
        </w:tc>
      </w:tr>
      <w:tr>
        <w:tc>
          <w:tcPr>
            <w:tcW w:type="dxa" w:w="2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Waiver Reason</w:t>
            </w:r>
          </w:p>
        </w:tc>
        <w:tc>
          <w:tcPr>
            <w:tcW w:type="dxa" w:w="2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Agent-selected code (0001–0004)</w:t>
            </w:r>
          </w:p>
        </w:tc>
        <w:tc>
          <w:tcPr>
            <w:tcW w:type="dxa" w:w="4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Deposit waiver justification</w:t>
            </w:r>
          </w:p>
        </w:tc>
      </w:tr>
    </w:tbl>
    <w:p>
      <w:pPr>
        <w:spacing w:after="0" w:before="120"/>
      </w:pPr>
    </w:p>
    <w:p>
      <w:pPr>
        <w:pStyle w:val="Heading1"/>
        <w:pBdr>
          <w:bottom w:val="single" w:color="2E75B6" w:sz="4"/>
        </w:pBdr>
        <w:shd w:fill="1F3864" w:val="clear"/>
        <w:spacing w:after="120" w:before="360"/>
        <w:ind w:left="120" w:right="120"/>
      </w:pPr>
      <w:r>
        <w:rPr>
          <w:rFonts w:ascii="Arial" w:cs="Arial" w:eastAsia="Arial" w:hAnsi="Arial"/>
          <w:b/>
          <w:bCs/>
          <w:color w:val="FFFFFF"/>
          <w:sz w:val="36"/>
          <w:szCs w:val="36"/>
        </w:rPr>
        <w:t xml:space="preserve">13. AMI (Advanced Metering Infrastructure) Variant</w:t>
      </w:r>
    </w:p>
    <w:p>
      <w:pPr>
        <w:spacing w:after="0" w:before="120"/>
      </w:pPr>
    </w:p>
    <w:p>
      <w:pPr>
        <w:spacing w:after="60" w:before="60"/>
      </w:pPr>
      <w:r>
        <w:rPr>
          <w:rFonts w:ascii="Arial" w:cs="Arial" w:eastAsia="Arial" w:hAnsi="Arial"/>
          <w:sz w:val="20"/>
          <w:szCs w:val="20"/>
        </w:rPr>
        <w:t xml:space="preserve">When the device at the confirmed premise is classified as an AMI/smart meter, the BRFplus decision tree routes to the AMI screen variant (reference: CM__CONTRACT_MANAGEMENT_METER_Tree_AMI.xlsx and Meter__RECONNECT_Tree_AMI_added_.xlsx). Key differences from the standard flow:</w:t>
      </w:r>
    </w:p>
    <w:p>
      <w:pPr>
        <w:spacing w:after="0" w:before="120"/>
      </w:pPr>
    </w:p>
    <w:p>
      <w:pPr>
        <w:pStyle w:val="ListParagraph"/>
        <w:numPr>
          <w:ilvl w:val="0"/>
          <w:numId w:val="2"/>
        </w:numPr>
        <w:spacing w:after="40" w:before="40"/>
      </w:pPr>
      <w:r>
        <w:rPr>
          <w:rFonts w:ascii="Arial" w:cs="Arial" w:eastAsia="Arial" w:hAnsi="Arial"/>
          <w:sz w:val="20"/>
          <w:szCs w:val="20"/>
        </w:rPr>
        <w:t xml:space="preserve">AMI meters do not require a physical meter read in the field — system can initiate a remote read request.</w:t>
      </w:r>
    </w:p>
    <w:p>
      <w:pPr>
        <w:pStyle w:val="ListParagraph"/>
        <w:numPr>
          <w:ilvl w:val="0"/>
          <w:numId w:val="2"/>
        </w:numPr>
        <w:spacing w:after="40" w:before="40"/>
      </w:pPr>
      <w:r>
        <w:rPr>
          <w:rFonts w:ascii="Arial" w:cs="Arial" w:eastAsia="Arial" w:hAnsi="Arial"/>
          <w:sz w:val="20"/>
          <w:szCs w:val="20"/>
        </w:rPr>
        <w:t xml:space="preserve">Order codes route to AMI-specific read notifications (ELEC_READ_AMI / GAS_READ_AMI) instead of standard meter read notifications.</w:t>
      </w:r>
    </w:p>
    <w:p>
      <w:pPr>
        <w:pStyle w:val="ListParagraph"/>
        <w:numPr>
          <w:ilvl w:val="0"/>
          <w:numId w:val="2"/>
        </w:numPr>
        <w:spacing w:after="40" w:before="40"/>
      </w:pPr>
      <w:r>
        <w:rPr>
          <w:rFonts w:ascii="Arial" w:cs="Arial" w:eastAsia="Arial" w:hAnsi="Arial"/>
          <w:sz w:val="20"/>
          <w:szCs w:val="20"/>
        </w:rPr>
        <w:t xml:space="preserve">Scheduling screen shows 'Remote Read' option rather than a field appointment slot.</w:t>
      </w:r>
    </w:p>
    <w:p>
      <w:pPr>
        <w:pStyle w:val="ListParagraph"/>
        <w:numPr>
          <w:ilvl w:val="0"/>
          <w:numId w:val="2"/>
        </w:numPr>
        <w:spacing w:after="40" w:before="40"/>
      </w:pPr>
      <w:r>
        <w:rPr>
          <w:rFonts w:ascii="Arial" w:cs="Arial" w:eastAsia="Arial" w:hAnsi="Arial"/>
          <w:sz w:val="20"/>
          <w:szCs w:val="20"/>
        </w:rPr>
        <w:t xml:space="preserve">The AMI indicator is evaluated within BRFplus DETERMINE_MOM_ORDER_CODES based on device category / meter type attribute from S/4HANA premise replication.</w:t>
      </w:r>
    </w:p>
    <w:p>
      <w:pPr>
        <w:spacing w:after="0" w:before="120"/>
      </w:pP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00"/>
      </w:tblGrid>
      <w:tr>
        <w:trPr>
          <w:tblHeader/>
        </w:trPr>
        <w:tc>
          <w:tcPr>
            <w:tcW w:type="dxa" w:w="20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Condition</w:t>
            </w:r>
          </w:p>
        </w:tc>
        <w:tc>
          <w:tcPr>
            <w:tcW w:type="dxa" w:w="30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Standard Flow</w:t>
            </w:r>
          </w:p>
        </w:tc>
        <w:tc>
          <w:tcPr>
            <w:tcW w:type="dxa" w:w="43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AMI Flow</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Meter Read Method</w:t>
            </w:r>
          </w:p>
        </w:tc>
        <w:tc>
          <w:tcPr>
            <w:tcW w:type="dxa" w:w="3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Physical field read (technician dispatched)</w:t>
            </w:r>
          </w:p>
        </w:tc>
        <w:tc>
          <w:tcPr>
            <w:tcW w:type="dxa" w:w="43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Remote AMI read (system-initiated)</w:t>
            </w:r>
          </w:p>
        </w:tc>
      </w:tr>
      <w:tr>
        <w:tc>
          <w:tcPr>
            <w:tcW w:type="dxa" w:w="20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Order Code</w:t>
            </w:r>
          </w:p>
        </w:tc>
        <w:tc>
          <w:tcPr>
            <w:tcW w:type="dxa" w:w="30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ELEC_READ / GAS_READ</w:t>
            </w:r>
          </w:p>
        </w:tc>
        <w:tc>
          <w:tcPr>
            <w:tcW w:type="dxa" w:w="43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ELEC_READ_AMI / GAS_READ_AMI</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Scheduling</w:t>
            </w:r>
          </w:p>
        </w:tc>
        <w:tc>
          <w:tcPr>
            <w:tcW w:type="dxa" w:w="3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Timed appointment slot</w:t>
            </w:r>
          </w:p>
        </w:tc>
        <w:tc>
          <w:tcPr>
            <w:tcW w:type="dxa" w:w="43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Remote — no physical appointment</w:t>
            </w:r>
          </w:p>
        </w:tc>
      </w:tr>
      <w:tr>
        <w:tc>
          <w:tcPr>
            <w:tcW w:type="dxa" w:w="20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Notification Type</w:t>
            </w:r>
          </w:p>
        </w:tc>
        <w:tc>
          <w:tcPr>
            <w:tcW w:type="dxa" w:w="30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PM Notification (field work)</w:t>
            </w:r>
          </w:p>
        </w:tc>
        <w:tc>
          <w:tcPr>
            <w:tcW w:type="dxa" w:w="43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Remote read request message</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Meter Number Validation</w:t>
            </w:r>
          </w:p>
        </w:tc>
        <w:tc>
          <w:tcPr>
            <w:tcW w:type="dxa" w:w="3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KOMBINAT = Z, device present</w:t>
            </w:r>
          </w:p>
        </w:tc>
        <w:tc>
          <w:tcPr>
            <w:tcW w:type="dxa" w:w="43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Same + AMI device category flag</w:t>
            </w:r>
          </w:p>
        </w:tc>
      </w:tr>
    </w:tbl>
    <w:p>
      <w:pPr>
        <w:spacing w:after="0" w:before="120"/>
      </w:pPr>
    </w:p>
    <w:p>
      <w:r>
        <w:br w:type="page"/>
      </w:r>
    </w:p>
    <w:p>
      <w:pPr>
        <w:pStyle w:val="Heading1"/>
        <w:pBdr>
          <w:bottom w:val="single" w:color="2E75B6" w:sz="4"/>
        </w:pBdr>
        <w:shd w:fill="1F3864" w:val="clear"/>
        <w:spacing w:after="120" w:before="360"/>
        <w:ind w:left="120" w:right="120"/>
      </w:pPr>
      <w:r>
        <w:rPr>
          <w:rFonts w:ascii="Arial" w:cs="Arial" w:eastAsia="Arial" w:hAnsi="Arial"/>
          <w:b/>
          <w:bCs/>
          <w:color w:val="FFFFFF"/>
          <w:sz w:val="36"/>
          <w:szCs w:val="36"/>
        </w:rPr>
        <w:t xml:space="preserve">14. Scalability, Extensibility &amp; Future Roadmap</w:t>
      </w:r>
    </w:p>
    <w:p>
      <w:pPr>
        <w:spacing w:after="0" w:before="120"/>
      </w:pPr>
    </w:p>
    <w:p>
      <w:pPr>
        <w:pStyle w:val="Heading2"/>
        <w:pBdr>
          <w:bottom w:val="single" w:color="2E75B6" w:sz="3" w:space="1"/>
        </w:pBdr>
        <w:spacing w:after="100" w:before="280"/>
      </w:pPr>
      <w:r>
        <w:rPr>
          <w:rFonts w:ascii="Arial" w:cs="Arial" w:eastAsia="Arial" w:hAnsi="Arial"/>
          <w:b/>
          <w:bCs/>
          <w:color w:val="1F3864"/>
          <w:sz w:val="28"/>
          <w:szCs w:val="28"/>
        </w:rPr>
        <w:t xml:space="preserve">14.1  Configurable Rules (No Hardcoding)</w:t>
      </w:r>
    </w:p>
    <w:p>
      <w:pPr>
        <w:pStyle w:val="ListParagraph"/>
        <w:numPr>
          <w:ilvl w:val="0"/>
          <w:numId w:val="2"/>
        </w:numPr>
        <w:spacing w:after="40" w:before="40"/>
      </w:pPr>
      <w:r>
        <w:rPr>
          <w:rFonts w:ascii="Arial" w:cs="Arial" w:eastAsia="Arial" w:hAnsi="Arial"/>
          <w:sz w:val="20"/>
          <w:szCs w:val="20"/>
        </w:rPr>
        <w:t xml:space="preserve">All order-code determinations are managed in BRFplus Decision Tables — new energy types, meter types, or business rules require only table configuration, not development.</w:t>
      </w:r>
    </w:p>
    <w:p>
      <w:pPr>
        <w:pStyle w:val="ListParagraph"/>
        <w:numPr>
          <w:ilvl w:val="0"/>
          <w:numId w:val="2"/>
        </w:numPr>
        <w:spacing w:after="40" w:before="40"/>
      </w:pPr>
      <w:r>
        <w:rPr>
          <w:rFonts w:ascii="Arial" w:cs="Arial" w:eastAsia="Arial" w:hAnsi="Arial"/>
          <w:sz w:val="20"/>
          <w:szCs w:val="20"/>
        </w:rPr>
        <w:t xml:space="preserve">Open-order check logic is centralized in the higher-level DETERMINE_NEXT_VIEW BRFplus function, ensuring new tree scenarios are added consistently.</w:t>
      </w:r>
    </w:p>
    <w:p>
      <w:pPr>
        <w:pStyle w:val="ListParagraph"/>
        <w:numPr>
          <w:ilvl w:val="0"/>
          <w:numId w:val="2"/>
        </w:numPr>
        <w:spacing w:after="40" w:before="40"/>
      </w:pPr>
      <w:r>
        <w:rPr>
          <w:rFonts w:ascii="Arial" w:cs="Arial" w:eastAsia="Arial" w:hAnsi="Arial"/>
          <w:sz w:val="20"/>
          <w:szCs w:val="20"/>
        </w:rPr>
        <w:t xml:space="preserve">BAT (Basic Application Table) configuration in S/4HANA controls scheduling rules, adult-present requirements, and order eligibility per order code.</w:t>
      </w:r>
    </w:p>
    <w:p>
      <w:pPr>
        <w:spacing w:after="0" w:before="120"/>
      </w:pPr>
    </w:p>
    <w:p>
      <w:pPr>
        <w:pStyle w:val="Heading2"/>
        <w:pBdr>
          <w:bottom w:val="single" w:color="2E75B6" w:sz="3" w:space="1"/>
        </w:pBdr>
        <w:spacing w:after="100" w:before="280"/>
      </w:pPr>
      <w:r>
        <w:rPr>
          <w:rFonts w:ascii="Arial" w:cs="Arial" w:eastAsia="Arial" w:hAnsi="Arial"/>
          <w:b/>
          <w:bCs/>
          <w:color w:val="1F3864"/>
          <w:sz w:val="28"/>
          <w:szCs w:val="28"/>
        </w:rPr>
        <w:t xml:space="preserve">14.2  SSC V2 Extensibility</w:t>
      </w:r>
    </w:p>
    <w:p>
      <w:pPr>
        <w:pStyle w:val="ListParagraph"/>
        <w:numPr>
          <w:ilvl w:val="0"/>
          <w:numId w:val="2"/>
        </w:numPr>
        <w:spacing w:after="40" w:before="40"/>
      </w:pPr>
      <w:r>
        <w:rPr>
          <w:rFonts w:ascii="Arial" w:cs="Arial" w:eastAsia="Arial" w:hAnsi="Arial"/>
          <w:sz w:val="20"/>
          <w:szCs w:val="20"/>
        </w:rPr>
        <w:t xml:space="preserve">Extension fields can be added to Move-In screens via SSC V2 Studio without core modification (Settings → Extensibility → Extension Fields).</w:t>
      </w:r>
    </w:p>
    <w:p>
      <w:pPr>
        <w:pStyle w:val="ListParagraph"/>
        <w:numPr>
          <w:ilvl w:val="0"/>
          <w:numId w:val="2"/>
        </w:numPr>
        <w:spacing w:after="40" w:before="40"/>
      </w:pPr>
      <w:r>
        <w:rPr>
          <w:rFonts w:ascii="Arial" w:cs="Arial" w:eastAsia="Arial" w:hAnsi="Arial"/>
          <w:sz w:val="20"/>
          <w:szCs w:val="20"/>
        </w:rPr>
        <w:t xml:space="preserve">Custom fields in S/4HANA IS-U can be extended via SProxy (proxy structure Premise_ConnOBJ) and mapped in BAdI ISU_C4C_V2_TECH_OBJS_REPL.</w:t>
      </w:r>
    </w:p>
    <w:p>
      <w:pPr>
        <w:pStyle w:val="ListParagraph"/>
        <w:numPr>
          <w:ilvl w:val="0"/>
          <w:numId w:val="2"/>
        </w:numPr>
        <w:spacing w:after="40" w:before="40"/>
      </w:pPr>
      <w:r>
        <w:rPr>
          <w:rFonts w:ascii="Arial" w:cs="Arial" w:eastAsia="Arial" w:hAnsi="Arial"/>
          <w:sz w:val="20"/>
          <w:szCs w:val="20"/>
        </w:rPr>
        <w:t xml:space="preserve">CPI integration flows are extensible via 'Custom Extensions' in the CI package — custom fields can be mapped in the extensibility integration flows.</w:t>
      </w:r>
    </w:p>
    <w:p>
      <w:pPr>
        <w:spacing w:after="0" w:before="120"/>
      </w:pPr>
    </w:p>
    <w:p>
      <w:pPr>
        <w:pStyle w:val="Heading2"/>
        <w:pBdr>
          <w:bottom w:val="single" w:color="2E75B6" w:sz="3" w:space="1"/>
        </w:pBdr>
        <w:spacing w:after="100" w:before="280"/>
      </w:pPr>
      <w:r>
        <w:rPr>
          <w:rFonts w:ascii="Arial" w:cs="Arial" w:eastAsia="Arial" w:hAnsi="Arial"/>
          <w:b/>
          <w:bCs/>
          <w:color w:val="1F3864"/>
          <w:sz w:val="28"/>
          <w:szCs w:val="28"/>
        </w:rPr>
        <w:t xml:space="preserve">14.3  Planned Future Enhancements</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2400"/>
        <w:gridCol w:w="4700"/>
        <w:gridCol w:w="1200"/>
      </w:tblGrid>
      <w:tr>
        <w:trPr>
          <w:tblHeader/>
        </w:trPr>
        <w:tc>
          <w:tcPr>
            <w:tcW w:type="dxa" w:w="24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Enhancement</w:t>
            </w:r>
          </w:p>
        </w:tc>
        <w:tc>
          <w:tcPr>
            <w:tcW w:type="dxa" w:w="47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c>
          <w:tcPr>
            <w:tcW w:type="dxa" w:w="12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Priority</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Digital Self-Service Move-In</w:t>
            </w:r>
          </w:p>
        </w:tc>
        <w:tc>
          <w:tcPr>
            <w:tcW w:type="dxa" w:w="4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Full OData API exposure of Move-In Guided Process for customer portal / mobile app</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High</w:t>
            </w:r>
          </w:p>
        </w:tc>
      </w:tr>
      <w:tr>
        <w:tc>
          <w:tcPr>
            <w:tcW w:type="dxa" w:w="24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Predictive Deposit Scoring</w:t>
            </w:r>
          </w:p>
        </w:tc>
        <w:tc>
          <w:tcPr>
            <w:tcW w:type="dxa" w:w="47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ML-based deposit scoring model replacing fixed threshold rules</w:t>
            </w:r>
          </w:p>
        </w:tc>
        <w:tc>
          <w:tcPr>
            <w:tcW w:type="dxa" w:w="12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Medium</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Real-Time Meter Status from AMI</w:t>
            </w:r>
          </w:p>
        </w:tc>
        <w:tc>
          <w:tcPr>
            <w:tcW w:type="dxa" w:w="4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Live AMI head-end query for meter status at premise lookup time</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High</w:t>
            </w:r>
          </w:p>
        </w:tc>
      </w:tr>
      <w:tr>
        <w:tc>
          <w:tcPr>
            <w:tcW w:type="dxa" w:w="24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Automated FACTA Bypass (trusted channels)</w:t>
            </w:r>
          </w:p>
        </w:tc>
        <w:tc>
          <w:tcPr>
            <w:tcW w:type="dxa" w:w="47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Pre-authenticated digital identity (OAuth) bypasses FACTA for verified digital accounts</w:t>
            </w:r>
          </w:p>
        </w:tc>
        <w:tc>
          <w:tcPr>
            <w:tcW w:type="dxa" w:w="12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Medium</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Transfer (Move-In + Move-Out) in one transaction</w:t>
            </w:r>
          </w:p>
        </w:tc>
        <w:tc>
          <w:tcPr>
            <w:tcW w:type="dxa" w:w="4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Combined Transfer Guided Process leveraging both contract management flows</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High</w:t>
            </w:r>
          </w:p>
        </w:tc>
      </w:tr>
      <w:tr>
        <w:tc>
          <w:tcPr>
            <w:tcW w:type="dxa" w:w="24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Winter Protection / SPP Auto-Enrollment</w:t>
            </w:r>
          </w:p>
        </w:tc>
        <w:tc>
          <w:tcPr>
            <w:tcW w:type="dxa" w:w="47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Eligibility check at Move-In and auto-enroll qualified customers</w:t>
            </w:r>
          </w:p>
        </w:tc>
        <w:tc>
          <w:tcPr>
            <w:tcW w:type="dxa" w:w="12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Low</w:t>
            </w:r>
          </w:p>
        </w:tc>
      </w:tr>
    </w:tbl>
    <w:p>
      <w:pPr>
        <w:spacing w:after="0" w:before="120"/>
      </w:pPr>
    </w:p>
    <w:p>
      <w:pPr>
        <w:pStyle w:val="Heading1"/>
        <w:pBdr>
          <w:bottom w:val="single" w:color="2E75B6" w:sz="4"/>
        </w:pBdr>
        <w:shd w:fill="1F3864" w:val="clear"/>
        <w:spacing w:after="120" w:before="360"/>
        <w:ind w:left="120" w:right="120"/>
      </w:pPr>
      <w:r>
        <w:rPr>
          <w:rFonts w:ascii="Arial" w:cs="Arial" w:eastAsia="Arial" w:hAnsi="Arial"/>
          <w:b/>
          <w:bCs/>
          <w:color w:val="FFFFFF"/>
          <w:sz w:val="36"/>
          <w:szCs w:val="36"/>
        </w:rPr>
        <w:t xml:space="preserve">15. Glossary</w:t>
      </w:r>
    </w:p>
    <w:p>
      <w:pPr>
        <w:spacing w:after="0" w:before="120"/>
      </w:pP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800"/>
        <w:gridCol w:w="7500"/>
      </w:tblGrid>
      <w:tr>
        <w:trPr>
          <w:tblHeader/>
        </w:trPr>
        <w:tc>
          <w:tcPr>
            <w:tcW w:type="dxa" w:w="18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Term</w:t>
            </w:r>
          </w:p>
        </w:tc>
        <w:tc>
          <w:tcPr>
            <w:tcW w:type="dxa" w:w="75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Definition</w:t>
            </w:r>
          </w:p>
        </w:tc>
      </w:tr>
      <w:tr>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AMI</w:t>
            </w:r>
          </w:p>
        </w:tc>
        <w:tc>
          <w:tcPr>
            <w:tcW w:type="dxa" w:w="7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Advanced Metering Infrastructure — smart/remote-read meters</w:t>
            </w:r>
          </w:p>
        </w:tc>
      </w:tr>
      <w:tr>
        <w:tc>
          <w:tcPr>
            <w:tcW w:type="dxa" w:w="18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BAT</w:t>
            </w:r>
          </w:p>
        </w:tc>
        <w:tc>
          <w:tcPr>
            <w:tcW w:type="dxa" w:w="75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Basic Application Table — configures order eligibility and scheduling rules</w:t>
            </w:r>
          </w:p>
        </w:tc>
      </w:tr>
      <w:tr>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BP</w:t>
            </w:r>
          </w:p>
        </w:tc>
        <w:tc>
          <w:tcPr>
            <w:tcW w:type="dxa" w:w="7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Business Partner — the customer entity in SAP</w:t>
            </w:r>
          </w:p>
        </w:tc>
      </w:tr>
      <w:tr>
        <w:tc>
          <w:tcPr>
            <w:tcW w:type="dxa" w:w="18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BRFplus</w:t>
            </w:r>
          </w:p>
        </w:tc>
        <w:tc>
          <w:tcPr>
            <w:tcW w:type="dxa" w:w="75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Business Rule Framework plus — SAP's configurable rule/decision engine</w:t>
            </w:r>
          </w:p>
        </w:tc>
      </w:tr>
      <w:tr>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BUAG</w:t>
            </w:r>
          </w:p>
        </w:tc>
        <w:tc>
          <w:tcPr>
            <w:tcW w:type="dxa" w:w="7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Business Agreement (Geschäftsvereinbarung) — links BP to contract account</w:t>
            </w:r>
          </w:p>
        </w:tc>
      </w:tr>
      <w:tr>
        <w:tc>
          <w:tcPr>
            <w:tcW w:type="dxa" w:w="18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CSR</w:t>
            </w:r>
          </w:p>
        </w:tc>
        <w:tc>
          <w:tcPr>
            <w:tcW w:type="dxa" w:w="75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Customer Service Representative</w:t>
            </w:r>
          </w:p>
        </w:tc>
      </w:tr>
      <w:tr>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CPI</w:t>
            </w:r>
          </w:p>
        </w:tc>
        <w:tc>
          <w:tcPr>
            <w:tcW w:type="dxa" w:w="7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SAP Cloud Integration (formerly SAP Cloud Platform Integration)</w:t>
            </w:r>
          </w:p>
        </w:tc>
      </w:tr>
      <w:tr>
        <w:tc>
          <w:tcPr>
            <w:tcW w:type="dxa" w:w="18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DRF</w:t>
            </w:r>
          </w:p>
        </w:tc>
        <w:tc>
          <w:tcPr>
            <w:tcW w:type="dxa" w:w="75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Data Replication Framework — S/4HANA mechanism for master data sync</w:t>
            </w:r>
          </w:p>
        </w:tc>
      </w:tr>
      <w:tr>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FACTA</w:t>
            </w:r>
          </w:p>
        </w:tc>
        <w:tc>
          <w:tcPr>
            <w:tcW w:type="dxa" w:w="7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Fair and Accurate Credit Transactions Act — identity validation regulation</w:t>
            </w:r>
          </w:p>
        </w:tc>
      </w:tr>
      <w:tr>
        <w:tc>
          <w:tcPr>
            <w:tcW w:type="dxa" w:w="18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IS-U</w:t>
            </w:r>
          </w:p>
        </w:tc>
        <w:tc>
          <w:tcPr>
            <w:tcW w:type="dxa" w:w="75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Industry-Specific Utilities component within SAP S/4HANA</w:t>
            </w:r>
          </w:p>
        </w:tc>
      </w:tr>
      <w:tr>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KOMBINAT</w:t>
            </w:r>
          </w:p>
        </w:tc>
        <w:tc>
          <w:tcPr>
            <w:tcW w:type="dxa" w:w="7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IS-U device field — 'Z' indicates a metering device</w:t>
            </w:r>
          </w:p>
        </w:tc>
      </w:tr>
      <w:tr>
        <w:tc>
          <w:tcPr>
            <w:tcW w:type="dxa" w:w="18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MAT</w:t>
            </w:r>
          </w:p>
        </w:tc>
        <w:tc>
          <w:tcPr>
            <w:tcW w:type="dxa" w:w="75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Maintenance Activity Type — sub-classification of IS-U service orders</w:t>
            </w:r>
          </w:p>
        </w:tc>
      </w:tr>
      <w:tr>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MOM</w:t>
            </w:r>
          </w:p>
        </w:tc>
        <w:tc>
          <w:tcPr>
            <w:tcW w:type="dxa" w:w="7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Meter Order Matrix — configurable mapping of meter state to order code</w:t>
            </w:r>
          </w:p>
        </w:tc>
      </w:tr>
      <w:tr>
        <w:tc>
          <w:tcPr>
            <w:tcW w:type="dxa" w:w="18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OIL</w:t>
            </w:r>
          </w:p>
        </w:tc>
        <w:tc>
          <w:tcPr>
            <w:tcW w:type="dxa" w:w="75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Order Initiation Layer — standard SSC/CRM screen for order type selection (bypassed in Move-In)</w:t>
            </w:r>
          </w:p>
        </w:tc>
      </w:tr>
      <w:tr>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PIR</w:t>
            </w:r>
          </w:p>
        </w:tc>
        <w:tc>
          <w:tcPr>
            <w:tcW w:type="dxa" w:w="7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Positive ID Required — flag set when additional identity documents are needed</w:t>
            </w:r>
          </w:p>
        </w:tc>
      </w:tr>
      <w:tr>
        <w:tc>
          <w:tcPr>
            <w:tcW w:type="dxa" w:w="18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POD</w:t>
            </w:r>
          </w:p>
        </w:tc>
        <w:tc>
          <w:tcPr>
            <w:tcW w:type="dxa" w:w="75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Point of Delivery — the IS-U installation / meter point</w:t>
            </w:r>
          </w:p>
        </w:tc>
      </w:tr>
      <w:tr>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SDR</w:t>
            </w:r>
          </w:p>
        </w:tc>
        <w:tc>
          <w:tcPr>
            <w:tcW w:type="dxa" w:w="7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Security Deposit Required flag</w:t>
            </w:r>
          </w:p>
        </w:tc>
      </w:tr>
      <w:tr>
        <w:tc>
          <w:tcPr>
            <w:tcW w:type="dxa" w:w="18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SOA</w:t>
            </w:r>
          </w:p>
        </w:tc>
        <w:tc>
          <w:tcPr>
            <w:tcW w:type="dxa" w:w="75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Service-Oriented Architecture — S/4HANA web service framework</w:t>
            </w:r>
          </w:p>
        </w:tc>
      </w:tr>
      <w:tr>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SPP</w:t>
            </w:r>
          </w:p>
        </w:tc>
        <w:tc>
          <w:tcPr>
            <w:tcW w:type="dxa" w:w="7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Special Protection Plan — utility low-income assistance program</w:t>
            </w:r>
          </w:p>
        </w:tc>
      </w:tr>
      <w:tr>
        <w:tc>
          <w:tcPr>
            <w:tcW w:type="dxa" w:w="18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SSC V2</w:t>
            </w:r>
          </w:p>
        </w:tc>
        <w:tc>
          <w:tcPr>
            <w:tcW w:type="dxa" w:w="75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SAP Service Cloud Version 2 — the cloud CRM/service platform</w:t>
            </w:r>
          </w:p>
        </w:tc>
      </w:tr>
      <w:tr>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WPP</w:t>
            </w:r>
          </w:p>
        </w:tc>
        <w:tc>
          <w:tcPr>
            <w:tcW w:type="dxa" w:w="7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Winter Protection Plan — seasonal utility assistance program</w:t>
            </w:r>
          </w:p>
        </w:tc>
      </w:tr>
      <w:tr>
        <w:tc>
          <w:tcPr>
            <w:tcW w:type="dxa" w:w="18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WS93000115</w:t>
            </w:r>
          </w:p>
        </w:tc>
        <w:tc>
          <w:tcPr>
            <w:tcW w:type="dxa" w:w="75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IS-U Move-In ECC/S4 Workflow identifier</w:t>
            </w:r>
          </w:p>
        </w:tc>
      </w:tr>
    </w:tbl>
    <w:p>
      <w:pPr>
        <w:spacing w:after="0" w:before="120"/>
      </w:pPr>
    </w:p>
    <w:p>
      <w:r>
        <w:br w:type="page"/>
      </w:r>
    </w:p>
    <w:p>
      <w:pPr>
        <w:pStyle w:val="Heading1"/>
        <w:pBdr>
          <w:bottom w:val="single" w:color="2E75B6" w:sz="4"/>
        </w:pBdr>
        <w:shd w:fill="1F3864" w:val="clear"/>
        <w:spacing w:after="120" w:before="360"/>
        <w:ind w:left="120" w:right="120"/>
      </w:pPr>
      <w:r>
        <w:rPr>
          <w:rFonts w:ascii="Arial" w:cs="Arial" w:eastAsia="Arial" w:hAnsi="Arial"/>
          <w:b/>
          <w:bCs/>
          <w:color w:val="FFFFFF"/>
          <w:sz w:val="36"/>
          <w:szCs w:val="36"/>
        </w:rPr>
        <w:t xml:space="preserve">Appendix A – Implementation Checklist</w:t>
      </w:r>
    </w:p>
    <w:p>
      <w:pPr>
        <w:spacing w:after="0" w:before="120"/>
      </w:pPr>
    </w:p>
    <w:p>
      <w:pPr>
        <w:pStyle w:val="Heading2"/>
        <w:pBdr>
          <w:bottom w:val="single" w:color="2E75B6" w:sz="3" w:space="1"/>
        </w:pBdr>
        <w:spacing w:after="100" w:before="280"/>
      </w:pPr>
      <w:r>
        <w:rPr>
          <w:rFonts w:ascii="Arial" w:cs="Arial" w:eastAsia="Arial" w:hAnsi="Arial"/>
          <w:b/>
          <w:bCs/>
          <w:color w:val="1F3864"/>
          <w:sz w:val="28"/>
          <w:szCs w:val="28"/>
        </w:rPr>
        <w:t xml:space="preserve">A.1  Pre-Go-Live Configuration Checklist</w:t>
      </w:r>
    </w:p>
    <w:p>
      <w:pPr>
        <w:spacing w:after="0" w:before="120"/>
      </w:pP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60"/>
        <w:gridCol w:w="4500"/>
        <w:gridCol w:w="1000"/>
        <w:gridCol w:w="1100"/>
        <w:gridCol w:w="2340"/>
      </w:tblGrid>
      <w:tr>
        <w:trPr>
          <w:tblHeader/>
        </w:trPr>
        <w:tc>
          <w:tcPr>
            <w:tcW w:type="dxa" w:w="36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45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Configuration Item</w:t>
            </w:r>
          </w:p>
        </w:tc>
        <w:tc>
          <w:tcPr>
            <w:tcW w:type="dxa" w:w="10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System</w:t>
            </w:r>
          </w:p>
        </w:tc>
        <w:tc>
          <w:tcPr>
            <w:tcW w:type="dxa" w:w="11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Owner</w:t>
            </w:r>
          </w:p>
        </w:tc>
        <w:tc>
          <w:tcPr>
            <w:tcW w:type="dxa" w:w="234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Status</w:t>
            </w:r>
          </w:p>
        </w:tc>
      </w:tr>
      <w:tr>
        <w:tc>
          <w:tcPr>
            <w:tcW w:type="dxa" w:w="3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1</w:t>
            </w:r>
          </w:p>
        </w:tc>
        <w:tc>
          <w:tcPr>
            <w:tcW w:type="dxa" w:w="4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IS-UT 808 SP0+ applied; OSS notes 3469751, 3483270, 3479320, 3484932, 3725105 implemented</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S/4HANA</w:t>
            </w:r>
          </w:p>
        </w:tc>
        <w:tc>
          <w:tcPr>
            <w:tcW w:type="dxa" w:w="1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Basis</w:t>
            </w:r>
          </w:p>
        </w:tc>
        <w:tc>
          <w:tcPr>
            <w:tcW w:type="dxa" w:w="234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w:t>
            </w:r>
          </w:p>
        </w:tc>
      </w:tr>
      <w:tr>
        <w:tc>
          <w:tcPr>
            <w:tcW w:type="dxa" w:w="36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2</w:t>
            </w:r>
          </w:p>
        </w:tc>
        <w:tc>
          <w:tcPr>
            <w:tcW w:type="dxa" w:w="45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SOAMANAGER — Contract Account outbound service configured</w:t>
            </w:r>
          </w:p>
        </w:tc>
        <w:tc>
          <w:tcPr>
            <w:tcW w:type="dxa" w:w="10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S/4HANA</w:t>
            </w:r>
          </w:p>
        </w:tc>
        <w:tc>
          <w:tcPr>
            <w:tcW w:type="dxa" w:w="11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Integration</w:t>
            </w:r>
          </w:p>
        </w:tc>
        <w:tc>
          <w:tcPr>
            <w:tcW w:type="dxa" w:w="234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w:t>
            </w:r>
          </w:p>
        </w:tc>
      </w:tr>
      <w:tr>
        <w:tc>
          <w:tcPr>
            <w:tcW w:type="dxa" w:w="3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3</w:t>
            </w:r>
          </w:p>
        </w:tc>
        <w:tc>
          <w:tcPr>
            <w:tcW w:type="dxa" w:w="4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SOAMANAGER — Premise/Connection Object outbound service configured</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S/4HANA</w:t>
            </w:r>
          </w:p>
        </w:tc>
        <w:tc>
          <w:tcPr>
            <w:tcW w:type="dxa" w:w="1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Integration</w:t>
            </w:r>
          </w:p>
        </w:tc>
        <w:tc>
          <w:tcPr>
            <w:tcW w:type="dxa" w:w="234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w:t>
            </w:r>
          </w:p>
        </w:tc>
      </w:tr>
      <w:tr>
        <w:tc>
          <w:tcPr>
            <w:tcW w:type="dxa" w:w="36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4</w:t>
            </w:r>
          </w:p>
        </w:tc>
        <w:tc>
          <w:tcPr>
            <w:tcW w:type="dxa" w:w="45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DRF — Replication model, Business System, Outbound Implementation configured</w:t>
            </w:r>
          </w:p>
        </w:tc>
        <w:tc>
          <w:tcPr>
            <w:tcW w:type="dxa" w:w="10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S/4HANA</w:t>
            </w:r>
          </w:p>
        </w:tc>
        <w:tc>
          <w:tcPr>
            <w:tcW w:type="dxa" w:w="11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Integration</w:t>
            </w:r>
          </w:p>
        </w:tc>
        <w:tc>
          <w:tcPr>
            <w:tcW w:type="dxa" w:w="234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w:t>
            </w:r>
          </w:p>
        </w:tc>
      </w:tr>
      <w:tr>
        <w:tc>
          <w:tcPr>
            <w:tcW w:type="dxa" w:w="3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5</w:t>
            </w:r>
          </w:p>
        </w:tc>
        <w:tc>
          <w:tcPr>
            <w:tcW w:type="dxa" w:w="4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SWE2 — Delta replication events configured for Connection Object and Premise</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S/4HANA</w:t>
            </w:r>
          </w:p>
        </w:tc>
        <w:tc>
          <w:tcPr>
            <w:tcW w:type="dxa" w:w="1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Integration</w:t>
            </w:r>
          </w:p>
        </w:tc>
        <w:tc>
          <w:tcPr>
            <w:tcW w:type="dxa" w:w="234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w:t>
            </w:r>
          </w:p>
        </w:tc>
      </w:tr>
      <w:tr>
        <w:tc>
          <w:tcPr>
            <w:tcW w:type="dxa" w:w="36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6</w:t>
            </w:r>
          </w:p>
        </w:tc>
        <w:tc>
          <w:tcPr>
            <w:tcW w:type="dxa" w:w="45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Initial load executed: Contract Accounts (DRFOUT)</w:t>
            </w:r>
          </w:p>
        </w:tc>
        <w:tc>
          <w:tcPr>
            <w:tcW w:type="dxa" w:w="10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S/4HANA</w:t>
            </w:r>
          </w:p>
        </w:tc>
        <w:tc>
          <w:tcPr>
            <w:tcW w:type="dxa" w:w="11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Integration</w:t>
            </w:r>
          </w:p>
        </w:tc>
        <w:tc>
          <w:tcPr>
            <w:tcW w:type="dxa" w:w="234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w:t>
            </w:r>
          </w:p>
        </w:tc>
      </w:tr>
      <w:tr>
        <w:tc>
          <w:tcPr>
            <w:tcW w:type="dxa" w:w="3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7</w:t>
            </w:r>
          </w:p>
        </w:tc>
        <w:tc>
          <w:tcPr>
            <w:tcW w:type="dxa" w:w="4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Initial load executed: Premises / Connection Objects</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S/4HANA</w:t>
            </w:r>
          </w:p>
        </w:tc>
        <w:tc>
          <w:tcPr>
            <w:tcW w:type="dxa" w:w="1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Integration</w:t>
            </w:r>
          </w:p>
        </w:tc>
        <w:tc>
          <w:tcPr>
            <w:tcW w:type="dxa" w:w="234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w:t>
            </w:r>
          </w:p>
        </w:tc>
      </w:tr>
      <w:tr>
        <w:tc>
          <w:tcPr>
            <w:tcW w:type="dxa" w:w="36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8</w:t>
            </w:r>
          </w:p>
        </w:tc>
        <w:tc>
          <w:tcPr>
            <w:tcW w:type="dxa" w:w="45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Initial load executed: Business Partners (DRFOUT, Outbound = 986_3)</w:t>
            </w:r>
          </w:p>
        </w:tc>
        <w:tc>
          <w:tcPr>
            <w:tcW w:type="dxa" w:w="10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S/4HANA</w:t>
            </w:r>
          </w:p>
        </w:tc>
        <w:tc>
          <w:tcPr>
            <w:tcW w:type="dxa" w:w="11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Integration</w:t>
            </w:r>
          </w:p>
        </w:tc>
        <w:tc>
          <w:tcPr>
            <w:tcW w:type="dxa" w:w="234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w:t>
            </w:r>
          </w:p>
        </w:tc>
      </w:tr>
      <w:tr>
        <w:tc>
          <w:tcPr>
            <w:tcW w:type="dxa" w:w="3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9</w:t>
            </w:r>
          </w:p>
        </w:tc>
        <w:tc>
          <w:tcPr>
            <w:tcW w:type="dxa" w:w="4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BRFplus DETERMINE_MOM_ORDER_CODES function configured with Decision Tables</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S/4HANA</w:t>
            </w:r>
          </w:p>
        </w:tc>
        <w:tc>
          <w:tcPr>
            <w:tcW w:type="dxa" w:w="1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Functional</w:t>
            </w:r>
          </w:p>
        </w:tc>
        <w:tc>
          <w:tcPr>
            <w:tcW w:type="dxa" w:w="234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w:t>
            </w:r>
          </w:p>
        </w:tc>
      </w:tr>
      <w:tr>
        <w:tc>
          <w:tcPr>
            <w:tcW w:type="dxa" w:w="36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10</w:t>
            </w:r>
          </w:p>
        </w:tc>
        <w:tc>
          <w:tcPr>
            <w:tcW w:type="dxa" w:w="45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BRFplus OPEN_ORDER_CHECK configured; RS_OPEN_ORDER_CHECK ruleset active</w:t>
            </w:r>
          </w:p>
        </w:tc>
        <w:tc>
          <w:tcPr>
            <w:tcW w:type="dxa" w:w="10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S/4HANA</w:t>
            </w:r>
          </w:p>
        </w:tc>
        <w:tc>
          <w:tcPr>
            <w:tcW w:type="dxa" w:w="11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Functional</w:t>
            </w:r>
          </w:p>
        </w:tc>
        <w:tc>
          <w:tcPr>
            <w:tcW w:type="dxa" w:w="234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w:t>
            </w:r>
          </w:p>
        </w:tc>
      </w:tr>
      <w:tr>
        <w:tc>
          <w:tcPr>
            <w:tcW w:type="dxa" w:w="3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11</w:t>
            </w:r>
          </w:p>
        </w:tc>
        <w:tc>
          <w:tcPr>
            <w:tcW w:type="dxa" w:w="4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T399A / TEN399A — all Move-In order codes mapped to IS-U order types + MAT</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S/4HANA</w:t>
            </w:r>
          </w:p>
        </w:tc>
        <w:tc>
          <w:tcPr>
            <w:tcW w:type="dxa" w:w="1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Functional</w:t>
            </w:r>
          </w:p>
        </w:tc>
        <w:tc>
          <w:tcPr>
            <w:tcW w:type="dxa" w:w="234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w:t>
            </w:r>
          </w:p>
        </w:tc>
      </w:tr>
      <w:tr>
        <w:tc>
          <w:tcPr>
            <w:tcW w:type="dxa" w:w="36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12</w:t>
            </w:r>
          </w:p>
        </w:tc>
        <w:tc>
          <w:tcPr>
            <w:tcW w:type="dxa" w:w="45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Custom FMs: Z_CALC_SECURITY_DEPOSIT, Z_MI_VERIFY_PREMISE, Z_DO_EQUIFAX_CHECK tested</w:t>
            </w:r>
          </w:p>
        </w:tc>
        <w:tc>
          <w:tcPr>
            <w:tcW w:type="dxa" w:w="10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S/4HANA</w:t>
            </w:r>
          </w:p>
        </w:tc>
        <w:tc>
          <w:tcPr>
            <w:tcW w:type="dxa" w:w="11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Development</w:t>
            </w:r>
          </w:p>
        </w:tc>
        <w:tc>
          <w:tcPr>
            <w:tcW w:type="dxa" w:w="234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w:t>
            </w:r>
          </w:p>
        </w:tc>
      </w:tr>
      <w:tr>
        <w:tc>
          <w:tcPr>
            <w:tcW w:type="dxa" w:w="3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13</w:t>
            </w:r>
          </w:p>
        </w:tc>
        <w:tc>
          <w:tcPr>
            <w:tcW w:type="dxa" w:w="4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BuAg Default API (MD_ENH_090) configured and tested (Residential / Commercial / Industrial)</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S/4HANA</w:t>
            </w:r>
          </w:p>
        </w:tc>
        <w:tc>
          <w:tcPr>
            <w:tcW w:type="dxa" w:w="1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Development</w:t>
            </w:r>
          </w:p>
        </w:tc>
        <w:tc>
          <w:tcPr>
            <w:tcW w:type="dxa" w:w="234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w:t>
            </w:r>
          </w:p>
        </w:tc>
      </w:tr>
      <w:tr>
        <w:tc>
          <w:tcPr>
            <w:tcW w:type="dxa" w:w="36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14</w:t>
            </w:r>
          </w:p>
        </w:tc>
        <w:tc>
          <w:tcPr>
            <w:tcW w:type="dxa" w:w="45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IS-U Move-In Workflow WS93000115 activated and tested</w:t>
            </w:r>
          </w:p>
        </w:tc>
        <w:tc>
          <w:tcPr>
            <w:tcW w:type="dxa" w:w="10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S/4HANA</w:t>
            </w:r>
          </w:p>
        </w:tc>
        <w:tc>
          <w:tcPr>
            <w:tcW w:type="dxa" w:w="11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Functional</w:t>
            </w:r>
          </w:p>
        </w:tc>
        <w:tc>
          <w:tcPr>
            <w:tcW w:type="dxa" w:w="234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w:t>
            </w:r>
          </w:p>
        </w:tc>
      </w:tr>
      <w:tr>
        <w:tc>
          <w:tcPr>
            <w:tcW w:type="dxa" w:w="3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15</w:t>
            </w:r>
          </w:p>
        </w:tc>
        <w:tc>
          <w:tcPr>
            <w:tcW w:type="dxa" w:w="4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CPI package deployed and configured (both iFlows active)</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CPI</w:t>
            </w:r>
          </w:p>
        </w:tc>
        <w:tc>
          <w:tcPr>
            <w:tcW w:type="dxa" w:w="1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Integration</w:t>
            </w:r>
          </w:p>
        </w:tc>
        <w:tc>
          <w:tcPr>
            <w:tcW w:type="dxa" w:w="234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w:t>
            </w:r>
          </w:p>
        </w:tc>
      </w:tr>
      <w:tr>
        <w:tc>
          <w:tcPr>
            <w:tcW w:type="dxa" w:w="36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16</w:t>
            </w:r>
          </w:p>
        </w:tc>
        <w:tc>
          <w:tcPr>
            <w:tcW w:type="dxa" w:w="45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Cloud Connector configured for S/4HANA on-premise connectivity</w:t>
            </w:r>
          </w:p>
        </w:tc>
        <w:tc>
          <w:tcPr>
            <w:tcW w:type="dxa" w:w="10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BTP</w:t>
            </w:r>
          </w:p>
        </w:tc>
        <w:tc>
          <w:tcPr>
            <w:tcW w:type="dxa" w:w="11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Basis</w:t>
            </w:r>
          </w:p>
        </w:tc>
        <w:tc>
          <w:tcPr>
            <w:tcW w:type="dxa" w:w="234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w:t>
            </w:r>
          </w:p>
        </w:tc>
      </w:tr>
      <w:tr>
        <w:tc>
          <w:tcPr>
            <w:tcW w:type="dxa" w:w="3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17</w:t>
            </w:r>
          </w:p>
        </w:tc>
        <w:tc>
          <w:tcPr>
            <w:tcW w:type="dxa" w:w="4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SSC V2 — Communication System created and linked to CPI</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SSC V2</w:t>
            </w:r>
          </w:p>
        </w:tc>
        <w:tc>
          <w:tcPr>
            <w:tcW w:type="dxa" w:w="1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Functional</w:t>
            </w:r>
          </w:p>
        </w:tc>
        <w:tc>
          <w:tcPr>
            <w:tcW w:type="dxa" w:w="234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w:t>
            </w:r>
          </w:p>
        </w:tc>
      </w:tr>
      <w:tr>
        <w:tc>
          <w:tcPr>
            <w:tcW w:type="dxa" w:w="36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18</w:t>
            </w:r>
          </w:p>
        </w:tc>
        <w:tc>
          <w:tcPr>
            <w:tcW w:type="dxa" w:w="45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SSC V2 — Move-In Guided Process (6 steps) configured with all validations</w:t>
            </w:r>
          </w:p>
        </w:tc>
        <w:tc>
          <w:tcPr>
            <w:tcW w:type="dxa" w:w="10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SSC V2</w:t>
            </w:r>
          </w:p>
        </w:tc>
        <w:tc>
          <w:tcPr>
            <w:tcW w:type="dxa" w:w="11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Functional</w:t>
            </w:r>
          </w:p>
        </w:tc>
        <w:tc>
          <w:tcPr>
            <w:tcW w:type="dxa" w:w="234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w:t>
            </w:r>
          </w:p>
        </w:tc>
      </w:tr>
      <w:tr>
        <w:tc>
          <w:tcPr>
            <w:tcW w:type="dxa" w:w="3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19</w:t>
            </w:r>
          </w:p>
        </w:tc>
        <w:tc>
          <w:tcPr>
            <w:tcW w:type="dxa" w:w="4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SSC V2 — BAdIs: ISU_C4C_V2_SEC_DEPOSIT_CALC, EHP_ISU_C4C_ADDRESS_LOGIC_MI implemented</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SSC V2</w:t>
            </w:r>
          </w:p>
        </w:tc>
        <w:tc>
          <w:tcPr>
            <w:tcW w:type="dxa" w:w="1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Development</w:t>
            </w:r>
          </w:p>
        </w:tc>
        <w:tc>
          <w:tcPr>
            <w:tcW w:type="dxa" w:w="234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w:t>
            </w:r>
          </w:p>
        </w:tc>
      </w:tr>
      <w:tr>
        <w:tc>
          <w:tcPr>
            <w:tcW w:type="dxa" w:w="36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20</w:t>
            </w:r>
          </w:p>
        </w:tc>
        <w:tc>
          <w:tcPr>
            <w:tcW w:type="dxa" w:w="45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SSC V2 — Security roles configured for CSR 2/3/4, VCC, BCOS, Billing roles</w:t>
            </w:r>
          </w:p>
        </w:tc>
        <w:tc>
          <w:tcPr>
            <w:tcW w:type="dxa" w:w="10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SSC V2</w:t>
            </w:r>
          </w:p>
        </w:tc>
        <w:tc>
          <w:tcPr>
            <w:tcW w:type="dxa" w:w="11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Security</w:t>
            </w:r>
          </w:p>
        </w:tc>
        <w:tc>
          <w:tcPr>
            <w:tcW w:type="dxa" w:w="234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w:t>
            </w:r>
          </w:p>
        </w:tc>
      </w:tr>
      <w:tr>
        <w:tc>
          <w:tcPr>
            <w:tcW w:type="dxa" w:w="3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21</w:t>
            </w:r>
          </w:p>
        </w:tc>
        <w:tc>
          <w:tcPr>
            <w:tcW w:type="dxa" w:w="4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E2E integration test: Move-In triggering ELEC_READ + GAS_READ notifications</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All</w:t>
            </w:r>
          </w:p>
        </w:tc>
        <w:tc>
          <w:tcPr>
            <w:tcW w:type="dxa" w:w="1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QA</w:t>
            </w:r>
          </w:p>
        </w:tc>
        <w:tc>
          <w:tcPr>
            <w:tcW w:type="dxa" w:w="234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w:t>
            </w:r>
          </w:p>
        </w:tc>
      </w:tr>
      <w:tr>
        <w:tc>
          <w:tcPr>
            <w:tcW w:type="dxa" w:w="36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22</w:t>
            </w:r>
          </w:p>
        </w:tc>
        <w:tc>
          <w:tcPr>
            <w:tcW w:type="dxa" w:w="45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E2E integration test: AMI Move-In variant validated</w:t>
            </w:r>
          </w:p>
        </w:tc>
        <w:tc>
          <w:tcPr>
            <w:tcW w:type="dxa" w:w="10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All</w:t>
            </w:r>
          </w:p>
        </w:tc>
        <w:tc>
          <w:tcPr>
            <w:tcW w:type="dxa" w:w="11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QA</w:t>
            </w:r>
          </w:p>
        </w:tc>
        <w:tc>
          <w:tcPr>
            <w:tcW w:type="dxa" w:w="234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w:t>
            </w:r>
          </w:p>
        </w:tc>
      </w:tr>
      <w:tr>
        <w:tc>
          <w:tcPr>
            <w:tcW w:type="dxa" w:w="3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23</w:t>
            </w:r>
          </w:p>
        </w:tc>
        <w:tc>
          <w:tcPr>
            <w:tcW w:type="dxa" w:w="4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E2E integration test: Security deposit creation and BuAg population</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All</w:t>
            </w:r>
          </w:p>
        </w:tc>
        <w:tc>
          <w:tcPr>
            <w:tcW w:type="dxa" w:w="1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QA</w:t>
            </w:r>
          </w:p>
        </w:tc>
        <w:tc>
          <w:tcPr>
            <w:tcW w:type="dxa" w:w="234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w:t>
            </w:r>
          </w:p>
        </w:tc>
      </w:tr>
      <w:tr>
        <w:tc>
          <w:tcPr>
            <w:tcW w:type="dxa" w:w="36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24</w:t>
            </w:r>
          </w:p>
        </w:tc>
        <w:tc>
          <w:tcPr>
            <w:tcW w:type="dxa" w:w="45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User Acceptance Testing with CSR roles — all 6 process steps validated</w:t>
            </w:r>
          </w:p>
        </w:tc>
        <w:tc>
          <w:tcPr>
            <w:tcW w:type="dxa" w:w="10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SSC V2</w:t>
            </w:r>
          </w:p>
        </w:tc>
        <w:tc>
          <w:tcPr>
            <w:tcW w:type="dxa" w:w="11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Business</w:t>
            </w:r>
          </w:p>
        </w:tc>
        <w:tc>
          <w:tcPr>
            <w:tcW w:type="dxa" w:w="234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w:t>
            </w:r>
          </w:p>
        </w:tc>
      </w:tr>
    </w:tbl>
    <w:p>
      <w:pPr>
        <w:spacing w:after="0" w:before="120"/>
      </w:pPr>
    </w:p>
    <w:p>
      <w:pPr>
        <w:shd w:fill="1F3864" w:val="clear"/>
        <w:spacing w:after="0" w:before="200"/>
        <w:jc w:val="center"/>
      </w:pPr>
      <w:r>
        <w:rPr>
          <w:rFonts w:ascii="Arial" w:cs="Arial" w:eastAsia="Arial" w:hAnsi="Arial"/>
          <w:color w:val="AAAAAA"/>
          <w:sz w:val="16"/>
          <w:szCs w:val="16"/>
        </w:rPr>
        <w:t xml:space="preserve">CMS Energy  |  SAP Service Cloud V2  |  Customer Move-In Architecture  |  INTERNAL DOCUMENT  |  May 2026</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888888"/>
        <w:sz w:val="16"/>
        <w:szCs w:val="16"/>
      </w:rPr>
      <w:t xml:space="preserve">CMS Energy | SAP Service Cloud V2 – Customer Move-In Architecture  |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300"/>
      </w:pPr>
    </w:lvl>
    <w:lvl w:ilvl="1" w15:tentative="1">
      <w:start w:val="1"/>
      <w:numFmt w:val="bullet"/>
      <w:lvlText w:val="◦"/>
      <w:lvlJc w:val="left"/>
      <w:pPr>
        <w:ind w:left="720" w:hanging="300"/>
      </w:pPr>
    </w:lvl>
  </w:abstractNum>
  <w:abstractNum w:abstractNumId="3" w15:restartNumberingAfterBreak="0">
    <w:multiLevelType w:val="hybridMultilevel"/>
    <w:lvl w:ilvl="0" w15:tentative="1">
      <w:start w:val="1"/>
      <w:numFmt w:val="decimal"/>
      <w:lvlText w:val="%1."/>
      <w:lvlJc w:val="left"/>
      <w:pPr>
        <w:ind w:left="48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FFFFFF"/>
      <w:sz w:val="36"/>
      <w:szCs w:val="36"/>
    </w:rPr>
  </w:style>
  <w:style w:type="paragraph" w:styleId="Heading2">
    <w:name w:val="Heading 2"/>
    <w:basedOn w:val="Normal"/>
    <w:next w:val="Normal"/>
    <w:qFormat/>
    <w:pPr>
      <w:spacing w:after="100" w:before="280"/>
      <w:outlineLvl w:val="1"/>
    </w:pPr>
    <w:rPr>
      <w:rFonts w:ascii="Arial" w:cs="Arial" w:eastAsia="Arial" w:hAnsi="Arial"/>
      <w:b/>
      <w:bCs/>
      <w:color w:val="1F3864"/>
      <w:sz w:val="28"/>
      <w:szCs w:val="28"/>
    </w:rPr>
  </w:style>
  <w:style w:type="paragraph" w:styleId="Heading3">
    <w:name w:val="Heading 3"/>
    <w:basedOn w:val="Normal"/>
    <w:next w:val="Normal"/>
    <w:qFormat/>
    <w:pPr>
      <w:spacing w:after="80" w:before="20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2026-05-07T14:45:46.026Z</dcterms:created>
  <dcterms:modified xsi:type="dcterms:W3CDTF">2026-05-07T14:45:46.044Z</dcterms:modified>
</cp:coreProperties>
</file>

<file path=docProps/custom.xml><?xml version="1.0" encoding="utf-8"?>
<Properties xmlns="http://schemas.openxmlformats.org/officeDocument/2006/custom-properties" xmlns:vt="http://schemas.openxmlformats.org/officeDocument/2006/docPropsVTypes"/>
</file>