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2"/>
        </w:rPr>
        <w:t>CS-02 Business Master Data</w:t>
      </w:r>
    </w:p>
    <w:p>
      <w:pPr>
        <w:jc w:val="center"/>
      </w:pPr>
      <w:r>
        <w:rPr>
          <w:b/>
          <w:color w:val="404040"/>
          <w:sz w:val="36"/>
        </w:rPr>
        <w:t>Business Process Design (BPD)</w:t>
      </w:r>
    </w:p>
    <w:p>
      <w:pPr>
        <w:jc w:val="center"/>
      </w:pPr>
      <w:r>
        <w:rPr>
          <w:b w:val="0"/>
          <w:color w:val="595959"/>
          <w:sz w:val="24"/>
        </w:rPr>
        <w:t>Business Partner and Contract Account Management — SAP Service Cloud V2 with SAP S/4HANA Utilities</w:t>
      </w:r>
    </w:p>
    <w:p/>
    <w:p/>
    <w:p/>
    <w:p/>
    <w:p/>
    <w:p/>
    <w:p/>
    <w:p/>
    <w:tbl>
      <w:tblPr>
        <w:tblStyle w:val="TableGrid"/>
        <w:tblW w:type="auto" w:w="0"/>
        <w:jc w:val="center"/>
        <w:tblLayout w:type="fixed"/>
        <w:tblLook w:firstColumn="1" w:firstRow="1" w:lastColumn="0" w:lastRow="0" w:noHBand="0" w:noVBand="1" w:val="04A0"/>
      </w:tblPr>
      <w:tblGrid>
        <w:gridCol w:w="4320"/>
        <w:gridCol w:w="4320"/>
      </w:tblGrid>
      <w:tr>
        <w:tc>
          <w:tcPr>
            <w:tcW w:type="dxa" w:w="2592"/>
            <w:shd w:val="clear" w:fill="1F4E79"/>
          </w:tcPr>
          <w:p>
            <w:r/>
            <w:r>
              <w:rPr>
                <w:b/>
                <w:color w:val="FFFFFF"/>
                <w:sz w:val="19"/>
              </w:rPr>
              <w:t>Attribute</w:t>
            </w:r>
          </w:p>
        </w:tc>
        <w:tc>
          <w:tcPr>
            <w:tcW w:type="dxa" w:w="6768"/>
            <w:shd w:val="clear" w:fill="1F4E79"/>
          </w:tcPr>
          <w:p>
            <w:r/>
            <w:r>
              <w:rPr>
                <w:b/>
                <w:color w:val="FFFFFF"/>
                <w:sz w:val="19"/>
              </w:rPr>
              <w:t>Value</w:t>
            </w:r>
          </w:p>
        </w:tc>
      </w:tr>
      <w:tr>
        <w:tc>
          <w:tcPr>
            <w:tcW w:type="dxa" w:w="2592"/>
          </w:tcPr>
          <w:p>
            <w:r/>
            <w:r>
              <w:rPr>
                <w:sz w:val="19"/>
              </w:rPr>
              <w:t>Process ID / Name</w:t>
            </w:r>
          </w:p>
        </w:tc>
        <w:tc>
          <w:tcPr>
            <w:tcW w:type="dxa" w:w="6768"/>
          </w:tcPr>
          <w:p>
            <w:r/>
            <w:r>
              <w:rPr>
                <w:sz w:val="19"/>
              </w:rPr>
              <w:t>CS-02 Business Master Data</w:t>
            </w:r>
          </w:p>
        </w:tc>
      </w:tr>
      <w:tr>
        <w:tc>
          <w:tcPr>
            <w:tcW w:type="dxa" w:w="2592"/>
            <w:shd w:val="clear" w:fill="DEEAF6"/>
          </w:tcPr>
          <w:p>
            <w:r/>
            <w:r>
              <w:rPr>
                <w:sz w:val="19"/>
              </w:rPr>
              <w:t>Solution</w:t>
            </w:r>
          </w:p>
        </w:tc>
        <w:tc>
          <w:tcPr>
            <w:tcW w:type="dxa" w:w="6768"/>
            <w:shd w:val="clear" w:fill="DEEAF6"/>
          </w:tcPr>
          <w:p>
            <w:r/>
            <w:r>
              <w:rPr>
                <w:sz w:val="19"/>
              </w:rPr>
              <w:t>SAP Service Cloud Version 2 (SC V2) with SAP S/4HANA Utilities (FI-CA)</w:t>
            </w:r>
          </w:p>
        </w:tc>
      </w:tr>
      <w:tr>
        <w:tc>
          <w:tcPr>
            <w:tcW w:type="dxa" w:w="2592"/>
          </w:tcPr>
          <w:p>
            <w:r/>
            <w:r>
              <w:rPr>
                <w:sz w:val="19"/>
              </w:rPr>
              <w:t>Version / Status</w:t>
            </w:r>
          </w:p>
        </w:tc>
        <w:tc>
          <w:tcPr>
            <w:tcW w:type="dxa" w:w="6768"/>
          </w:tcPr>
          <w:p>
            <w:r/>
            <w:r>
              <w:rPr>
                <w:sz w:val="19"/>
              </w:rPr>
              <w:t>1.0 (Draft for Review)</w:t>
            </w:r>
          </w:p>
        </w:tc>
      </w:tr>
      <w:tr>
        <w:tc>
          <w:tcPr>
            <w:tcW w:type="dxa" w:w="2592"/>
            <w:shd w:val="clear" w:fill="DEEAF6"/>
          </w:tcPr>
          <w:p>
            <w:r/>
            <w:r>
              <w:rPr>
                <w:sz w:val="19"/>
              </w:rPr>
              <w:t>Date</w:t>
            </w:r>
          </w:p>
        </w:tc>
        <w:tc>
          <w:tcPr>
            <w:tcW w:type="dxa" w:w="6768"/>
            <w:shd w:val="clear" w:fill="DEEAF6"/>
          </w:tcPr>
          <w:p>
            <w:r/>
            <w:r>
              <w:rPr>
                <w:sz w:val="19"/>
              </w:rPr>
              <w:t>08 July 2026</w:t>
            </w:r>
          </w:p>
        </w:tc>
      </w:tr>
      <w:tr>
        <w:tc>
          <w:tcPr>
            <w:tcW w:type="dxa" w:w="2592"/>
          </w:tcPr>
          <w:p>
            <w:r/>
            <w:r>
              <w:rPr>
                <w:sz w:val="19"/>
              </w:rPr>
              <w:t>Audience</w:t>
            </w:r>
          </w:p>
        </w:tc>
        <w:tc>
          <w:tcPr>
            <w:tcW w:type="dxa" w:w="6768"/>
          </w:tcPr>
          <w:p>
            <w:r/>
            <w:r>
              <w:rPr>
                <w:sz w:val="19"/>
              </w:rPr>
              <w:t>Business process owners, master data governance, functional consultants (BP / FI-CA / SC V2), integration team</w:t>
            </w:r>
          </w:p>
        </w:tc>
      </w:tr>
      <w:tr>
        <w:tc>
          <w:tcPr>
            <w:tcW w:type="dxa" w:w="2592"/>
            <w:shd w:val="clear" w:fill="DEEAF6"/>
          </w:tcPr>
          <w:p>
            <w:r/>
            <w:r>
              <w:rPr>
                <w:sz w:val="19"/>
              </w:rPr>
              <w:t>Related Documents</w:t>
            </w:r>
          </w:p>
        </w:tc>
        <w:tc>
          <w:tcPr>
            <w:tcW w:type="dxa" w:w="6768"/>
            <w:shd w:val="clear" w:fill="DEEAF6"/>
          </w:tcPr>
          <w:p>
            <w:r/>
            <w:r>
              <w:rPr>
                <w:sz w:val="19"/>
              </w:rPr>
              <w:t>CS-01 Front Office Activities BPD; Enrollment Center – SAP Service Cloud V2 Solution Design v1.0</w:t>
            </w:r>
          </w:p>
        </w:tc>
      </w:tr>
    </w:tbl>
    <w:p>
      <w:pPr>
        <w:spacing w:after="40"/>
      </w:pPr>
    </w:p>
    <w:p>
      <w:r>
        <w:br w:type="page"/>
      </w:r>
    </w:p>
    <w:p>
      <w:pPr>
        <w:pStyle w:val="Heading1"/>
      </w:pPr>
      <w:r>
        <w:t>1. Introduction</w:t>
      </w:r>
    </w:p>
    <w:p>
      <w:pPr>
        <w:pStyle w:val="Heading2"/>
      </w:pPr>
      <w:r>
        <w:t>1.1 Purpose</w:t>
      </w:r>
    </w:p>
    <w:p>
      <w:r>
        <w:rPr>
          <w:b w:val="0"/>
        </w:rPr>
        <w:t>This BPD defines the to-be design for managing utilities business master data — the Business Partner (BP) and the Contract Account (CA) — across SAP Service Cloud V2 and SAP S/4HANA Utilities. It establishes the ownership model, data structures, lifecycle processes and the configuration baseline on both systems, and is the reference for the configuration workbook, data migration rules and test design.</w:t>
      </w:r>
    </w:p>
    <w:p>
      <w:pPr>
        <w:pStyle w:val="Heading2"/>
      </w:pPr>
      <w:r>
        <w:t>1.2 Scope</w:t>
      </w:r>
    </w:p>
    <w:p>
      <w:r>
        <w:rPr>
          <w:b/>
        </w:rPr>
        <w:t>In scope:</w:t>
      </w:r>
    </w:p>
    <w:p>
      <w:pPr>
        <w:pStyle w:val="ListBullet"/>
      </w:pPr>
      <w:r>
        <w:t>Business partner management: categories/types, roles, identification, addresses, relationships, lifecycle (create, change, block, end of purpose).</w:t>
      </w:r>
    </w:p>
    <w:p>
      <w:pPr>
        <w:pStyle w:val="ListBullet"/>
      </w:pPr>
      <w:r>
        <w:t>Contract account management: structure, key financial control attributes, lifecycle, BP–CA relationships.</w:t>
      </w:r>
    </w:p>
    <w:p>
      <w:pPr>
        <w:pStyle w:val="ListBullet"/>
      </w:pPr>
      <w:r>
        <w:t>Master data distribution between S/4HANA Utilities and SC V2 (replication/federation, ID mapping, error handling).</w:t>
      </w:r>
    </w:p>
    <w:p>
      <w:pPr>
        <w:pStyle w:val="ListBullet"/>
      </w:pPr>
      <w:r>
        <w:t>Configuration baseline: S/4HANA (BP and FI-CA) and SC V2 (customer master, integration).</w:t>
      </w:r>
    </w:p>
    <w:p>
      <w:r>
        <w:rPr>
          <w:b/>
        </w:rPr>
        <w:t>Out of scope:</w:t>
      </w:r>
    </w:p>
    <w:p>
      <w:pPr>
        <w:pStyle w:val="ListBullet"/>
      </w:pPr>
      <w:r>
        <w:t>Technical master data (connection object, premise, installation, point of delivery, device) — covered in the Technical Master Data BPD.</w:t>
      </w:r>
    </w:p>
    <w:p>
      <w:pPr>
        <w:pStyle w:val="ListBullet"/>
      </w:pPr>
      <w:r>
        <w:t>Products/rates, billing master data and budget billing — covered in the Billing BPDs.</w:t>
      </w:r>
    </w:p>
    <w:p>
      <w:pPr>
        <w:pStyle w:val="ListBullet"/>
      </w:pPr>
      <w:r>
        <w:t>Initial data migration execution (covered by the Data Migration strategy; this BPD supplies the target design).</w:t>
      </w:r>
    </w:p>
    <w:p>
      <w:pPr>
        <w:pStyle w:val="Heading2"/>
      </w:pPr>
      <w:r>
        <w:t>1.3 Ownership Model (System of Record)</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8"/>
              </w:rPr>
              <w:t>Data Object</w:t>
            </w:r>
          </w:p>
        </w:tc>
        <w:tc>
          <w:tcPr>
            <w:tcW w:type="dxa" w:w="2448"/>
            <w:shd w:val="clear" w:fill="1F4E79"/>
          </w:tcPr>
          <w:p>
            <w:r/>
            <w:r>
              <w:rPr>
                <w:b/>
                <w:color w:val="FFFFFF"/>
                <w:sz w:val="18"/>
              </w:rPr>
              <w:t>System of Record</w:t>
            </w:r>
          </w:p>
        </w:tc>
        <w:tc>
          <w:tcPr>
            <w:tcW w:type="dxa" w:w="2592"/>
            <w:shd w:val="clear" w:fill="1F4E79"/>
          </w:tcPr>
          <w:p>
            <w:r/>
            <w:r>
              <w:rPr>
                <w:b/>
                <w:color w:val="FFFFFF"/>
                <w:sz w:val="18"/>
              </w:rPr>
              <w:t>SC V2 Representation</w:t>
            </w:r>
          </w:p>
        </w:tc>
        <w:tc>
          <w:tcPr>
            <w:tcW w:type="dxa" w:w="2160"/>
            <w:shd w:val="clear" w:fill="1F4E79"/>
          </w:tcPr>
          <w:p>
            <w:r/>
            <w:r>
              <w:rPr>
                <w:b/>
                <w:color w:val="FFFFFF"/>
                <w:sz w:val="18"/>
              </w:rPr>
              <w:t>Distribution</w:t>
            </w:r>
          </w:p>
        </w:tc>
      </w:tr>
      <w:tr>
        <w:tc>
          <w:tcPr>
            <w:tcW w:type="dxa" w:w="2160"/>
          </w:tcPr>
          <w:p>
            <w:r/>
            <w:r>
              <w:rPr>
                <w:sz w:val="18"/>
              </w:rPr>
              <w:t>Business Partner (person/org)</w:t>
            </w:r>
          </w:p>
        </w:tc>
        <w:tc>
          <w:tcPr>
            <w:tcW w:type="dxa" w:w="2448"/>
          </w:tcPr>
          <w:p>
            <w:r/>
            <w:r>
              <w:rPr>
                <w:sz w:val="18"/>
              </w:rPr>
              <w:t>SAP S/4HANA Utilities</w:t>
            </w:r>
          </w:p>
        </w:tc>
        <w:tc>
          <w:tcPr>
            <w:tcW w:type="dxa" w:w="2592"/>
          </w:tcPr>
          <w:p>
            <w:r/>
            <w:r>
              <w:rPr>
                <w:sz w:val="18"/>
              </w:rPr>
              <w:t>Individual Customer / Account (external ID = BP number)</w:t>
            </w:r>
          </w:p>
        </w:tc>
        <w:tc>
          <w:tcPr>
            <w:tcW w:type="dxa" w:w="2160"/>
          </w:tcPr>
          <w:p>
            <w:r/>
            <w:r>
              <w:rPr>
                <w:sz w:val="18"/>
              </w:rPr>
              <w:t>Bidirectional: front office creates/changes replicate to S/4HANA; S/4HANA remains master and echoes confirmed state</w:t>
            </w:r>
          </w:p>
        </w:tc>
      </w:tr>
      <w:tr>
        <w:tc>
          <w:tcPr>
            <w:tcW w:type="dxa" w:w="2160"/>
            <w:shd w:val="clear" w:fill="DEEAF6"/>
          </w:tcPr>
          <w:p>
            <w:r/>
            <w:r>
              <w:rPr>
                <w:sz w:val="18"/>
              </w:rPr>
              <w:t>Contract Account</w:t>
            </w:r>
          </w:p>
        </w:tc>
        <w:tc>
          <w:tcPr>
            <w:tcW w:type="dxa" w:w="2448"/>
            <w:shd w:val="clear" w:fill="DEEAF6"/>
          </w:tcPr>
          <w:p>
            <w:r/>
            <w:r>
              <w:rPr>
                <w:sz w:val="18"/>
              </w:rPr>
              <w:t>SAP S/4HANA Utilities (FI-CA)</w:t>
            </w:r>
          </w:p>
        </w:tc>
        <w:tc>
          <w:tcPr>
            <w:tcW w:type="dxa" w:w="2592"/>
            <w:shd w:val="clear" w:fill="DEEAF6"/>
          </w:tcPr>
          <w:p>
            <w:r/>
            <w:r>
              <w:rPr>
                <w:sz w:val="18"/>
              </w:rPr>
              <w:t>Displayed in Utilities Customer 360 (federated read); referenced on cases/enrollments by ID</w:t>
            </w:r>
          </w:p>
        </w:tc>
        <w:tc>
          <w:tcPr>
            <w:tcW w:type="dxa" w:w="2160"/>
            <w:shd w:val="clear" w:fill="DEEAF6"/>
          </w:tcPr>
          <w:p>
            <w:r/>
            <w:r>
              <w:rPr>
                <w:sz w:val="18"/>
              </w:rPr>
              <w:t>Read/federated via APIs — not replicated as a maintained object in SC V2</w:t>
            </w:r>
          </w:p>
        </w:tc>
      </w:tr>
      <w:tr>
        <w:tc>
          <w:tcPr>
            <w:tcW w:type="dxa" w:w="2160"/>
          </w:tcPr>
          <w:p>
            <w:r/>
            <w:r>
              <w:rPr>
                <w:sz w:val="18"/>
              </w:rPr>
              <w:t>Contacts / relationships</w:t>
            </w:r>
          </w:p>
        </w:tc>
        <w:tc>
          <w:tcPr>
            <w:tcW w:type="dxa" w:w="2448"/>
          </w:tcPr>
          <w:p>
            <w:r/>
            <w:r>
              <w:rPr>
                <w:sz w:val="18"/>
              </w:rPr>
              <w:t>SAP S/4HANA Utilities</w:t>
            </w:r>
          </w:p>
        </w:tc>
        <w:tc>
          <w:tcPr>
            <w:tcW w:type="dxa" w:w="2592"/>
          </w:tcPr>
          <w:p>
            <w:r/>
            <w:r>
              <w:rPr>
                <w:sz w:val="18"/>
              </w:rPr>
              <w:t>Contact relationships on Account</w:t>
            </w:r>
          </w:p>
        </w:tc>
        <w:tc>
          <w:tcPr>
            <w:tcW w:type="dxa" w:w="2160"/>
          </w:tcPr>
          <w:p>
            <w:r/>
            <w:r>
              <w:rPr>
                <w:sz w:val="18"/>
              </w:rPr>
              <w:t>Bidirectional with S/4HANA relationship categories</w:t>
            </w:r>
          </w:p>
        </w:tc>
      </w:tr>
      <w:tr>
        <w:tc>
          <w:tcPr>
            <w:tcW w:type="dxa" w:w="2160"/>
            <w:shd w:val="clear" w:fill="DEEAF6"/>
          </w:tcPr>
          <w:p>
            <w:r/>
            <w:r>
              <w:rPr>
                <w:sz w:val="18"/>
              </w:rPr>
              <w:t>Communication preferences / consents</w:t>
            </w:r>
          </w:p>
        </w:tc>
        <w:tc>
          <w:tcPr>
            <w:tcW w:type="dxa" w:w="2448"/>
            <w:shd w:val="clear" w:fill="DEEAF6"/>
          </w:tcPr>
          <w:p>
            <w:r/>
            <w:r>
              <w:rPr>
                <w:sz w:val="18"/>
              </w:rPr>
              <w:t>S/4HANA (billing-relevant) / SC V2 (channel-relevant)</w:t>
            </w:r>
          </w:p>
        </w:tc>
        <w:tc>
          <w:tcPr>
            <w:tcW w:type="dxa" w:w="2592"/>
            <w:shd w:val="clear" w:fill="DEEAF6"/>
          </w:tcPr>
          <w:p>
            <w:r/>
            <w:r>
              <w:rPr>
                <w:sz w:val="18"/>
              </w:rPr>
              <w:t>Marketing/communication consent attributes</w:t>
            </w:r>
          </w:p>
        </w:tc>
        <w:tc>
          <w:tcPr>
            <w:tcW w:type="dxa" w:w="2160"/>
            <w:shd w:val="clear" w:fill="DEEAF6"/>
          </w:tcPr>
          <w:p>
            <w:r/>
            <w:r>
              <w:rPr>
                <w:sz w:val="18"/>
              </w:rPr>
              <w:t>Split ownership per attribute matrix (Appendix)</w:t>
            </w:r>
          </w:p>
        </w:tc>
      </w:tr>
    </w:tbl>
    <w:p>
      <w:pPr>
        <w:spacing w:after="40"/>
      </w:pPr>
    </w:p>
    <w:p>
      <w:r>
        <w:rPr>
          <w:b w:val="0"/>
        </w:rPr>
        <w:t>Guiding rule: any attribute that influences billing, payment, dunning or regulatory processing is mastered in S/4HANA; SC V2 captures it through guided actions that post to S/4HANA, never through local-only edits.</w:t>
      </w:r>
    </w:p>
    <w:p>
      <w:pPr>
        <w:pStyle w:val="Heading2"/>
      </w:pPr>
      <w:r>
        <w:t>1.4 Roles</w:t>
      </w:r>
    </w:p>
    <w:tbl>
      <w:tblPr>
        <w:tblStyle w:val="TableGrid"/>
        <w:tblW w:type="auto" w:w="0"/>
        <w:jc w:val="center"/>
        <w:tblLayout w:type="fixed"/>
        <w:tblLook w:firstColumn="1" w:firstRow="1" w:lastColumn="0" w:lastRow="0" w:noHBand="0" w:noVBand="1" w:val="04A0"/>
      </w:tblPr>
      <w:tblGrid>
        <w:gridCol w:w="4320"/>
        <w:gridCol w:w="4320"/>
      </w:tblGrid>
      <w:tr>
        <w:tc>
          <w:tcPr>
            <w:tcW w:type="dxa" w:w="3024"/>
            <w:shd w:val="clear" w:fill="1F4E79"/>
          </w:tcPr>
          <w:p>
            <w:r/>
            <w:r>
              <w:rPr>
                <w:b/>
                <w:color w:val="FFFFFF"/>
                <w:sz w:val="19"/>
              </w:rPr>
              <w:t>Role</w:t>
            </w:r>
          </w:p>
        </w:tc>
        <w:tc>
          <w:tcPr>
            <w:tcW w:type="dxa" w:w="6336"/>
            <w:shd w:val="clear" w:fill="1F4E79"/>
          </w:tcPr>
          <w:p>
            <w:r/>
            <w:r>
              <w:rPr>
                <w:b/>
                <w:color w:val="FFFFFF"/>
                <w:sz w:val="19"/>
              </w:rPr>
              <w:t>Responsibilities in CS-02</w:t>
            </w:r>
          </w:p>
        </w:tc>
      </w:tr>
      <w:tr>
        <w:tc>
          <w:tcPr>
            <w:tcW w:type="dxa" w:w="3024"/>
          </w:tcPr>
          <w:p>
            <w:r/>
            <w:r>
              <w:rPr>
                <w:sz w:val="19"/>
              </w:rPr>
              <w:t>Call Center Agent</w:t>
            </w:r>
          </w:p>
        </w:tc>
        <w:tc>
          <w:tcPr>
            <w:tcW w:type="dxa" w:w="6336"/>
          </w:tcPr>
          <w:p>
            <w:r/>
            <w:r>
              <w:rPr>
                <w:sz w:val="19"/>
              </w:rPr>
              <w:t>Creates prospects/customers during front office processes; maintains contact data, addresses, communication preferences within policy</w:t>
            </w:r>
          </w:p>
        </w:tc>
      </w:tr>
      <w:tr>
        <w:tc>
          <w:tcPr>
            <w:tcW w:type="dxa" w:w="3024"/>
            <w:shd w:val="clear" w:fill="DEEAF6"/>
          </w:tcPr>
          <w:p>
            <w:r/>
            <w:r>
              <w:rPr>
                <w:sz w:val="19"/>
              </w:rPr>
              <w:t>Master Data Specialist (Back Office)</w:t>
            </w:r>
          </w:p>
        </w:tc>
        <w:tc>
          <w:tcPr>
            <w:tcW w:type="dxa" w:w="6336"/>
            <w:shd w:val="clear" w:fill="DEEAF6"/>
          </w:tcPr>
          <w:p>
            <w:r/>
            <w:r>
              <w:rPr>
                <w:sz w:val="19"/>
              </w:rPr>
              <w:t>Handles duplicates, merges, complex changes (name changes with proof, deceased handling), data quality work lists</w:t>
            </w:r>
          </w:p>
        </w:tc>
      </w:tr>
      <w:tr>
        <w:tc>
          <w:tcPr>
            <w:tcW w:type="dxa" w:w="3024"/>
          </w:tcPr>
          <w:p>
            <w:r/>
            <w:r>
              <w:rPr>
                <w:sz w:val="19"/>
              </w:rPr>
              <w:t>Credit &amp; Collections Specialist</w:t>
            </w:r>
          </w:p>
        </w:tc>
        <w:tc>
          <w:tcPr>
            <w:tcW w:type="dxa" w:w="6336"/>
          </w:tcPr>
          <w:p>
            <w:r/>
            <w:r>
              <w:rPr>
                <w:sz w:val="19"/>
              </w:rPr>
              <w:t>Maintains payment/dunning-relevant contract account attributes within policy limits</w:t>
            </w:r>
          </w:p>
        </w:tc>
      </w:tr>
      <w:tr>
        <w:tc>
          <w:tcPr>
            <w:tcW w:type="dxa" w:w="3024"/>
            <w:shd w:val="clear" w:fill="DEEAF6"/>
          </w:tcPr>
          <w:p>
            <w:r/>
            <w:r>
              <w:rPr>
                <w:sz w:val="19"/>
              </w:rPr>
              <w:t>Master Data Governance Owner</w:t>
            </w:r>
          </w:p>
        </w:tc>
        <w:tc>
          <w:tcPr>
            <w:tcW w:type="dxa" w:w="6336"/>
            <w:shd w:val="clear" w:fill="DEEAF6"/>
          </w:tcPr>
          <w:p>
            <w:r/>
            <w:r>
              <w:rPr>
                <w:sz w:val="19"/>
              </w:rPr>
              <w:t>Owns attribute matrix, duplicate rules, quality KPIs, approves configuration changes</w:t>
            </w:r>
          </w:p>
        </w:tc>
      </w:tr>
      <w:tr>
        <w:tc>
          <w:tcPr>
            <w:tcW w:type="dxa" w:w="3024"/>
          </w:tcPr>
          <w:p>
            <w:r/>
            <w:r>
              <w:rPr>
                <w:sz w:val="19"/>
              </w:rPr>
              <w:t>Administrator / Key User</w:t>
            </w:r>
          </w:p>
        </w:tc>
        <w:tc>
          <w:tcPr>
            <w:tcW w:type="dxa" w:w="6336"/>
          </w:tcPr>
          <w:p>
            <w:r/>
            <w:r>
              <w:rPr>
                <w:sz w:val="19"/>
              </w:rPr>
              <w:t>Maintains SC V2 and S/4HANA configuration per this BPD under change control</w:t>
            </w:r>
          </w:p>
        </w:tc>
      </w:tr>
    </w:tbl>
    <w:p>
      <w:pPr>
        <w:spacing w:after="40"/>
      </w:pPr>
    </w:p>
    <w:p>
      <w:r>
        <w:br w:type="page"/>
      </w:r>
    </w:p>
    <w:p>
      <w:pPr>
        <w:pStyle w:val="Heading1"/>
      </w:pPr>
      <w:r>
        <w:t>2. Manage Business Partner</w:t>
      </w:r>
    </w:p>
    <w:p>
      <w:pPr>
        <w:pStyle w:val="Heading2"/>
      </w:pPr>
      <w:r>
        <w:t>2.1 Business Partner Concept</w:t>
      </w:r>
    </w:p>
    <w:p>
      <w:r>
        <w:rPr>
          <w:b w:val="0"/>
        </w:rPr>
        <w:t>The SAP Business Partner is the single representation of any person or organization the utility deals with. One BP can hold multiple roles and multiple contract accounts; all customer-facing systems reference the same BP number. The BP is created once and reused — never duplicated per process or division.</w:t>
      </w:r>
    </w:p>
    <w:p>
      <w:pPr>
        <w:pStyle w:val="Heading2"/>
      </w:pPr>
      <w:r>
        <w:t>2.2 Business Partner Types (Categories)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60"/>
            <w:shd w:val="clear" w:fill="1F4E79"/>
          </w:tcPr>
          <w:p>
            <w:r/>
            <w:r>
              <w:rPr>
                <w:b/>
                <w:color w:val="FFFFFF"/>
                <w:sz w:val="19"/>
              </w:rPr>
              <w:t>BP Category (Type)</w:t>
            </w:r>
          </w:p>
        </w:tc>
        <w:tc>
          <w:tcPr>
            <w:tcW w:type="dxa" w:w="4032"/>
            <w:shd w:val="clear" w:fill="1F4E79"/>
          </w:tcPr>
          <w:p>
            <w:r/>
            <w:r>
              <w:rPr>
                <w:b/>
                <w:color w:val="FFFFFF"/>
                <w:sz w:val="19"/>
              </w:rPr>
              <w:t>Usage at the Utility</w:t>
            </w:r>
          </w:p>
        </w:tc>
        <w:tc>
          <w:tcPr>
            <w:tcW w:type="dxa" w:w="3168"/>
            <w:shd w:val="clear" w:fill="1F4E79"/>
          </w:tcPr>
          <w:p>
            <w:r/>
            <w:r>
              <w:rPr>
                <w:b/>
                <w:color w:val="FFFFFF"/>
                <w:sz w:val="19"/>
              </w:rPr>
              <w:t>Examples</w:t>
            </w:r>
          </w:p>
        </w:tc>
      </w:tr>
      <w:tr>
        <w:tc>
          <w:tcPr>
            <w:tcW w:type="dxa" w:w="2160"/>
          </w:tcPr>
          <w:p>
            <w:r/>
            <w:r>
              <w:rPr>
                <w:sz w:val="19"/>
              </w:rPr>
              <w:t>Person (1)</w:t>
            </w:r>
          </w:p>
        </w:tc>
        <w:tc>
          <w:tcPr>
            <w:tcW w:type="dxa" w:w="4032"/>
          </w:tcPr>
          <w:p>
            <w:r/>
            <w:r>
              <w:rPr>
                <w:sz w:val="19"/>
              </w:rPr>
              <w:t>Residential customers, individual landlords, contact persons</w:t>
            </w:r>
          </w:p>
        </w:tc>
        <w:tc>
          <w:tcPr>
            <w:tcW w:type="dxa" w:w="3168"/>
          </w:tcPr>
          <w:p>
            <w:r/>
            <w:r>
              <w:rPr>
                <w:sz w:val="19"/>
              </w:rPr>
              <w:t>Homeowner, tenant, co-applicant</w:t>
            </w:r>
          </w:p>
        </w:tc>
      </w:tr>
      <w:tr>
        <w:tc>
          <w:tcPr>
            <w:tcW w:type="dxa" w:w="2160"/>
            <w:shd w:val="clear" w:fill="DEEAF6"/>
          </w:tcPr>
          <w:p>
            <w:r/>
            <w:r>
              <w:rPr>
                <w:sz w:val="19"/>
              </w:rPr>
              <w:t>Organization (2)</w:t>
            </w:r>
          </w:p>
        </w:tc>
        <w:tc>
          <w:tcPr>
            <w:tcW w:type="dxa" w:w="4032"/>
            <w:shd w:val="clear" w:fill="DEEAF6"/>
          </w:tcPr>
          <w:p>
            <w:r/>
            <w:r>
              <w:rPr>
                <w:sz w:val="19"/>
              </w:rPr>
              <w:t>Commercial &amp; industrial customers, agencies, property management companies, government bodies</w:t>
            </w:r>
          </w:p>
        </w:tc>
        <w:tc>
          <w:tcPr>
            <w:tcW w:type="dxa" w:w="3168"/>
            <w:shd w:val="clear" w:fill="DEEAF6"/>
          </w:tcPr>
          <w:p>
            <w:r/>
            <w:r>
              <w:rPr>
                <w:sz w:val="19"/>
              </w:rPr>
              <w:t>Retail store, manufacturer, housing authority</w:t>
            </w:r>
          </w:p>
        </w:tc>
      </w:tr>
      <w:tr>
        <w:tc>
          <w:tcPr>
            <w:tcW w:type="dxa" w:w="2160"/>
          </w:tcPr>
          <w:p>
            <w:r/>
            <w:r>
              <w:rPr>
                <w:sz w:val="19"/>
              </w:rPr>
              <w:t>Group (3)</w:t>
            </w:r>
          </w:p>
        </w:tc>
        <w:tc>
          <w:tcPr>
            <w:tcW w:type="dxa" w:w="4032"/>
          </w:tcPr>
          <w:p>
            <w:r/>
            <w:r>
              <w:rPr>
                <w:sz w:val="19"/>
              </w:rPr>
              <w:t>Married couples / communities of persons treated as one contract partner (used only where legally required)</w:t>
            </w:r>
          </w:p>
        </w:tc>
        <w:tc>
          <w:tcPr>
            <w:tcW w:type="dxa" w:w="3168"/>
          </w:tcPr>
          <w:p>
            <w:r/>
            <w:r>
              <w:rPr>
                <w:sz w:val="19"/>
              </w:rPr>
              <w:t>Joint account holders</w:t>
            </w:r>
          </w:p>
        </w:tc>
      </w:tr>
    </w:tbl>
    <w:p>
      <w:pPr>
        <w:spacing w:after="40"/>
      </w:pPr>
    </w:p>
    <w:p>
      <w:r>
        <w:rPr>
          <w:b w:val="0"/>
        </w:rPr>
        <w:t>BP groupings and number ranges (design baseline):</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440"/>
            <w:shd w:val="clear" w:fill="1F4E79"/>
          </w:tcPr>
          <w:p>
            <w:r/>
            <w:r>
              <w:rPr>
                <w:b/>
                <w:color w:val="FFFFFF"/>
                <w:sz w:val="18"/>
              </w:rPr>
              <w:t>Grouping</w:t>
            </w:r>
          </w:p>
        </w:tc>
        <w:tc>
          <w:tcPr>
            <w:tcW w:type="dxa" w:w="3744"/>
            <w:shd w:val="clear" w:fill="1F4E79"/>
          </w:tcPr>
          <w:p>
            <w:r/>
            <w:r>
              <w:rPr>
                <w:b/>
                <w:color w:val="FFFFFF"/>
                <w:sz w:val="18"/>
              </w:rPr>
              <w:t>Description</w:t>
            </w:r>
          </w:p>
        </w:tc>
        <w:tc>
          <w:tcPr>
            <w:tcW w:type="dxa" w:w="2304"/>
            <w:shd w:val="clear" w:fill="1F4E79"/>
          </w:tcPr>
          <w:p>
            <w:r/>
            <w:r>
              <w:rPr>
                <w:b/>
                <w:color w:val="FFFFFF"/>
                <w:sz w:val="18"/>
              </w:rPr>
              <w:t>Number Range</w:t>
            </w:r>
          </w:p>
        </w:tc>
        <w:tc>
          <w:tcPr>
            <w:tcW w:type="dxa" w:w="1872"/>
            <w:shd w:val="clear" w:fill="1F4E79"/>
          </w:tcPr>
          <w:p>
            <w:r/>
            <w:r>
              <w:rPr>
                <w:b/>
                <w:color w:val="FFFFFF"/>
                <w:sz w:val="18"/>
              </w:rPr>
              <w:t>Created By</w:t>
            </w:r>
          </w:p>
        </w:tc>
      </w:tr>
      <w:tr>
        <w:tc>
          <w:tcPr>
            <w:tcW w:type="dxa" w:w="1440"/>
          </w:tcPr>
          <w:p>
            <w:r/>
            <w:r>
              <w:rPr>
                <w:sz w:val="18"/>
              </w:rPr>
              <w:t>ZRES</w:t>
            </w:r>
          </w:p>
        </w:tc>
        <w:tc>
          <w:tcPr>
            <w:tcW w:type="dxa" w:w="3744"/>
          </w:tcPr>
          <w:p>
            <w:r/>
            <w:r>
              <w:rPr>
                <w:sz w:val="18"/>
              </w:rPr>
              <w:t>Residential customers</w:t>
            </w:r>
          </w:p>
        </w:tc>
        <w:tc>
          <w:tcPr>
            <w:tcW w:type="dxa" w:w="2304"/>
          </w:tcPr>
          <w:p>
            <w:r/>
            <w:r>
              <w:rPr>
                <w:sz w:val="18"/>
              </w:rPr>
              <w:t>01xxxxxxxx (internal)</w:t>
            </w:r>
          </w:p>
        </w:tc>
        <w:tc>
          <w:tcPr>
            <w:tcW w:type="dxa" w:w="1872"/>
          </w:tcPr>
          <w:p>
            <w:r/>
            <w:r>
              <w:rPr>
                <w:sz w:val="18"/>
              </w:rPr>
              <w:t>Front office (SC V2) / migration</w:t>
            </w:r>
          </w:p>
        </w:tc>
      </w:tr>
      <w:tr>
        <w:tc>
          <w:tcPr>
            <w:tcW w:type="dxa" w:w="1440"/>
            <w:shd w:val="clear" w:fill="DEEAF6"/>
          </w:tcPr>
          <w:p>
            <w:r/>
            <w:r>
              <w:rPr>
                <w:sz w:val="18"/>
              </w:rPr>
              <w:t>ZCOM</w:t>
            </w:r>
          </w:p>
        </w:tc>
        <w:tc>
          <w:tcPr>
            <w:tcW w:type="dxa" w:w="3744"/>
            <w:shd w:val="clear" w:fill="DEEAF6"/>
          </w:tcPr>
          <w:p>
            <w:r/>
            <w:r>
              <w:rPr>
                <w:sz w:val="18"/>
              </w:rPr>
              <w:t>Commercial &amp; industrial customers</w:t>
            </w:r>
          </w:p>
        </w:tc>
        <w:tc>
          <w:tcPr>
            <w:tcW w:type="dxa" w:w="2304"/>
            <w:shd w:val="clear" w:fill="DEEAF6"/>
          </w:tcPr>
          <w:p>
            <w:r/>
            <w:r>
              <w:rPr>
                <w:sz w:val="18"/>
              </w:rPr>
              <w:t>02xxxxxxxx (internal)</w:t>
            </w:r>
          </w:p>
        </w:tc>
        <w:tc>
          <w:tcPr>
            <w:tcW w:type="dxa" w:w="1872"/>
            <w:shd w:val="clear" w:fill="DEEAF6"/>
          </w:tcPr>
          <w:p>
            <w:r/>
            <w:r>
              <w:rPr>
                <w:sz w:val="18"/>
              </w:rPr>
              <w:t>Front office / sales</w:t>
            </w:r>
          </w:p>
        </w:tc>
      </w:tr>
      <w:tr>
        <w:tc>
          <w:tcPr>
            <w:tcW w:type="dxa" w:w="1440"/>
          </w:tcPr>
          <w:p>
            <w:r/>
            <w:r>
              <w:rPr>
                <w:sz w:val="18"/>
              </w:rPr>
              <w:t>ZPRO</w:t>
            </w:r>
          </w:p>
        </w:tc>
        <w:tc>
          <w:tcPr>
            <w:tcW w:type="dxa" w:w="3744"/>
          </w:tcPr>
          <w:p>
            <w:r/>
            <w:r>
              <w:rPr>
                <w:sz w:val="18"/>
              </w:rPr>
              <w:t>Prospects (no contract yet)</w:t>
            </w:r>
          </w:p>
        </w:tc>
        <w:tc>
          <w:tcPr>
            <w:tcW w:type="dxa" w:w="2304"/>
          </w:tcPr>
          <w:p>
            <w:r/>
            <w:r>
              <w:rPr>
                <w:sz w:val="18"/>
              </w:rPr>
              <w:t>03xxxxxxxx (internal)</w:t>
            </w:r>
          </w:p>
        </w:tc>
        <w:tc>
          <w:tcPr>
            <w:tcW w:type="dxa" w:w="1872"/>
          </w:tcPr>
          <w:p>
            <w:r/>
            <w:r>
              <w:rPr>
                <w:sz w:val="18"/>
              </w:rPr>
              <w:t>SC V2 lead/interaction processes</w:t>
            </w:r>
          </w:p>
        </w:tc>
      </w:tr>
      <w:tr>
        <w:tc>
          <w:tcPr>
            <w:tcW w:type="dxa" w:w="1440"/>
            <w:shd w:val="clear" w:fill="DEEAF6"/>
          </w:tcPr>
          <w:p>
            <w:r/>
            <w:r>
              <w:rPr>
                <w:sz w:val="18"/>
              </w:rPr>
              <w:t>ZEXT</w:t>
            </w:r>
          </w:p>
        </w:tc>
        <w:tc>
          <w:tcPr>
            <w:tcW w:type="dxa" w:w="3744"/>
            <w:shd w:val="clear" w:fill="DEEAF6"/>
          </w:tcPr>
          <w:p>
            <w:r/>
            <w:r>
              <w:rPr>
                <w:sz w:val="18"/>
              </w:rPr>
              <w:t>External/interface partners (agencies, market partners)</w:t>
            </w:r>
          </w:p>
        </w:tc>
        <w:tc>
          <w:tcPr>
            <w:tcW w:type="dxa" w:w="2304"/>
            <w:shd w:val="clear" w:fill="DEEAF6"/>
          </w:tcPr>
          <w:p>
            <w:r/>
            <w:r>
              <w:rPr>
                <w:sz w:val="18"/>
              </w:rPr>
              <w:t>09xxxxxxxx (external)</w:t>
            </w:r>
          </w:p>
        </w:tc>
        <w:tc>
          <w:tcPr>
            <w:tcW w:type="dxa" w:w="1872"/>
            <w:shd w:val="clear" w:fill="DEEAF6"/>
          </w:tcPr>
          <w:p>
            <w:r/>
            <w:r>
              <w:rPr>
                <w:sz w:val="18"/>
              </w:rPr>
              <w:t>Back office only</w:t>
            </w:r>
          </w:p>
        </w:tc>
      </w:tr>
    </w:tbl>
    <w:p>
      <w:pPr>
        <w:spacing w:after="40"/>
      </w:pPr>
    </w:p>
    <w:p>
      <w:pPr>
        <w:pStyle w:val="Heading2"/>
      </w:pPr>
      <w:r>
        <w:t>2.3 Business Partner Roles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448"/>
            <w:shd w:val="clear" w:fill="1F4E79"/>
          </w:tcPr>
          <w:p>
            <w:r/>
            <w:r>
              <w:rPr>
                <w:b/>
                <w:color w:val="FFFFFF"/>
                <w:sz w:val="18"/>
              </w:rPr>
              <w:t>BP Role</w:t>
            </w:r>
          </w:p>
        </w:tc>
        <w:tc>
          <w:tcPr>
            <w:tcW w:type="dxa" w:w="4608"/>
            <w:shd w:val="clear" w:fill="1F4E79"/>
          </w:tcPr>
          <w:p>
            <w:r/>
            <w:r>
              <w:rPr>
                <w:b/>
                <w:color w:val="FFFFFF"/>
                <w:sz w:val="18"/>
              </w:rPr>
              <w:t>Purpose</w:t>
            </w:r>
          </w:p>
        </w:tc>
        <w:tc>
          <w:tcPr>
            <w:tcW w:type="dxa" w:w="2304"/>
            <w:shd w:val="clear" w:fill="1F4E79"/>
          </w:tcPr>
          <w:p>
            <w:r/>
            <w:r>
              <w:rPr>
                <w:b/>
                <w:color w:val="FFFFFF"/>
                <w:sz w:val="18"/>
              </w:rPr>
              <w:t>Maintained</w:t>
            </w:r>
          </w:p>
        </w:tc>
      </w:tr>
      <w:tr>
        <w:tc>
          <w:tcPr>
            <w:tcW w:type="dxa" w:w="2448"/>
          </w:tcPr>
          <w:p>
            <w:r/>
            <w:r>
              <w:rPr>
                <w:sz w:val="18"/>
              </w:rPr>
              <w:t>000000 General Business Partner</w:t>
            </w:r>
          </w:p>
        </w:tc>
        <w:tc>
          <w:tcPr>
            <w:tcW w:type="dxa" w:w="4608"/>
          </w:tcPr>
          <w:p>
            <w:r/>
            <w:r>
              <w:rPr>
                <w:sz w:val="18"/>
              </w:rPr>
              <w:t>Base role: name, addresses, communication data, identification</w:t>
            </w:r>
          </w:p>
        </w:tc>
        <w:tc>
          <w:tcPr>
            <w:tcW w:type="dxa" w:w="2304"/>
          </w:tcPr>
          <w:p>
            <w:r/>
            <w:r>
              <w:rPr>
                <w:sz w:val="18"/>
              </w:rPr>
              <w:t>All BPs</w:t>
            </w:r>
          </w:p>
        </w:tc>
      </w:tr>
      <w:tr>
        <w:tc>
          <w:tcPr>
            <w:tcW w:type="dxa" w:w="2448"/>
            <w:shd w:val="clear" w:fill="DEEAF6"/>
          </w:tcPr>
          <w:p>
            <w:r/>
            <w:r>
              <w:rPr>
                <w:sz w:val="18"/>
              </w:rPr>
              <w:t>MKK Contract Partner</w:t>
            </w:r>
          </w:p>
        </w:tc>
        <w:tc>
          <w:tcPr>
            <w:tcW w:type="dxa" w:w="4608"/>
            <w:shd w:val="clear" w:fill="DEEAF6"/>
          </w:tcPr>
          <w:p>
            <w:r/>
            <w:r>
              <w:rPr>
                <w:sz w:val="18"/>
              </w:rPr>
              <w:t>FI-CA role — prerequisite for contract accounts, payments, dunning</w:t>
            </w:r>
          </w:p>
        </w:tc>
        <w:tc>
          <w:tcPr>
            <w:tcW w:type="dxa" w:w="2304"/>
            <w:shd w:val="clear" w:fill="DEEAF6"/>
          </w:tcPr>
          <w:p>
            <w:r/>
            <w:r>
              <w:rPr>
                <w:sz w:val="18"/>
              </w:rPr>
              <w:t>All customers</w:t>
            </w:r>
          </w:p>
        </w:tc>
      </w:tr>
      <w:tr>
        <w:tc>
          <w:tcPr>
            <w:tcW w:type="dxa" w:w="2448"/>
          </w:tcPr>
          <w:p>
            <w:r/>
            <w:r>
              <w:rPr>
                <w:sz w:val="18"/>
              </w:rPr>
              <w:t>Contact Person / relationship roles</w:t>
            </w:r>
          </w:p>
        </w:tc>
        <w:tc>
          <w:tcPr>
            <w:tcW w:type="dxa" w:w="4608"/>
          </w:tcPr>
          <w:p>
            <w:r/>
            <w:r>
              <w:rPr>
                <w:sz w:val="18"/>
              </w:rPr>
              <w:t>Contacts of organizations; authorized persons on accounts</w:t>
            </w:r>
          </w:p>
        </w:tc>
        <w:tc>
          <w:tcPr>
            <w:tcW w:type="dxa" w:w="2304"/>
          </w:tcPr>
          <w:p>
            <w:r/>
            <w:r>
              <w:rPr>
                <w:sz w:val="18"/>
              </w:rPr>
              <w:t>As required</w:t>
            </w:r>
          </w:p>
        </w:tc>
      </w:tr>
      <w:tr>
        <w:tc>
          <w:tcPr>
            <w:tcW w:type="dxa" w:w="2448"/>
            <w:shd w:val="clear" w:fill="DEEAF6"/>
          </w:tcPr>
          <w:p>
            <w:r/>
            <w:r>
              <w:rPr>
                <w:sz w:val="18"/>
              </w:rPr>
              <w:t>Additional roles (e.g., FLCU00/FLCU01 Customer)</w:t>
            </w:r>
          </w:p>
        </w:tc>
        <w:tc>
          <w:tcPr>
            <w:tcW w:type="dxa" w:w="4608"/>
            <w:shd w:val="clear" w:fill="DEEAF6"/>
          </w:tcPr>
          <w:p>
            <w:r/>
            <w:r>
              <w:rPr>
                <w:sz w:val="18"/>
              </w:rPr>
              <w:t>Only where SD/FI-AR billing of non-utility services is in scope</w:t>
            </w:r>
          </w:p>
        </w:tc>
        <w:tc>
          <w:tcPr>
            <w:tcW w:type="dxa" w:w="2304"/>
            <w:shd w:val="clear" w:fill="DEEAF6"/>
          </w:tcPr>
          <w:p>
            <w:r/>
            <w:r>
              <w:rPr>
                <w:sz w:val="18"/>
              </w:rPr>
              <w:t>Optional (open point)</w:t>
            </w:r>
          </w:p>
        </w:tc>
      </w:tr>
    </w:tbl>
    <w:p>
      <w:pPr>
        <w:spacing w:after="40"/>
      </w:pPr>
    </w:p>
    <w:p>
      <w:pPr>
        <w:pStyle w:val="Heading2"/>
      </w:pPr>
      <w:r>
        <w:t>2.4 Business Partner Data Model (Key Attributes)</w:t>
      </w:r>
    </w:p>
    <w:tbl>
      <w:tblPr>
        <w:tblStyle w:val="TableGrid"/>
        <w:tblW w:type="auto" w:w="0"/>
        <w:jc w:val="center"/>
        <w:tblLayout w:type="fixed"/>
        <w:tblLook w:firstColumn="1" w:firstRow="1" w:lastColumn="0" w:lastRow="0" w:noHBand="0" w:noVBand="1" w:val="04A0"/>
      </w:tblPr>
      <w:tblGrid>
        <w:gridCol w:w="4320"/>
        <w:gridCol w:w="4320"/>
      </w:tblGrid>
      <w:tr>
        <w:tc>
          <w:tcPr>
            <w:tcW w:type="dxa" w:w="2736"/>
            <w:shd w:val="clear" w:fill="1F4E79"/>
          </w:tcPr>
          <w:p>
            <w:r/>
            <w:r>
              <w:rPr>
                <w:b/>
                <w:color w:val="FFFFFF"/>
                <w:sz w:val="19"/>
              </w:rPr>
              <w:t>Attribute Group</w:t>
            </w:r>
          </w:p>
        </w:tc>
        <w:tc>
          <w:tcPr>
            <w:tcW w:type="dxa" w:w="6624"/>
            <w:shd w:val="clear" w:fill="1F4E79"/>
          </w:tcPr>
          <w:p>
            <w:r/>
            <w:r>
              <w:rPr>
                <w:b/>
                <w:color w:val="FFFFFF"/>
                <w:sz w:val="19"/>
              </w:rPr>
              <w:t>Content / Rules</w:t>
            </w:r>
          </w:p>
        </w:tc>
      </w:tr>
      <w:tr>
        <w:tc>
          <w:tcPr>
            <w:tcW w:type="dxa" w:w="2736"/>
          </w:tcPr>
          <w:p>
            <w:r/>
            <w:r>
              <w:rPr>
                <w:sz w:val="19"/>
              </w:rPr>
              <w:t>Name &amp; personal data</w:t>
            </w:r>
          </w:p>
        </w:tc>
        <w:tc>
          <w:tcPr>
            <w:tcW w:type="dxa" w:w="6624"/>
          </w:tcPr>
          <w:p>
            <w:r/>
            <w:r>
              <w:rPr>
                <w:sz w:val="19"/>
              </w:rPr>
              <w:t>Person: first/last name, academic title, date of birth (verification &amp; credit); Organization: legal name 1/2, legal form</w:t>
            </w:r>
          </w:p>
        </w:tc>
      </w:tr>
      <w:tr>
        <w:tc>
          <w:tcPr>
            <w:tcW w:type="dxa" w:w="2736"/>
            <w:shd w:val="clear" w:fill="DEEAF6"/>
          </w:tcPr>
          <w:p>
            <w:r/>
            <w:r>
              <w:rPr>
                <w:sz w:val="19"/>
              </w:rPr>
              <w:t>Addresses</w:t>
            </w:r>
          </w:p>
        </w:tc>
        <w:tc>
          <w:tcPr>
            <w:tcW w:type="dxa" w:w="6624"/>
            <w:shd w:val="clear" w:fill="DEEAF6"/>
          </w:tcPr>
          <w:p>
            <w:r/>
            <w:r>
              <w:rPr>
                <w:sz w:val="19"/>
              </w:rPr>
              <w:t>Standard address (correspondence) with postal validation; address types for premise vs. mailing address; time-dependent moves; international format support</w:t>
            </w:r>
          </w:p>
        </w:tc>
      </w:tr>
      <w:tr>
        <w:tc>
          <w:tcPr>
            <w:tcW w:type="dxa" w:w="2736"/>
          </w:tcPr>
          <w:p>
            <w:r/>
            <w:r>
              <w:rPr>
                <w:sz w:val="19"/>
              </w:rPr>
              <w:t>Communication</w:t>
            </w:r>
          </w:p>
        </w:tc>
        <w:tc>
          <w:tcPr>
            <w:tcW w:type="dxa" w:w="6624"/>
          </w:tcPr>
          <w:p>
            <w:r/>
            <w:r>
              <w:rPr>
                <w:sz w:val="19"/>
              </w:rPr>
              <w:t>Phone (mobile/landline), email — used for CTI identification and notifications; do-not-contact indicators</w:t>
            </w:r>
          </w:p>
        </w:tc>
      </w:tr>
      <w:tr>
        <w:tc>
          <w:tcPr>
            <w:tcW w:type="dxa" w:w="2736"/>
            <w:shd w:val="clear" w:fill="DEEAF6"/>
          </w:tcPr>
          <w:p>
            <w:r/>
            <w:r>
              <w:rPr>
                <w:sz w:val="19"/>
              </w:rPr>
              <w:t>Identification numbers</w:t>
            </w:r>
          </w:p>
        </w:tc>
        <w:tc>
          <w:tcPr>
            <w:tcW w:type="dxa" w:w="6624"/>
            <w:shd w:val="clear" w:fill="DEEAF6"/>
          </w:tcPr>
          <w:p>
            <w:r/>
            <w:r>
              <w:rPr>
                <w:sz w:val="19"/>
              </w:rPr>
              <w:t>External IDs: legacy CIS number (migration cross-reference), government ID per verification policy, market/regulatory IDs as applicable</w:t>
            </w:r>
          </w:p>
        </w:tc>
      </w:tr>
      <w:tr>
        <w:tc>
          <w:tcPr>
            <w:tcW w:type="dxa" w:w="2736"/>
          </w:tcPr>
          <w:p>
            <w:r/>
            <w:r>
              <w:rPr>
                <w:sz w:val="19"/>
              </w:rPr>
              <w:t>Bank details &amp; payment cards</w:t>
            </w:r>
          </w:p>
        </w:tc>
        <w:tc>
          <w:tcPr>
            <w:tcW w:type="dxa" w:w="6624"/>
          </w:tcPr>
          <w:p>
            <w:r/>
            <w:r>
              <w:rPr>
                <w:sz w:val="19"/>
              </w:rPr>
              <w:t>Bank accounts for direct debit / refunds (IBAN or local format with validation); tokenized card references only — no PAN storage</w:t>
            </w:r>
          </w:p>
        </w:tc>
      </w:tr>
      <w:tr>
        <w:tc>
          <w:tcPr>
            <w:tcW w:type="dxa" w:w="2736"/>
            <w:shd w:val="clear" w:fill="DEEAF6"/>
          </w:tcPr>
          <w:p>
            <w:r/>
            <w:r>
              <w:rPr>
                <w:sz w:val="19"/>
              </w:rPr>
              <w:t>Relationships</w:t>
            </w:r>
          </w:p>
        </w:tc>
        <w:tc>
          <w:tcPr>
            <w:tcW w:type="dxa" w:w="6624"/>
            <w:shd w:val="clear" w:fill="DEEAF6"/>
          </w:tcPr>
          <w:p>
            <w:r/>
            <w:r>
              <w:rPr>
                <w:sz w:val="19"/>
              </w:rPr>
              <w:t>Is-contact-of, spouse/co-applicant, landlord–tenant (supports owner allocation / premise processes), authorized third party</w:t>
            </w:r>
          </w:p>
        </w:tc>
      </w:tr>
      <w:tr>
        <w:tc>
          <w:tcPr>
            <w:tcW w:type="dxa" w:w="2736"/>
          </w:tcPr>
          <w:p>
            <w:r/>
            <w:r>
              <w:rPr>
                <w:sz w:val="19"/>
              </w:rPr>
              <w:t>Tax &amp; regulatory</w:t>
            </w:r>
          </w:p>
        </w:tc>
        <w:tc>
          <w:tcPr>
            <w:tcW w:type="dxa" w:w="6624"/>
          </w:tcPr>
          <w:p>
            <w:r/>
            <w:r>
              <w:rPr>
                <w:sz w:val="19"/>
              </w:rPr>
              <w:t>Tax numbers for commercial customers; tax exemption references where applicable</w:t>
            </w:r>
          </w:p>
        </w:tc>
      </w:tr>
      <w:tr>
        <w:tc>
          <w:tcPr>
            <w:tcW w:type="dxa" w:w="2736"/>
            <w:shd w:val="clear" w:fill="DEEAF6"/>
          </w:tcPr>
          <w:p>
            <w:r/>
            <w:r>
              <w:rPr>
                <w:sz w:val="19"/>
              </w:rPr>
              <w:t>Data protection</w:t>
            </w:r>
          </w:p>
        </w:tc>
        <w:tc>
          <w:tcPr>
            <w:tcW w:type="dxa" w:w="6624"/>
            <w:shd w:val="clear" w:fill="DEEAF6"/>
          </w:tcPr>
          <w:p>
            <w:r/>
            <w:r>
              <w:rPr>
                <w:sz w:val="19"/>
              </w:rPr>
              <w:t>Consent records, end-of-purpose blocking flags, read-access-logging relevant fields marked</w:t>
            </w:r>
          </w:p>
        </w:tc>
      </w:tr>
    </w:tbl>
    <w:p>
      <w:pPr>
        <w:spacing w:after="40"/>
      </w:pPr>
    </w:p>
    <w:p>
      <w:pPr>
        <w:pStyle w:val="Heading2"/>
      </w:pPr>
      <w:r>
        <w:t>2.5 Business Partner Lifecycle Processes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60"/>
            <w:shd w:val="clear" w:fill="1F4E79"/>
          </w:tcPr>
          <w:p>
            <w:r/>
            <w:r>
              <w:rPr>
                <w:b/>
                <w:color w:val="FFFFFF"/>
                <w:sz w:val="18"/>
              </w:rPr>
              <w:t>Process</w:t>
            </w:r>
          </w:p>
        </w:tc>
        <w:tc>
          <w:tcPr>
            <w:tcW w:type="dxa" w:w="2160"/>
            <w:shd w:val="clear" w:fill="1F4E79"/>
          </w:tcPr>
          <w:p>
            <w:r/>
            <w:r>
              <w:rPr>
                <w:b/>
                <w:color w:val="FFFFFF"/>
                <w:sz w:val="18"/>
              </w:rPr>
              <w:t>Trigger / Channel</w:t>
            </w:r>
          </w:p>
        </w:tc>
        <w:tc>
          <w:tcPr>
            <w:tcW w:type="dxa" w:w="5040"/>
            <w:shd w:val="clear" w:fill="1F4E79"/>
          </w:tcPr>
          <w:p>
            <w:r/>
            <w:r>
              <w:rPr>
                <w:b/>
                <w:color w:val="FFFFFF"/>
                <w:sz w:val="18"/>
              </w:rPr>
              <w:t>Design</w:t>
            </w:r>
          </w:p>
        </w:tc>
      </w:tr>
      <w:tr>
        <w:tc>
          <w:tcPr>
            <w:tcW w:type="dxa" w:w="2160"/>
          </w:tcPr>
          <w:p>
            <w:r/>
            <w:r>
              <w:rPr>
                <w:sz w:val="18"/>
              </w:rPr>
              <w:t>Create BP (customer)</w:t>
            </w:r>
          </w:p>
        </w:tc>
        <w:tc>
          <w:tcPr>
            <w:tcW w:type="dxa" w:w="2160"/>
          </w:tcPr>
          <w:p>
            <w:r/>
            <w:r>
              <w:rPr>
                <w:sz w:val="18"/>
              </w:rPr>
              <w:t>Move-in / new service request in SC V2</w:t>
            </w:r>
          </w:p>
        </w:tc>
        <w:tc>
          <w:tcPr>
            <w:tcW w:type="dxa" w:w="5040"/>
          </w:tcPr>
          <w:p>
            <w:r/>
            <w:r>
              <w:rPr>
                <w:sz w:val="18"/>
              </w:rPr>
              <w:t>Agent captures person/org data in guided flow; duplicate check runs before save (name+DOB+address / org name+address); BP created in S/4HANA via integration with SC V2 customer linked by BP number</w:t>
            </w:r>
          </w:p>
        </w:tc>
      </w:tr>
      <w:tr>
        <w:tc>
          <w:tcPr>
            <w:tcW w:type="dxa" w:w="2160"/>
            <w:shd w:val="clear" w:fill="DEEAF6"/>
          </w:tcPr>
          <w:p>
            <w:r/>
            <w:r>
              <w:rPr>
                <w:sz w:val="18"/>
              </w:rPr>
              <w:t>Create prospect</w:t>
            </w:r>
          </w:p>
        </w:tc>
        <w:tc>
          <w:tcPr>
            <w:tcW w:type="dxa" w:w="2160"/>
            <w:shd w:val="clear" w:fill="DEEAF6"/>
          </w:tcPr>
          <w:p>
            <w:r/>
            <w:r>
              <w:rPr>
                <w:sz w:val="18"/>
              </w:rPr>
              <w:t>Interaction without contract</w:t>
            </w:r>
          </w:p>
        </w:tc>
        <w:tc>
          <w:tcPr>
            <w:tcW w:type="dxa" w:w="5040"/>
            <w:shd w:val="clear" w:fill="DEEAF6"/>
          </w:tcPr>
          <w:p>
            <w:r/>
            <w:r>
              <w:rPr>
                <w:sz w:val="18"/>
              </w:rPr>
              <w:t>Created in SC V2 (grouping ZPRO on replication); converted to customer at first move-in — same BP number retained</w:t>
            </w:r>
          </w:p>
        </w:tc>
      </w:tr>
      <w:tr>
        <w:tc>
          <w:tcPr>
            <w:tcW w:type="dxa" w:w="2160"/>
          </w:tcPr>
          <w:p>
            <w:r/>
            <w:r>
              <w:rPr>
                <w:sz w:val="18"/>
              </w:rPr>
              <w:t>Change BP</w:t>
            </w:r>
          </w:p>
        </w:tc>
        <w:tc>
          <w:tcPr>
            <w:tcW w:type="dxa" w:w="2160"/>
          </w:tcPr>
          <w:p>
            <w:r/>
            <w:r>
              <w:rPr>
                <w:sz w:val="18"/>
              </w:rPr>
              <w:t>Customer request via front office</w:t>
            </w:r>
          </w:p>
        </w:tc>
        <w:tc>
          <w:tcPr>
            <w:tcW w:type="dxa" w:w="5040"/>
          </w:tcPr>
          <w:p>
            <w:r/>
            <w:r>
              <w:rPr>
                <w:sz w:val="18"/>
              </w:rPr>
              <w:t>Contact data, mailing address, communication preferences: agent-maintained with immediate replication; protected changes (legal name, DOB) require proof and route to Master Data Specialist</w:t>
            </w:r>
          </w:p>
        </w:tc>
      </w:tr>
      <w:tr>
        <w:tc>
          <w:tcPr>
            <w:tcW w:type="dxa" w:w="2160"/>
            <w:shd w:val="clear" w:fill="DEEAF6"/>
          </w:tcPr>
          <w:p>
            <w:r/>
            <w:r>
              <w:rPr>
                <w:sz w:val="18"/>
              </w:rPr>
              <w:t>Duplicate handling / merge</w:t>
            </w:r>
          </w:p>
        </w:tc>
        <w:tc>
          <w:tcPr>
            <w:tcW w:type="dxa" w:w="2160"/>
            <w:shd w:val="clear" w:fill="DEEAF6"/>
          </w:tcPr>
          <w:p>
            <w:r/>
            <w:r>
              <w:rPr>
                <w:sz w:val="18"/>
              </w:rPr>
              <w:t>Duplicate check hit or data quality report</w:t>
            </w:r>
          </w:p>
        </w:tc>
        <w:tc>
          <w:tcPr>
            <w:tcW w:type="dxa" w:w="5040"/>
            <w:shd w:val="clear" w:fill="DEEAF6"/>
          </w:tcPr>
          <w:p>
            <w:r/>
            <w:r>
              <w:rPr>
                <w:sz w:val="18"/>
              </w:rPr>
              <w:t>Master Data Specialist resolves in S/4HANA (BP cleansing/merge); SC V2 references re-pointed via ID mapping; merge is never performed in SC V2</w:t>
            </w:r>
          </w:p>
        </w:tc>
      </w:tr>
      <w:tr>
        <w:tc>
          <w:tcPr>
            <w:tcW w:type="dxa" w:w="2160"/>
          </w:tcPr>
          <w:p>
            <w:r/>
            <w:r>
              <w:rPr>
                <w:sz w:val="18"/>
              </w:rPr>
              <w:t>Deceased / vulnerable customer handling</w:t>
            </w:r>
          </w:p>
        </w:tc>
        <w:tc>
          <w:tcPr>
            <w:tcW w:type="dxa" w:w="2160"/>
          </w:tcPr>
          <w:p>
            <w:r/>
            <w:r>
              <w:rPr>
                <w:sz w:val="18"/>
              </w:rPr>
              <w:t>Notification via front office</w:t>
            </w:r>
          </w:p>
        </w:tc>
        <w:tc>
          <w:tcPr>
            <w:tcW w:type="dxa" w:w="5040"/>
          </w:tcPr>
          <w:p>
            <w:r/>
            <w:r>
              <w:rPr>
                <w:sz w:val="18"/>
              </w:rPr>
              <w:t>Flag + relationship update, correspondence redirection, protected-customer alert (feeds CS-01 business alerts)</w:t>
            </w:r>
          </w:p>
        </w:tc>
      </w:tr>
      <w:tr>
        <w:tc>
          <w:tcPr>
            <w:tcW w:type="dxa" w:w="2160"/>
            <w:shd w:val="clear" w:fill="DEEAF6"/>
          </w:tcPr>
          <w:p>
            <w:r/>
            <w:r>
              <w:rPr>
                <w:sz w:val="18"/>
              </w:rPr>
              <w:t>Block / End of purpose</w:t>
            </w:r>
          </w:p>
        </w:tc>
        <w:tc>
          <w:tcPr>
            <w:tcW w:type="dxa" w:w="2160"/>
            <w:shd w:val="clear" w:fill="DEEAF6"/>
          </w:tcPr>
          <w:p>
            <w:r/>
            <w:r>
              <w:rPr>
                <w:sz w:val="18"/>
              </w:rPr>
              <w:t>Retention rules / DSR</w:t>
            </w:r>
          </w:p>
        </w:tc>
        <w:tc>
          <w:tcPr>
            <w:tcW w:type="dxa" w:w="5040"/>
            <w:shd w:val="clear" w:fill="DEEAF6"/>
          </w:tcPr>
          <w:p>
            <w:r/>
            <w:r>
              <w:rPr>
                <w:sz w:val="18"/>
              </w:rPr>
              <w:t>S/4HANA data protection framework drives blocking; blocked BPs excluded from SC V2 search results</w:t>
            </w:r>
          </w:p>
        </w:tc>
      </w:tr>
    </w:tbl>
    <w:p>
      <w:pPr>
        <w:spacing w:after="40"/>
      </w:pPr>
    </w:p>
    <w:p>
      <w:r>
        <w:br w:type="page"/>
      </w:r>
    </w:p>
    <w:p>
      <w:pPr>
        <w:pStyle w:val="Heading1"/>
      </w:pPr>
      <w:r>
        <w:t>3. Manage Contract Account</w:t>
      </w:r>
    </w:p>
    <w:p>
      <w:pPr>
        <w:pStyle w:val="Heading2"/>
      </w:pPr>
      <w:r>
        <w:t>3.1 Concept and Structure</w:t>
      </w:r>
    </w:p>
    <w:p>
      <w:r>
        <w:rPr>
          <w:b w:val="0"/>
        </w:rPr>
        <w:t>The contract account (FI-CA) is the financial hub between the business partner and the utility contracts: it carries the rules for invoicing, payment, dunning and correspondence. Utilities contracts (per division — electricity, gas, water) post into the contract account; open items, payments, installment plans, budget billing and collections all operate at contract account level.</w:t>
      </w:r>
    </w:p>
    <w:p>
      <w:pPr>
        <w:pStyle w:val="ListBullet"/>
      </w:pPr>
      <w:r>
        <w:rPr>
          <w:b/>
        </w:rPr>
        <w:t xml:space="preserve">Account structure baseline — </w:t>
      </w:r>
      <w:r>
        <w:t>one contract account per customer per premise (residential standard), so a move creates a new CA at the new premise; commercial customers may consolidate multiple premises into one CA per invoicing agreement (design decision per segment).</w:t>
      </w:r>
    </w:p>
    <w:p>
      <w:pPr>
        <w:pStyle w:val="ListBullet"/>
      </w:pPr>
      <w:r>
        <w:rPr>
          <w:b/>
        </w:rPr>
        <w:t xml:space="preserve">Multiple account holders — </w:t>
      </w:r>
      <w:r>
        <w:t>BP–CA relationships define the account holder and additional authorized partners; alternative payer/dunning recipient supported for landlord and agency scenarios.</w:t>
      </w:r>
    </w:p>
    <w:p>
      <w:pPr>
        <w:pStyle w:val="ListBullet"/>
      </w:pPr>
      <w:r>
        <w:rPr>
          <w:b/>
        </w:rPr>
        <w:t xml:space="preserve">Every CA references — </w:t>
      </w:r>
      <w:r>
        <w:t>exactly one contract partner (BP in role MKK); optional alternative payer, correspondence recipient and bank details for incoming/outgoing payments.</w:t>
      </w:r>
    </w:p>
    <w:p>
      <w:pPr>
        <w:pStyle w:val="Heading2"/>
      </w:pPr>
      <w:r>
        <w:t>3.2 Key Contract Account Attributes</w:t>
      </w:r>
    </w:p>
    <w:tbl>
      <w:tblPr>
        <w:tblStyle w:val="TableGrid"/>
        <w:tblW w:type="auto" w:w="0"/>
        <w:jc w:val="center"/>
        <w:tblLayout w:type="fixed"/>
        <w:tblLook w:firstColumn="1" w:firstRow="1" w:lastColumn="0" w:lastRow="0" w:noHBand="0" w:noVBand="1" w:val="04A0"/>
      </w:tblPr>
      <w:tblGrid>
        <w:gridCol w:w="4320"/>
        <w:gridCol w:w="4320"/>
      </w:tblGrid>
      <w:tr>
        <w:tc>
          <w:tcPr>
            <w:tcW w:type="dxa" w:w="2736"/>
            <w:shd w:val="clear" w:fill="1F4E79"/>
          </w:tcPr>
          <w:p>
            <w:r/>
            <w:r>
              <w:rPr>
                <w:b/>
                <w:color w:val="FFFFFF"/>
                <w:sz w:val="19"/>
              </w:rPr>
              <w:t>Attribute</w:t>
            </w:r>
          </w:p>
        </w:tc>
        <w:tc>
          <w:tcPr>
            <w:tcW w:type="dxa" w:w="6624"/>
            <w:shd w:val="clear" w:fill="1F4E79"/>
          </w:tcPr>
          <w:p>
            <w:r/>
            <w:r>
              <w:rPr>
                <w:b/>
                <w:color w:val="FFFFFF"/>
                <w:sz w:val="19"/>
              </w:rPr>
              <w:t>Purpose / Design Baseline</w:t>
            </w:r>
          </w:p>
        </w:tc>
      </w:tr>
      <w:tr>
        <w:tc>
          <w:tcPr>
            <w:tcW w:type="dxa" w:w="2736"/>
          </w:tcPr>
          <w:p>
            <w:r/>
            <w:r>
              <w:rPr>
                <w:sz w:val="19"/>
              </w:rPr>
              <w:t>Contract account category</w:t>
            </w:r>
          </w:p>
        </w:tc>
        <w:tc>
          <w:tcPr>
            <w:tcW w:type="dxa" w:w="6624"/>
          </w:tcPr>
          <w:p>
            <w:r/>
            <w:r>
              <w:rPr>
                <w:sz w:val="19"/>
              </w:rPr>
              <w:t>Separates residential (ZR), commercial (ZC), prepay (ZP) and internal/technical (ZT) accounts; controls number range, screen variants and permitted processes</w:t>
            </w:r>
          </w:p>
        </w:tc>
      </w:tr>
      <w:tr>
        <w:tc>
          <w:tcPr>
            <w:tcW w:type="dxa" w:w="2736"/>
            <w:shd w:val="clear" w:fill="DEEAF6"/>
          </w:tcPr>
          <w:p>
            <w:r/>
            <w:r>
              <w:rPr>
                <w:sz w:val="19"/>
              </w:rPr>
              <w:t>Account determination ID</w:t>
            </w:r>
          </w:p>
        </w:tc>
        <w:tc>
          <w:tcPr>
            <w:tcW w:type="dxa" w:w="6624"/>
            <w:shd w:val="clear" w:fill="DEEAF6"/>
          </w:tcPr>
          <w:p>
            <w:r/>
            <w:r>
              <w:rPr>
                <w:sz w:val="19"/>
              </w:rPr>
              <w:t>Drives G/L account determination for FI-CA postings (per category/division per FI design)</w:t>
            </w:r>
          </w:p>
        </w:tc>
      </w:tr>
      <w:tr>
        <w:tc>
          <w:tcPr>
            <w:tcW w:type="dxa" w:w="2736"/>
          </w:tcPr>
          <w:p>
            <w:r/>
            <w:r>
              <w:rPr>
                <w:sz w:val="19"/>
              </w:rPr>
              <w:t>Payment terms</w:t>
            </w:r>
          </w:p>
        </w:tc>
        <w:tc>
          <w:tcPr>
            <w:tcW w:type="dxa" w:w="6624"/>
          </w:tcPr>
          <w:p>
            <w:r/>
            <w:r>
              <w:rPr>
                <w:sz w:val="19"/>
              </w:rPr>
              <w:t>Residential default per regulatory rule (e.g., due net 21 days); CSDD program overrides due-date logic per enrollment (see Enrollment Center design)</w:t>
            </w:r>
          </w:p>
        </w:tc>
      </w:tr>
      <w:tr>
        <w:tc>
          <w:tcPr>
            <w:tcW w:type="dxa" w:w="2736"/>
            <w:shd w:val="clear" w:fill="DEEAF6"/>
          </w:tcPr>
          <w:p>
            <w:r/>
            <w:r>
              <w:rPr>
                <w:sz w:val="19"/>
              </w:rPr>
              <w:t>Incoming payment method</w:t>
            </w:r>
          </w:p>
        </w:tc>
        <w:tc>
          <w:tcPr>
            <w:tcW w:type="dxa" w:w="6624"/>
            <w:shd w:val="clear" w:fill="DEEAF6"/>
          </w:tcPr>
          <w:p>
            <w:r/>
            <w:r>
              <w:rPr>
                <w:sz w:val="19"/>
              </w:rPr>
              <w:t>Direct debit (with mandate/bank details), card (tokenized), cash/check; controls payment run behavior</w:t>
            </w:r>
          </w:p>
        </w:tc>
      </w:tr>
      <w:tr>
        <w:tc>
          <w:tcPr>
            <w:tcW w:type="dxa" w:w="2736"/>
          </w:tcPr>
          <w:p>
            <w:r/>
            <w:r>
              <w:rPr>
                <w:sz w:val="19"/>
              </w:rPr>
              <w:t>Outgoing payment method</w:t>
            </w:r>
          </w:p>
        </w:tc>
        <w:tc>
          <w:tcPr>
            <w:tcW w:type="dxa" w:w="6624"/>
          </w:tcPr>
          <w:p>
            <w:r/>
            <w:r>
              <w:rPr>
                <w:sz w:val="19"/>
              </w:rPr>
              <w:t>Refund method for credit balances</w:t>
            </w:r>
          </w:p>
        </w:tc>
      </w:tr>
      <w:tr>
        <w:tc>
          <w:tcPr>
            <w:tcW w:type="dxa" w:w="2736"/>
            <w:shd w:val="clear" w:fill="DEEAF6"/>
          </w:tcPr>
          <w:p>
            <w:r/>
            <w:r>
              <w:rPr>
                <w:sz w:val="19"/>
              </w:rPr>
              <w:t>Dunning procedure</w:t>
            </w:r>
          </w:p>
        </w:tc>
        <w:tc>
          <w:tcPr>
            <w:tcW w:type="dxa" w:w="6624"/>
            <w:shd w:val="clear" w:fill="DEEAF6"/>
          </w:tcPr>
          <w:p>
            <w:r/>
            <w:r>
              <w:rPr>
                <w:sz w:val="19"/>
              </w:rPr>
              <w:t>Residential vs. commercial procedures; protected-customer variants (medical/life-support) with restricted disconnection steps</w:t>
            </w:r>
          </w:p>
        </w:tc>
      </w:tr>
      <w:tr>
        <w:tc>
          <w:tcPr>
            <w:tcW w:type="dxa" w:w="2736"/>
          </w:tcPr>
          <w:p>
            <w:r/>
            <w:r>
              <w:rPr>
                <w:sz w:val="19"/>
              </w:rPr>
              <w:t>Interest key / charges</w:t>
            </w:r>
          </w:p>
        </w:tc>
        <w:tc>
          <w:tcPr>
            <w:tcW w:type="dxa" w:w="6624"/>
          </w:tcPr>
          <w:p>
            <w:r/>
            <w:r>
              <w:rPr>
                <w:sz w:val="19"/>
              </w:rPr>
              <w:t>Late payment interest and fee rules per regulatory framework</w:t>
            </w:r>
          </w:p>
        </w:tc>
      </w:tr>
      <w:tr>
        <w:tc>
          <w:tcPr>
            <w:tcW w:type="dxa" w:w="2736"/>
            <w:shd w:val="clear" w:fill="DEEAF6"/>
          </w:tcPr>
          <w:p>
            <w:r/>
            <w:r>
              <w:rPr>
                <w:sz w:val="19"/>
              </w:rPr>
              <w:t>Correspondence variant</w:t>
            </w:r>
          </w:p>
        </w:tc>
        <w:tc>
          <w:tcPr>
            <w:tcW w:type="dxa" w:w="6624"/>
            <w:shd w:val="clear" w:fill="DEEAF6"/>
          </w:tcPr>
          <w:p>
            <w:r/>
            <w:r>
              <w:rPr>
                <w:sz w:val="19"/>
              </w:rPr>
              <w:t>Bill and dunning correspondence control; eBill/paperless flag; correspondence language</w:t>
            </w:r>
          </w:p>
        </w:tc>
      </w:tr>
      <w:tr>
        <w:tc>
          <w:tcPr>
            <w:tcW w:type="dxa" w:w="2736"/>
          </w:tcPr>
          <w:p>
            <w:r/>
            <w:r>
              <w:rPr>
                <w:sz w:val="19"/>
              </w:rPr>
              <w:t>Budget billing / prepay settings</w:t>
            </w:r>
          </w:p>
        </w:tc>
        <w:tc>
          <w:tcPr>
            <w:tcW w:type="dxa" w:w="6624"/>
          </w:tcPr>
          <w:p>
            <w:r/>
            <w:r>
              <w:rPr>
                <w:sz w:val="19"/>
              </w:rPr>
              <w:t>Budget billing procedure where offered; prepay accounts flagged per PrePay program design</w:t>
            </w:r>
          </w:p>
        </w:tc>
      </w:tr>
      <w:tr>
        <w:tc>
          <w:tcPr>
            <w:tcW w:type="dxa" w:w="2736"/>
            <w:shd w:val="clear" w:fill="DEEAF6"/>
          </w:tcPr>
          <w:p>
            <w:r/>
            <w:r>
              <w:rPr>
                <w:sz w:val="19"/>
              </w:rPr>
              <w:t>Clearing category</w:t>
            </w:r>
          </w:p>
        </w:tc>
        <w:tc>
          <w:tcPr>
            <w:tcW w:type="dxa" w:w="6624"/>
            <w:shd w:val="clear" w:fill="DEEAF6"/>
          </w:tcPr>
          <w:p>
            <w:r/>
            <w:r>
              <w:rPr>
                <w:sz w:val="19"/>
              </w:rPr>
              <w:t>Payment allocation rules across divisions/receivable types per FI-CA design</w:t>
            </w:r>
          </w:p>
        </w:tc>
      </w:tr>
      <w:tr>
        <w:tc>
          <w:tcPr>
            <w:tcW w:type="dxa" w:w="2736"/>
          </w:tcPr>
          <w:p>
            <w:r/>
            <w:r>
              <w:rPr>
                <w:sz w:val="19"/>
              </w:rPr>
              <w:t>Locks</w:t>
            </w:r>
          </w:p>
        </w:tc>
        <w:tc>
          <w:tcPr>
            <w:tcW w:type="dxa" w:w="6624"/>
          </w:tcPr>
          <w:p>
            <w:r/>
            <w:r>
              <w:rPr>
                <w:sz w:val="19"/>
              </w:rPr>
              <w:t>Posting, payment, dunning, invoicing locks with reason codes and validity — used by collections, disputes and program processes (e.g., DPP suppresses dunning)</w:t>
            </w:r>
          </w:p>
        </w:tc>
      </w:tr>
    </w:tbl>
    <w:p>
      <w:pPr>
        <w:spacing w:after="40"/>
      </w:pPr>
    </w:p>
    <w:p>
      <w:pPr>
        <w:pStyle w:val="Heading2"/>
      </w:pPr>
      <w:r>
        <w:t>3.3 Contract Account Lifecycle Processes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304"/>
            <w:shd w:val="clear" w:fill="1F4E79"/>
          </w:tcPr>
          <w:p>
            <w:r/>
            <w:r>
              <w:rPr>
                <w:b/>
                <w:color w:val="FFFFFF"/>
                <w:sz w:val="18"/>
              </w:rPr>
              <w:t>Process</w:t>
            </w:r>
          </w:p>
        </w:tc>
        <w:tc>
          <w:tcPr>
            <w:tcW w:type="dxa" w:w="2160"/>
            <w:shd w:val="clear" w:fill="1F4E79"/>
          </w:tcPr>
          <w:p>
            <w:r/>
            <w:r>
              <w:rPr>
                <w:b/>
                <w:color w:val="FFFFFF"/>
                <w:sz w:val="18"/>
              </w:rPr>
              <w:t>Trigger / Channel</w:t>
            </w:r>
          </w:p>
        </w:tc>
        <w:tc>
          <w:tcPr>
            <w:tcW w:type="dxa" w:w="4896"/>
            <w:shd w:val="clear" w:fill="1F4E79"/>
          </w:tcPr>
          <w:p>
            <w:r/>
            <w:r>
              <w:rPr>
                <w:b/>
                <w:color w:val="FFFFFF"/>
                <w:sz w:val="18"/>
              </w:rPr>
              <w:t>Design</w:t>
            </w:r>
          </w:p>
        </w:tc>
      </w:tr>
      <w:tr>
        <w:tc>
          <w:tcPr>
            <w:tcW w:type="dxa" w:w="2304"/>
          </w:tcPr>
          <w:p>
            <w:r/>
            <w:r>
              <w:rPr>
                <w:sz w:val="18"/>
              </w:rPr>
              <w:t>Create contract account</w:t>
            </w:r>
          </w:p>
        </w:tc>
        <w:tc>
          <w:tcPr>
            <w:tcW w:type="dxa" w:w="2160"/>
          </w:tcPr>
          <w:p>
            <w:r/>
            <w:r>
              <w:rPr>
                <w:sz w:val="18"/>
              </w:rPr>
              <w:t>Move-in in SC V2 / migration</w:t>
            </w:r>
          </w:p>
        </w:tc>
        <w:tc>
          <w:tcPr>
            <w:tcW w:type="dxa" w:w="4896"/>
          </w:tcPr>
          <w:p>
            <w:r/>
            <w:r>
              <w:rPr>
                <w:sz w:val="18"/>
              </w:rPr>
              <w:t>Created automatically within the S/4HANA move-in process using category defaults; agent supplies only customer choices (payment method, bank details, eBill, due-date preference)</w:t>
            </w:r>
          </w:p>
        </w:tc>
      </w:tr>
      <w:tr>
        <w:tc>
          <w:tcPr>
            <w:tcW w:type="dxa" w:w="2304"/>
            <w:shd w:val="clear" w:fill="DEEAF6"/>
          </w:tcPr>
          <w:p>
            <w:r/>
            <w:r>
              <w:rPr>
                <w:sz w:val="18"/>
              </w:rPr>
              <w:t>Change payment data</w:t>
            </w:r>
          </w:p>
        </w:tc>
        <w:tc>
          <w:tcPr>
            <w:tcW w:type="dxa" w:w="2160"/>
            <w:shd w:val="clear" w:fill="DEEAF6"/>
          </w:tcPr>
          <w:p>
            <w:r/>
            <w:r>
              <w:rPr>
                <w:sz w:val="18"/>
              </w:rPr>
              <w:t>Customer request via front office</w:t>
            </w:r>
          </w:p>
        </w:tc>
        <w:tc>
          <w:tcPr>
            <w:tcW w:type="dxa" w:w="4896"/>
            <w:shd w:val="clear" w:fill="DEEAF6"/>
          </w:tcPr>
          <w:p>
            <w:r/>
            <w:r>
              <w:rPr>
                <w:sz w:val="18"/>
              </w:rPr>
              <w:t>Guided action in SC V2 posts bank details / payment method / mandate to S/4HANA; validation (IBAN/routing) enforced; change logged with agent ID</w:t>
            </w:r>
          </w:p>
        </w:tc>
      </w:tr>
      <w:tr>
        <w:tc>
          <w:tcPr>
            <w:tcW w:type="dxa" w:w="2304"/>
          </w:tcPr>
          <w:p>
            <w:r/>
            <w:r>
              <w:rPr>
                <w:sz w:val="18"/>
              </w:rPr>
              <w:t>Change billing preferences</w:t>
            </w:r>
          </w:p>
        </w:tc>
        <w:tc>
          <w:tcPr>
            <w:tcW w:type="dxa" w:w="2160"/>
          </w:tcPr>
          <w:p>
            <w:r/>
            <w:r>
              <w:rPr>
                <w:sz w:val="18"/>
              </w:rPr>
              <w:t>Customer request / program enrollment</w:t>
            </w:r>
          </w:p>
        </w:tc>
        <w:tc>
          <w:tcPr>
            <w:tcW w:type="dxa" w:w="4896"/>
          </w:tcPr>
          <w:p>
            <w:r/>
            <w:r>
              <w:rPr>
                <w:sz w:val="18"/>
              </w:rPr>
              <w:t>eBill flag, correspondence options, CSDD due date — via guided action or Enrollment Center recipe</w:t>
            </w:r>
          </w:p>
        </w:tc>
      </w:tr>
      <w:tr>
        <w:tc>
          <w:tcPr>
            <w:tcW w:type="dxa" w:w="2304"/>
            <w:shd w:val="clear" w:fill="DEEAF6"/>
          </w:tcPr>
          <w:p>
            <w:r/>
            <w:r>
              <w:rPr>
                <w:sz w:val="18"/>
              </w:rPr>
              <w:t>Dunning-relevant changes</w:t>
            </w:r>
          </w:p>
        </w:tc>
        <w:tc>
          <w:tcPr>
            <w:tcW w:type="dxa" w:w="2160"/>
            <w:shd w:val="clear" w:fill="DEEAF6"/>
          </w:tcPr>
          <w:p>
            <w:r/>
            <w:r>
              <w:rPr>
                <w:sz w:val="18"/>
              </w:rPr>
              <w:t>Collections policy / programs</w:t>
            </w:r>
          </w:p>
        </w:tc>
        <w:tc>
          <w:tcPr>
            <w:tcW w:type="dxa" w:w="4896"/>
            <w:shd w:val="clear" w:fill="DEEAF6"/>
          </w:tcPr>
          <w:p>
            <w:r/>
            <w:r>
              <w:rPr>
                <w:sz w:val="18"/>
              </w:rPr>
              <w:t>Dunning procedure changes and locks restricted to Credit &amp; Collections role; DPP/payment arrangements set locks automatically per program recipe</w:t>
            </w:r>
          </w:p>
        </w:tc>
      </w:tr>
      <w:tr>
        <w:tc>
          <w:tcPr>
            <w:tcW w:type="dxa" w:w="2304"/>
          </w:tcPr>
          <w:p>
            <w:r/>
            <w:r>
              <w:rPr>
                <w:sz w:val="18"/>
              </w:rPr>
              <w:t>Alternative payer / third-party setup</w:t>
            </w:r>
          </w:p>
        </w:tc>
        <w:tc>
          <w:tcPr>
            <w:tcW w:type="dxa" w:w="2160"/>
          </w:tcPr>
          <w:p>
            <w:r/>
            <w:r>
              <w:rPr>
                <w:sz w:val="18"/>
              </w:rPr>
              <w:t>Landlord, agency, assistance programs</w:t>
            </w:r>
          </w:p>
        </w:tc>
        <w:tc>
          <w:tcPr>
            <w:tcW w:type="dxa" w:w="4896"/>
          </w:tcPr>
          <w:p>
            <w:r/>
            <w:r>
              <w:rPr>
                <w:sz w:val="18"/>
              </w:rPr>
              <w:t>BP relationship + CA attributes maintained by back office with document proof</w:t>
            </w:r>
          </w:p>
        </w:tc>
      </w:tr>
      <w:tr>
        <w:tc>
          <w:tcPr>
            <w:tcW w:type="dxa" w:w="2304"/>
            <w:shd w:val="clear" w:fill="DEEAF6"/>
          </w:tcPr>
          <w:p>
            <w:r/>
            <w:r>
              <w:rPr>
                <w:sz w:val="18"/>
              </w:rPr>
              <w:t>Close / deactivate</w:t>
            </w:r>
          </w:p>
        </w:tc>
        <w:tc>
          <w:tcPr>
            <w:tcW w:type="dxa" w:w="2160"/>
            <w:shd w:val="clear" w:fill="DEEAF6"/>
          </w:tcPr>
          <w:p>
            <w:r/>
            <w:r>
              <w:rPr>
                <w:sz w:val="18"/>
              </w:rPr>
              <w:t>Final bill after move-out</w:t>
            </w:r>
          </w:p>
        </w:tc>
        <w:tc>
          <w:tcPr>
            <w:tcW w:type="dxa" w:w="4896"/>
            <w:shd w:val="clear" w:fill="DEEAF6"/>
          </w:tcPr>
          <w:p>
            <w:r/>
            <w:r>
              <w:rPr>
                <w:sz w:val="18"/>
              </w:rPr>
              <w:t>CA remains open until final invoice cleared; then balance-zero closure; no deletion — retention per data governance</w:t>
            </w:r>
          </w:p>
        </w:tc>
      </w:tr>
    </w:tbl>
    <w:p>
      <w:pPr>
        <w:spacing w:after="40"/>
      </w:pPr>
    </w:p>
    <w:p>
      <w:pPr>
        <w:pStyle w:val="Heading1"/>
      </w:pPr>
      <w:r>
        <w:t>4. Key Business Flows</w:t>
      </w:r>
    </w:p>
    <w:p>
      <w:pPr>
        <w:pStyle w:val="Heading2"/>
      </w:pPr>
      <w:r>
        <w:t>4.1 Create Customer with Contract Account (Move-In Context)</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864"/>
            <w:shd w:val="clear" w:fill="1F4E79"/>
          </w:tcPr>
          <w:p>
            <w:r/>
            <w:r>
              <w:rPr>
                <w:b/>
                <w:color w:val="FFFFFF"/>
                <w:sz w:val="18"/>
              </w:rPr>
              <w:t>Step</w:t>
            </w:r>
          </w:p>
        </w:tc>
        <w:tc>
          <w:tcPr>
            <w:tcW w:type="dxa" w:w="2160"/>
            <w:shd w:val="clear" w:fill="1F4E79"/>
          </w:tcPr>
          <w:p>
            <w:r/>
            <w:r>
              <w:rPr>
                <w:b/>
                <w:color w:val="FFFFFF"/>
                <w:sz w:val="18"/>
              </w:rPr>
              <w:t>Actor / System</w:t>
            </w:r>
          </w:p>
        </w:tc>
        <w:tc>
          <w:tcPr>
            <w:tcW w:type="dxa" w:w="6336"/>
            <w:shd w:val="clear" w:fill="1F4E79"/>
          </w:tcPr>
          <w:p>
            <w:r/>
            <w:r>
              <w:rPr>
                <w:b/>
                <w:color w:val="FFFFFF"/>
                <w:sz w:val="18"/>
              </w:rPr>
              <w:t>Description</w:t>
            </w:r>
          </w:p>
        </w:tc>
      </w:tr>
      <w:tr>
        <w:tc>
          <w:tcPr>
            <w:tcW w:type="dxa" w:w="864"/>
          </w:tcPr>
          <w:p>
            <w:r/>
            <w:r>
              <w:rPr>
                <w:sz w:val="18"/>
              </w:rPr>
              <w:t>1</w:t>
            </w:r>
          </w:p>
        </w:tc>
        <w:tc>
          <w:tcPr>
            <w:tcW w:type="dxa" w:w="2160"/>
          </w:tcPr>
          <w:p>
            <w:r/>
            <w:r>
              <w:rPr>
                <w:sz w:val="18"/>
              </w:rPr>
              <w:t>Agent / SC V2</w:t>
            </w:r>
          </w:p>
        </w:tc>
        <w:tc>
          <w:tcPr>
            <w:tcW w:type="dxa" w:w="6336"/>
          </w:tcPr>
          <w:p>
            <w:r/>
            <w:r>
              <w:rPr>
                <w:sz w:val="18"/>
              </w:rPr>
              <w:t>Caller not found in search → agent starts guided new-customer flow; captures BP type (person/organization), name, DOB, contact data, mailing address</w:t>
            </w:r>
          </w:p>
        </w:tc>
      </w:tr>
      <w:tr>
        <w:tc>
          <w:tcPr>
            <w:tcW w:type="dxa" w:w="864"/>
            <w:shd w:val="clear" w:fill="DEEAF6"/>
          </w:tcPr>
          <w:p>
            <w:r/>
            <w:r>
              <w:rPr>
                <w:sz w:val="18"/>
              </w:rPr>
              <w:t>2</w:t>
            </w:r>
          </w:p>
        </w:tc>
        <w:tc>
          <w:tcPr>
            <w:tcW w:type="dxa" w:w="2160"/>
            <w:shd w:val="clear" w:fill="DEEAF6"/>
          </w:tcPr>
          <w:p>
            <w:r/>
            <w:r>
              <w:rPr>
                <w:sz w:val="18"/>
              </w:rPr>
              <w:t>SC V2</w:t>
            </w:r>
          </w:p>
        </w:tc>
        <w:tc>
          <w:tcPr>
            <w:tcW w:type="dxa" w:w="6336"/>
            <w:shd w:val="clear" w:fill="DEEAF6"/>
          </w:tcPr>
          <w:p>
            <w:r/>
            <w:r>
              <w:rPr>
                <w:sz w:val="18"/>
              </w:rPr>
              <w:t>Duplicate check executes (SC V2 + S/4HANA search); potential matches presented; agent confirms new vs. existing</w:t>
            </w:r>
          </w:p>
        </w:tc>
      </w:tr>
      <w:tr>
        <w:tc>
          <w:tcPr>
            <w:tcW w:type="dxa" w:w="864"/>
          </w:tcPr>
          <w:p>
            <w:r/>
            <w:r>
              <w:rPr>
                <w:sz w:val="18"/>
              </w:rPr>
              <w:t>3</w:t>
            </w:r>
          </w:p>
        </w:tc>
        <w:tc>
          <w:tcPr>
            <w:tcW w:type="dxa" w:w="2160"/>
          </w:tcPr>
          <w:p>
            <w:r/>
            <w:r>
              <w:rPr>
                <w:sz w:val="18"/>
              </w:rPr>
              <w:t>SC V2 → S/4HANA</w:t>
            </w:r>
          </w:p>
        </w:tc>
        <w:tc>
          <w:tcPr>
            <w:tcW w:type="dxa" w:w="6336"/>
          </w:tcPr>
          <w:p>
            <w:r/>
            <w:r>
              <w:rPr>
                <w:sz w:val="18"/>
              </w:rPr>
              <w:t>BP created in S/4HANA (grouping per type, roles 000000 + MKK); BP number returned and stored as external ID on the SC V2 customer</w:t>
            </w:r>
          </w:p>
        </w:tc>
      </w:tr>
      <w:tr>
        <w:tc>
          <w:tcPr>
            <w:tcW w:type="dxa" w:w="864"/>
            <w:shd w:val="clear" w:fill="DEEAF6"/>
          </w:tcPr>
          <w:p>
            <w:r/>
            <w:r>
              <w:rPr>
                <w:sz w:val="18"/>
              </w:rPr>
              <w:t>4</w:t>
            </w:r>
          </w:p>
        </w:tc>
        <w:tc>
          <w:tcPr>
            <w:tcW w:type="dxa" w:w="2160"/>
            <w:shd w:val="clear" w:fill="DEEAF6"/>
          </w:tcPr>
          <w:p>
            <w:r/>
            <w:r>
              <w:rPr>
                <w:sz w:val="18"/>
              </w:rPr>
              <w:t>Agent / SC V2</w:t>
            </w:r>
          </w:p>
        </w:tc>
        <w:tc>
          <w:tcPr>
            <w:tcW w:type="dxa" w:w="6336"/>
            <w:shd w:val="clear" w:fill="DEEAF6"/>
          </w:tcPr>
          <w:p>
            <w:r/>
            <w:r>
              <w:rPr>
                <w:sz w:val="18"/>
              </w:rPr>
              <w:t>Move-in guided flow: premise selection, start date, payment method, bank details/mandate, eBill preference, deposit determination per credit check</w:t>
            </w:r>
          </w:p>
        </w:tc>
      </w:tr>
      <w:tr>
        <w:tc>
          <w:tcPr>
            <w:tcW w:type="dxa" w:w="864"/>
          </w:tcPr>
          <w:p>
            <w:r/>
            <w:r>
              <w:rPr>
                <w:sz w:val="18"/>
              </w:rPr>
              <w:t>5</w:t>
            </w:r>
          </w:p>
        </w:tc>
        <w:tc>
          <w:tcPr>
            <w:tcW w:type="dxa" w:w="2160"/>
          </w:tcPr>
          <w:p>
            <w:r/>
            <w:r>
              <w:rPr>
                <w:sz w:val="18"/>
              </w:rPr>
              <w:t>S/4HANA</w:t>
            </w:r>
          </w:p>
        </w:tc>
        <w:tc>
          <w:tcPr>
            <w:tcW w:type="dxa" w:w="6336"/>
          </w:tcPr>
          <w:p>
            <w:r/>
            <w:r>
              <w:rPr>
                <w:sz w:val="18"/>
              </w:rPr>
              <w:t>Move-in creates utilities contract(s) and the contract account from category defaults + captured preferences</w:t>
            </w:r>
          </w:p>
        </w:tc>
      </w:tr>
      <w:tr>
        <w:tc>
          <w:tcPr>
            <w:tcW w:type="dxa" w:w="864"/>
            <w:shd w:val="clear" w:fill="DEEAF6"/>
          </w:tcPr>
          <w:p>
            <w:r/>
            <w:r>
              <w:rPr>
                <w:sz w:val="18"/>
              </w:rPr>
              <w:t>6</w:t>
            </w:r>
          </w:p>
        </w:tc>
        <w:tc>
          <w:tcPr>
            <w:tcW w:type="dxa" w:w="2160"/>
            <w:shd w:val="clear" w:fill="DEEAF6"/>
          </w:tcPr>
          <w:p>
            <w:r/>
            <w:r>
              <w:rPr>
                <w:sz w:val="18"/>
              </w:rPr>
              <w:t>S/4HANA → SC V2</w:t>
            </w:r>
          </w:p>
        </w:tc>
        <w:tc>
          <w:tcPr>
            <w:tcW w:type="dxa" w:w="6336"/>
            <w:shd w:val="clear" w:fill="DEEAF6"/>
          </w:tcPr>
          <w:p>
            <w:r/>
            <w:r>
              <w:rPr>
                <w:sz w:val="18"/>
              </w:rPr>
              <w:t>Confirmation event updates the SC V2 case; Customer 360 now shows CA, premise and contract; welcome correspondence issued</w:t>
            </w:r>
          </w:p>
        </w:tc>
      </w:tr>
    </w:tbl>
    <w:p>
      <w:pPr>
        <w:spacing w:after="40"/>
      </w:pPr>
    </w:p>
    <w:p>
      <w:pPr>
        <w:pStyle w:val="Heading2"/>
      </w:pPr>
      <w:r>
        <w:t>4.2 Master Data Change from the Front Office</w:t>
      </w:r>
    </w:p>
    <w:p>
      <w:pPr>
        <w:pStyle w:val="ListNumber"/>
      </w:pPr>
      <w:r>
        <w:t>Agent identifies and verifies the customer (CS-01 verification policy).</w:t>
      </w:r>
    </w:p>
    <w:p>
      <w:pPr>
        <w:pStyle w:val="ListNumber"/>
      </w:pPr>
      <w:r>
        <w:t>Agent opens the relevant guided action (contact update, mailing address, bank details, billing preference).</w:t>
      </w:r>
    </w:p>
    <w:p>
      <w:pPr>
        <w:pStyle w:val="ListNumber"/>
      </w:pPr>
      <w:r>
        <w:t>SC V2 validates input (postal validation, IBAN check) and posts the change to S/4HANA synchronously.</w:t>
      </w:r>
    </w:p>
    <w:p>
      <w:pPr>
        <w:pStyle w:val="ListNumber"/>
      </w:pPr>
      <w:r>
        <w:t>S/4HANA applies business validations; errors return to the agent immediately with correction guidance.</w:t>
      </w:r>
    </w:p>
    <w:p>
      <w:pPr>
        <w:pStyle w:val="ListNumber"/>
      </w:pPr>
      <w:r>
        <w:t>Change confirmation is written to the customer timeline; protected changes route to the Master Data Specialist work list instead of posting directly.</w:t>
      </w:r>
    </w:p>
    <w:p>
      <w:pPr>
        <w:pStyle w:val="Heading2"/>
      </w:pPr>
      <w:r>
        <w:t>4.3 Replication Error Handling</w:t>
      </w:r>
    </w:p>
    <w:p>
      <w:pPr>
        <w:pStyle w:val="ListBullet"/>
      </w:pPr>
      <w:r>
        <w:t>Failed replications (either direction) are retried automatically; persistent failures create a data quality work item for the Master Data Specialist (integration monitoring per CS-01 exception principles).</w:t>
      </w:r>
    </w:p>
    <w:p>
      <w:pPr>
        <w:pStyle w:val="ListBullet"/>
      </w:pPr>
      <w:r>
        <w:t>ID mapping is the integrity anchor: SC V2 customer ↔ S/4HANA BP number; a reconciliation report compares counts and key attributes weekly.</w:t>
      </w:r>
    </w:p>
    <w:p>
      <w:pPr>
        <w:pStyle w:val="ListBullet"/>
      </w:pPr>
      <w:r>
        <w:t>No local correction of replicated fields in SC V2: fixes are applied in the system of record and re-replicated.</w:t>
      </w:r>
    </w:p>
    <w:p>
      <w:r>
        <w:br w:type="page"/>
      </w:r>
    </w:p>
    <w:p>
      <w:pPr>
        <w:pStyle w:val="Heading1"/>
      </w:pPr>
      <w:r>
        <w:t>5. S/4HANA Configuration Details</w:t>
      </w:r>
    </w:p>
    <w:p>
      <w:r>
        <w:rPr>
          <w:b w:val="0"/>
        </w:rPr>
        <w:t>Configuration baseline to be detailed in the configuration workbook. IMG paths abbreviated (SPRO → Cross-Application Components / Financial Accounting (FI-CA) / SAP Utilities).</w:t>
      </w:r>
    </w:p>
    <w:p>
      <w:pPr>
        <w:pStyle w:val="Heading2"/>
      </w:pPr>
      <w:r>
        <w:t>5.1 Business Partner Configuration</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304"/>
            <w:shd w:val="clear" w:fill="1F4E79"/>
          </w:tcPr>
          <w:p>
            <w:r/>
            <w:r>
              <w:rPr>
                <w:b/>
                <w:color w:val="FFFFFF"/>
                <w:sz w:val="18"/>
              </w:rPr>
              <w:t>Config Object</w:t>
            </w:r>
          </w:p>
        </w:tc>
        <w:tc>
          <w:tcPr>
            <w:tcW w:type="dxa" w:w="4176"/>
            <w:shd w:val="clear" w:fill="1F4E79"/>
          </w:tcPr>
          <w:p>
            <w:r/>
            <w:r>
              <w:rPr>
                <w:b/>
                <w:color w:val="FFFFFF"/>
                <w:sz w:val="18"/>
              </w:rPr>
              <w:t>Design Baseline</w:t>
            </w:r>
          </w:p>
        </w:tc>
        <w:tc>
          <w:tcPr>
            <w:tcW w:type="dxa" w:w="2880"/>
            <w:shd w:val="clear" w:fill="1F4E79"/>
          </w:tcPr>
          <w:p>
            <w:r/>
            <w:r>
              <w:rPr>
                <w:b/>
                <w:color w:val="FFFFFF"/>
                <w:sz w:val="18"/>
              </w:rPr>
              <w:t>IMG / Note</w:t>
            </w:r>
          </w:p>
        </w:tc>
      </w:tr>
      <w:tr>
        <w:tc>
          <w:tcPr>
            <w:tcW w:type="dxa" w:w="2304"/>
          </w:tcPr>
          <w:p>
            <w:r/>
            <w:r>
              <w:rPr>
                <w:sz w:val="18"/>
              </w:rPr>
              <w:t>BP categories</w:t>
            </w:r>
          </w:p>
        </w:tc>
        <w:tc>
          <w:tcPr>
            <w:tcW w:type="dxa" w:w="4176"/>
          </w:tcPr>
          <w:p>
            <w:r/>
            <w:r>
              <w:rPr>
                <w:sz w:val="18"/>
              </w:rPr>
              <w:t>Person, Organization, Group activated (standard)</w:t>
            </w:r>
          </w:p>
        </w:tc>
        <w:tc>
          <w:tcPr>
            <w:tcW w:type="dxa" w:w="2880"/>
          </w:tcPr>
          <w:p>
            <w:r/>
            <w:r>
              <w:rPr>
                <w:sz w:val="18"/>
              </w:rPr>
              <w:t>Cross-App Components → SAP Business Partner</w:t>
            </w:r>
          </w:p>
        </w:tc>
      </w:tr>
      <w:tr>
        <w:tc>
          <w:tcPr>
            <w:tcW w:type="dxa" w:w="2304"/>
            <w:shd w:val="clear" w:fill="DEEAF6"/>
          </w:tcPr>
          <w:p>
            <w:r/>
            <w:r>
              <w:rPr>
                <w:sz w:val="18"/>
              </w:rPr>
              <w:t>BP groupings &amp; number ranges</w:t>
            </w:r>
          </w:p>
        </w:tc>
        <w:tc>
          <w:tcPr>
            <w:tcW w:type="dxa" w:w="4176"/>
            <w:shd w:val="clear" w:fill="DEEAF6"/>
          </w:tcPr>
          <w:p>
            <w:r/>
            <w:r>
              <w:rPr>
                <w:sz w:val="18"/>
              </w:rPr>
              <w:t>ZRES/ZCOM/ZPRO internal; ZEXT external (Section 2.2)</w:t>
            </w:r>
          </w:p>
        </w:tc>
        <w:tc>
          <w:tcPr>
            <w:tcW w:type="dxa" w:w="2880"/>
            <w:shd w:val="clear" w:fill="DEEAF6"/>
          </w:tcPr>
          <w:p>
            <w:r/>
            <w:r>
              <w:rPr>
                <w:sz w:val="18"/>
              </w:rPr>
              <w:t>Number ranges sized for customer volumes + migration</w:t>
            </w:r>
          </w:p>
        </w:tc>
      </w:tr>
      <w:tr>
        <w:tc>
          <w:tcPr>
            <w:tcW w:type="dxa" w:w="2304"/>
          </w:tcPr>
          <w:p>
            <w:r/>
            <w:r>
              <w:rPr>
                <w:sz w:val="18"/>
              </w:rPr>
              <w:t>BP roles</w:t>
            </w:r>
          </w:p>
        </w:tc>
        <w:tc>
          <w:tcPr>
            <w:tcW w:type="dxa" w:w="4176"/>
          </w:tcPr>
          <w:p>
            <w:r/>
            <w:r>
              <w:rPr>
                <w:sz w:val="18"/>
              </w:rPr>
              <w:t>000000, MKK mandatory; contact person relationship categories; FLCU roles only if non-utility billing confirmed</w:t>
            </w:r>
          </w:p>
        </w:tc>
        <w:tc>
          <w:tcPr>
            <w:tcW w:type="dxa" w:w="2880"/>
          </w:tcPr>
          <w:p>
            <w:r/>
            <w:r>
              <w:rPr>
                <w:sz w:val="18"/>
              </w:rPr>
              <w:t>Role grouping per business role authorization</w:t>
            </w:r>
          </w:p>
        </w:tc>
      </w:tr>
      <w:tr>
        <w:tc>
          <w:tcPr>
            <w:tcW w:type="dxa" w:w="2304"/>
            <w:shd w:val="clear" w:fill="DEEAF6"/>
          </w:tcPr>
          <w:p>
            <w:r/>
            <w:r>
              <w:rPr>
                <w:sz w:val="18"/>
              </w:rPr>
              <w:t>Field groupings / screen control</w:t>
            </w:r>
          </w:p>
        </w:tc>
        <w:tc>
          <w:tcPr>
            <w:tcW w:type="dxa" w:w="4176"/>
            <w:shd w:val="clear" w:fill="DEEAF6"/>
          </w:tcPr>
          <w:p>
            <w:r/>
            <w:r>
              <w:rPr>
                <w:sz w:val="18"/>
              </w:rPr>
              <w:t>Mandatory: name, standard address, one communication method; DOB mandatory for persons (verification policy)</w:t>
            </w:r>
          </w:p>
        </w:tc>
        <w:tc>
          <w:tcPr>
            <w:tcW w:type="dxa" w:w="2880"/>
            <w:shd w:val="clear" w:fill="DEEAF6"/>
          </w:tcPr>
          <w:p>
            <w:r/>
            <w:r>
              <w:rPr>
                <w:sz w:val="18"/>
              </w:rPr>
              <w:t>Field attributes per BP role/activity</w:t>
            </w:r>
          </w:p>
        </w:tc>
      </w:tr>
      <w:tr>
        <w:tc>
          <w:tcPr>
            <w:tcW w:type="dxa" w:w="2304"/>
          </w:tcPr>
          <w:p>
            <w:r/>
            <w:r>
              <w:rPr>
                <w:sz w:val="18"/>
              </w:rPr>
              <w:t>Address &amp; communication types</w:t>
            </w:r>
          </w:p>
        </w:tc>
        <w:tc>
          <w:tcPr>
            <w:tcW w:type="dxa" w:w="4176"/>
          </w:tcPr>
          <w:p>
            <w:r/>
            <w:r>
              <w:rPr>
                <w:sz w:val="18"/>
              </w:rPr>
              <w:t>Standard + correspondence address types; postal validation via address service</w:t>
            </w:r>
          </w:p>
        </w:tc>
        <w:tc>
          <w:tcPr>
            <w:tcW w:type="dxa" w:w="2880"/>
          </w:tcPr>
          <w:p>
            <w:r/>
            <w:r>
              <w:rPr>
                <w:sz w:val="18"/>
              </w:rPr>
              <w:t>Regional structure per country</w:t>
            </w:r>
          </w:p>
        </w:tc>
      </w:tr>
      <w:tr>
        <w:tc>
          <w:tcPr>
            <w:tcW w:type="dxa" w:w="2304"/>
            <w:shd w:val="clear" w:fill="DEEAF6"/>
          </w:tcPr>
          <w:p>
            <w:r/>
            <w:r>
              <w:rPr>
                <w:sz w:val="18"/>
              </w:rPr>
              <w:t>Identification types</w:t>
            </w:r>
          </w:p>
        </w:tc>
        <w:tc>
          <w:tcPr>
            <w:tcW w:type="dxa" w:w="4176"/>
            <w:shd w:val="clear" w:fill="DEEAF6"/>
          </w:tcPr>
          <w:p>
            <w:r/>
            <w:r>
              <w:rPr>
                <w:sz w:val="18"/>
              </w:rPr>
              <w:t>ZLEGACY (legacy CIS no.), ZGOVID (government ID), market IDs as applicable</w:t>
            </w:r>
          </w:p>
        </w:tc>
        <w:tc>
          <w:tcPr>
            <w:tcW w:type="dxa" w:w="2880"/>
            <w:shd w:val="clear" w:fill="DEEAF6"/>
          </w:tcPr>
          <w:p>
            <w:r/>
            <w:r>
              <w:rPr>
                <w:sz w:val="18"/>
              </w:rPr>
              <w:t>Used for migration cross-reference &amp; search</w:t>
            </w:r>
          </w:p>
        </w:tc>
      </w:tr>
      <w:tr>
        <w:tc>
          <w:tcPr>
            <w:tcW w:type="dxa" w:w="2304"/>
          </w:tcPr>
          <w:p>
            <w:r/>
            <w:r>
              <w:rPr>
                <w:sz w:val="18"/>
              </w:rPr>
              <w:t>Relationship categories</w:t>
            </w:r>
          </w:p>
        </w:tc>
        <w:tc>
          <w:tcPr>
            <w:tcW w:type="dxa" w:w="4176"/>
          </w:tcPr>
          <w:p>
            <w:r/>
            <w:r>
              <w:rPr>
                <w:sz w:val="18"/>
              </w:rPr>
              <w:t>Contact person, spouse/co-applicant, landlord–tenant, authorized third party</w:t>
            </w:r>
          </w:p>
        </w:tc>
        <w:tc>
          <w:tcPr>
            <w:tcW w:type="dxa" w:w="2880"/>
          </w:tcPr>
          <w:p>
            <w:r/>
            <w:r>
              <w:rPr>
                <w:sz w:val="18"/>
              </w:rPr>
              <w:t>Landlord–tenant feeds owner allocation</w:t>
            </w:r>
          </w:p>
        </w:tc>
      </w:tr>
      <w:tr>
        <w:tc>
          <w:tcPr>
            <w:tcW w:type="dxa" w:w="2304"/>
            <w:shd w:val="clear" w:fill="DEEAF6"/>
          </w:tcPr>
          <w:p>
            <w:r/>
            <w:r>
              <w:rPr>
                <w:sz w:val="18"/>
              </w:rPr>
              <w:t>Duplicate check</w:t>
            </w:r>
          </w:p>
        </w:tc>
        <w:tc>
          <w:tcPr>
            <w:tcW w:type="dxa" w:w="4176"/>
            <w:shd w:val="clear" w:fill="DEEAF6"/>
          </w:tcPr>
          <w:p>
            <w:r/>
            <w:r>
              <w:rPr>
                <w:sz w:val="18"/>
              </w:rPr>
              <w:t>BP duplicate check active on name+DOB+address (person) / name+address (org); threshold tuned in test</w:t>
            </w:r>
          </w:p>
        </w:tc>
        <w:tc>
          <w:tcPr>
            <w:tcW w:type="dxa" w:w="2880"/>
            <w:shd w:val="clear" w:fill="DEEAF6"/>
          </w:tcPr>
          <w:p>
            <w:r/>
            <w:r>
              <w:rPr>
                <w:sz w:val="18"/>
              </w:rPr>
              <w:t>Search engine-based fuzzy matching</w:t>
            </w:r>
          </w:p>
        </w:tc>
      </w:tr>
      <w:tr>
        <w:tc>
          <w:tcPr>
            <w:tcW w:type="dxa" w:w="2304"/>
          </w:tcPr>
          <w:p>
            <w:r/>
            <w:r>
              <w:rPr>
                <w:sz w:val="18"/>
              </w:rPr>
              <w:t>Data protection</w:t>
            </w:r>
          </w:p>
        </w:tc>
        <w:tc>
          <w:tcPr>
            <w:tcW w:type="dxa" w:w="4176"/>
          </w:tcPr>
          <w:p>
            <w:r/>
            <w:r>
              <w:rPr>
                <w:sz w:val="18"/>
              </w:rPr>
              <w:t>End-of-purpose / blocking configured per retention policy; read access logging for sensitive fields</w:t>
            </w:r>
          </w:p>
        </w:tc>
        <w:tc>
          <w:tcPr>
            <w:tcW w:type="dxa" w:w="2880"/>
          </w:tcPr>
          <w:p>
            <w:r/>
            <w:r>
              <w:rPr>
                <w:sz w:val="18"/>
              </w:rPr>
              <w:t>ILM objects for BP</w:t>
            </w:r>
          </w:p>
        </w:tc>
      </w:tr>
    </w:tbl>
    <w:p>
      <w:pPr>
        <w:spacing w:after="40"/>
      </w:pPr>
    </w:p>
    <w:p>
      <w:pPr>
        <w:pStyle w:val="Heading2"/>
      </w:pPr>
      <w:r>
        <w:t>5.2 Contract Account (FI-CA) Configuration</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304"/>
            <w:shd w:val="clear" w:fill="1F4E79"/>
          </w:tcPr>
          <w:p>
            <w:r/>
            <w:r>
              <w:rPr>
                <w:b/>
                <w:color w:val="FFFFFF"/>
                <w:sz w:val="18"/>
              </w:rPr>
              <w:t>Config Object</w:t>
            </w:r>
          </w:p>
        </w:tc>
        <w:tc>
          <w:tcPr>
            <w:tcW w:type="dxa" w:w="4176"/>
            <w:shd w:val="clear" w:fill="1F4E79"/>
          </w:tcPr>
          <w:p>
            <w:r/>
            <w:r>
              <w:rPr>
                <w:b/>
                <w:color w:val="FFFFFF"/>
                <w:sz w:val="18"/>
              </w:rPr>
              <w:t>Design Baseline</w:t>
            </w:r>
          </w:p>
        </w:tc>
        <w:tc>
          <w:tcPr>
            <w:tcW w:type="dxa" w:w="2880"/>
            <w:shd w:val="clear" w:fill="1F4E79"/>
          </w:tcPr>
          <w:p>
            <w:r/>
            <w:r>
              <w:rPr>
                <w:b/>
                <w:color w:val="FFFFFF"/>
                <w:sz w:val="18"/>
              </w:rPr>
              <w:t>Note</w:t>
            </w:r>
          </w:p>
        </w:tc>
      </w:tr>
      <w:tr>
        <w:tc>
          <w:tcPr>
            <w:tcW w:type="dxa" w:w="2304"/>
          </w:tcPr>
          <w:p>
            <w:r/>
            <w:r>
              <w:rPr>
                <w:sz w:val="18"/>
              </w:rPr>
              <w:t>Contract account categories</w:t>
            </w:r>
          </w:p>
        </w:tc>
        <w:tc>
          <w:tcPr>
            <w:tcW w:type="dxa" w:w="4176"/>
          </w:tcPr>
          <w:p>
            <w:r/>
            <w:r>
              <w:rPr>
                <w:sz w:val="18"/>
              </w:rPr>
              <w:t>ZR Residential, ZC Commercial, ZP Prepay, ZT Technical — with number ranges and screen variants</w:t>
            </w:r>
          </w:p>
        </w:tc>
        <w:tc>
          <w:tcPr>
            <w:tcW w:type="dxa" w:w="2880"/>
          </w:tcPr>
          <w:p>
            <w:r/>
            <w:r>
              <w:rPr>
                <w:sz w:val="18"/>
              </w:rPr>
              <w:t>One-time definition; drives defaults below</w:t>
            </w:r>
          </w:p>
        </w:tc>
      </w:tr>
      <w:tr>
        <w:tc>
          <w:tcPr>
            <w:tcW w:type="dxa" w:w="2304"/>
            <w:shd w:val="clear" w:fill="DEEAF6"/>
          </w:tcPr>
          <w:p>
            <w:r/>
            <w:r>
              <w:rPr>
                <w:sz w:val="18"/>
              </w:rPr>
              <w:t>Number ranges</w:t>
            </w:r>
          </w:p>
        </w:tc>
        <w:tc>
          <w:tcPr>
            <w:tcW w:type="dxa" w:w="4176"/>
            <w:shd w:val="clear" w:fill="DEEAF6"/>
          </w:tcPr>
          <w:p>
            <w:r/>
            <w:r>
              <w:rPr>
                <w:sz w:val="18"/>
              </w:rPr>
              <w:t>Internal per category; migration range reserved</w:t>
            </w:r>
          </w:p>
        </w:tc>
        <w:tc>
          <w:tcPr>
            <w:tcW w:type="dxa" w:w="2880"/>
            <w:shd w:val="clear" w:fill="DEEAF6"/>
          </w:tcPr>
          <w:p>
            <w:r/>
            <w:r>
              <w:rPr>
                <w:sz w:val="18"/>
              </w:rPr>
              <w:t>Sized for volumes</w:t>
            </w:r>
          </w:p>
        </w:tc>
      </w:tr>
      <w:tr>
        <w:tc>
          <w:tcPr>
            <w:tcW w:type="dxa" w:w="2304"/>
          </w:tcPr>
          <w:p>
            <w:r/>
            <w:r>
              <w:rPr>
                <w:sz w:val="18"/>
              </w:rPr>
              <w:t>Account determination IDs</w:t>
            </w:r>
          </w:p>
        </w:tc>
        <w:tc>
          <w:tcPr>
            <w:tcW w:type="dxa" w:w="4176"/>
          </w:tcPr>
          <w:p>
            <w:r/>
            <w:r>
              <w:rPr>
                <w:sz w:val="18"/>
              </w:rPr>
              <w:t>Per category/division per FI-CA G/L design</w:t>
            </w:r>
          </w:p>
        </w:tc>
        <w:tc>
          <w:tcPr>
            <w:tcW w:type="dxa" w:w="2880"/>
          </w:tcPr>
          <w:p>
            <w:r/>
            <w:r>
              <w:rPr>
                <w:sz w:val="18"/>
              </w:rPr>
              <w:t>Aligned with Finance BPD</w:t>
            </w:r>
          </w:p>
        </w:tc>
      </w:tr>
      <w:tr>
        <w:tc>
          <w:tcPr>
            <w:tcW w:type="dxa" w:w="2304"/>
            <w:shd w:val="clear" w:fill="DEEAF6"/>
          </w:tcPr>
          <w:p>
            <w:r/>
            <w:r>
              <w:rPr>
                <w:sz w:val="18"/>
              </w:rPr>
              <w:t>Payment terms</w:t>
            </w:r>
          </w:p>
        </w:tc>
        <w:tc>
          <w:tcPr>
            <w:tcW w:type="dxa" w:w="4176"/>
            <w:shd w:val="clear" w:fill="DEEAF6"/>
          </w:tcPr>
          <w:p>
            <w:r/>
            <w:r>
              <w:rPr>
                <w:sz w:val="18"/>
              </w:rPr>
              <w:t>Residential regulatory default; commercial per contract; CSDD override terms for enrolled accounts</w:t>
            </w:r>
          </w:p>
        </w:tc>
        <w:tc>
          <w:tcPr>
            <w:tcW w:type="dxa" w:w="2880"/>
            <w:shd w:val="clear" w:fill="DEEAF6"/>
          </w:tcPr>
          <w:p>
            <w:r/>
            <w:r>
              <w:rPr>
                <w:sz w:val="18"/>
              </w:rPr>
              <w:t>CSDD linkage per Enrollment Center design</w:t>
            </w:r>
          </w:p>
        </w:tc>
      </w:tr>
      <w:tr>
        <w:tc>
          <w:tcPr>
            <w:tcW w:type="dxa" w:w="2304"/>
          </w:tcPr>
          <w:p>
            <w:r/>
            <w:r>
              <w:rPr>
                <w:sz w:val="18"/>
              </w:rPr>
              <w:t>Payment methods (in/out)</w:t>
            </w:r>
          </w:p>
        </w:tc>
        <w:tc>
          <w:tcPr>
            <w:tcW w:type="dxa" w:w="4176"/>
          </w:tcPr>
          <w:p>
            <w:r/>
            <w:r>
              <w:rPr>
                <w:sz w:val="18"/>
              </w:rPr>
              <w:t>Direct debit, card (token), cash/check inbound; bank transfer/check outbound</w:t>
            </w:r>
          </w:p>
        </w:tc>
        <w:tc>
          <w:tcPr>
            <w:tcW w:type="dxa" w:w="2880"/>
          </w:tcPr>
          <w:p>
            <w:r/>
            <w:r>
              <w:rPr>
                <w:sz w:val="18"/>
              </w:rPr>
              <w:t>Mandate management for direct debit</w:t>
            </w:r>
          </w:p>
        </w:tc>
      </w:tr>
      <w:tr>
        <w:tc>
          <w:tcPr>
            <w:tcW w:type="dxa" w:w="2304"/>
            <w:shd w:val="clear" w:fill="DEEAF6"/>
          </w:tcPr>
          <w:p>
            <w:r/>
            <w:r>
              <w:rPr>
                <w:sz w:val="18"/>
              </w:rPr>
              <w:t>Dunning procedures</w:t>
            </w:r>
          </w:p>
        </w:tc>
        <w:tc>
          <w:tcPr>
            <w:tcW w:type="dxa" w:w="4176"/>
            <w:shd w:val="clear" w:fill="DEEAF6"/>
          </w:tcPr>
          <w:p>
            <w:r/>
            <w:r>
              <w:rPr>
                <w:sz w:val="18"/>
              </w:rPr>
              <w:t>ZDUNR residential, ZDUNC commercial, ZDUNM protected-customer variant</w:t>
            </w:r>
          </w:p>
        </w:tc>
        <w:tc>
          <w:tcPr>
            <w:tcW w:type="dxa" w:w="2880"/>
            <w:shd w:val="clear" w:fill="DEEAF6"/>
          </w:tcPr>
          <w:p>
            <w:r/>
            <w:r>
              <w:rPr>
                <w:sz w:val="18"/>
              </w:rPr>
              <w:t>Disconnection steps per regulation; medical/life-support restrictions</w:t>
            </w:r>
          </w:p>
        </w:tc>
      </w:tr>
      <w:tr>
        <w:tc>
          <w:tcPr>
            <w:tcW w:type="dxa" w:w="2304"/>
          </w:tcPr>
          <w:p>
            <w:r/>
            <w:r>
              <w:rPr>
                <w:sz w:val="18"/>
              </w:rPr>
              <w:t>Interest keys &amp; charge schedules</w:t>
            </w:r>
          </w:p>
        </w:tc>
        <w:tc>
          <w:tcPr>
            <w:tcW w:type="dxa" w:w="4176"/>
          </w:tcPr>
          <w:p>
            <w:r/>
            <w:r>
              <w:rPr>
                <w:sz w:val="18"/>
              </w:rPr>
              <w:t>Late-payment interest and fee rules per tariff/regulation</w:t>
            </w:r>
          </w:p>
        </w:tc>
        <w:tc>
          <w:tcPr>
            <w:tcW w:type="dxa" w:w="2880"/>
          </w:tcPr>
          <w:p>
            <w:r/>
            <w:r>
              <w:rPr>
                <w:sz w:val="18"/>
              </w:rPr>
            </w:r>
          </w:p>
        </w:tc>
      </w:tr>
      <w:tr>
        <w:tc>
          <w:tcPr>
            <w:tcW w:type="dxa" w:w="2304"/>
            <w:shd w:val="clear" w:fill="DEEAF6"/>
          </w:tcPr>
          <w:p>
            <w:r/>
            <w:r>
              <w:rPr>
                <w:sz w:val="18"/>
              </w:rPr>
              <w:t>Clearing categories / variants</w:t>
            </w:r>
          </w:p>
        </w:tc>
        <w:tc>
          <w:tcPr>
            <w:tcW w:type="dxa" w:w="4176"/>
            <w:shd w:val="clear" w:fill="DEEAF6"/>
          </w:tcPr>
          <w:p>
            <w:r/>
            <w:r>
              <w:rPr>
                <w:sz w:val="18"/>
              </w:rPr>
              <w:t>Payment allocation oldest-first per receivable type; division-level rules</w:t>
            </w:r>
          </w:p>
        </w:tc>
        <w:tc>
          <w:tcPr>
            <w:tcW w:type="dxa" w:w="2880"/>
            <w:shd w:val="clear" w:fill="DEEAF6"/>
          </w:tcPr>
          <w:p>
            <w:r/>
            <w:r>
              <w:rPr>
                <w:sz w:val="18"/>
              </w:rPr>
              <w:t>Per FI-CA design workshop</w:t>
            </w:r>
          </w:p>
        </w:tc>
      </w:tr>
      <w:tr>
        <w:tc>
          <w:tcPr>
            <w:tcW w:type="dxa" w:w="2304"/>
          </w:tcPr>
          <w:p>
            <w:r/>
            <w:r>
              <w:rPr>
                <w:sz w:val="18"/>
              </w:rPr>
              <w:t>Correspondence variants</w:t>
            </w:r>
          </w:p>
        </w:tc>
        <w:tc>
          <w:tcPr>
            <w:tcW w:type="dxa" w:w="4176"/>
          </w:tcPr>
          <w:p>
            <w:r/>
            <w:r>
              <w:rPr>
                <w:sz w:val="18"/>
              </w:rPr>
              <w:t>Print vs. eBill; correspondence types for bill, dunning, payment forms</w:t>
            </w:r>
          </w:p>
        </w:tc>
        <w:tc>
          <w:tcPr>
            <w:tcW w:type="dxa" w:w="2880"/>
          </w:tcPr>
          <w:p>
            <w:r/>
            <w:r>
              <w:rPr>
                <w:sz w:val="18"/>
              </w:rPr>
              <w:t>Output management channel per preference</w:t>
            </w:r>
          </w:p>
        </w:tc>
      </w:tr>
      <w:tr>
        <w:tc>
          <w:tcPr>
            <w:tcW w:type="dxa" w:w="2304"/>
            <w:shd w:val="clear" w:fill="DEEAF6"/>
          </w:tcPr>
          <w:p>
            <w:r/>
            <w:r>
              <w:rPr>
                <w:sz w:val="18"/>
              </w:rPr>
              <w:t>Locks &amp; lock reasons</w:t>
            </w:r>
          </w:p>
        </w:tc>
        <w:tc>
          <w:tcPr>
            <w:tcW w:type="dxa" w:w="4176"/>
            <w:shd w:val="clear" w:fill="DEEAF6"/>
          </w:tcPr>
          <w:p>
            <w:r/>
            <w:r>
              <w:rPr>
                <w:sz w:val="18"/>
              </w:rPr>
              <w:t>Standardized reason codes for posting/payment/dunning/invoicing locks; program-set locks (DPP) flagged distinctly</w:t>
            </w:r>
          </w:p>
        </w:tc>
        <w:tc>
          <w:tcPr>
            <w:tcW w:type="dxa" w:w="2880"/>
            <w:shd w:val="clear" w:fill="DEEAF6"/>
          </w:tcPr>
          <w:p>
            <w:r/>
            <w:r>
              <w:rPr>
                <w:sz w:val="18"/>
              </w:rPr>
              <w:t>Reporting on program vs. manual locks</w:t>
            </w:r>
          </w:p>
        </w:tc>
      </w:tr>
      <w:tr>
        <w:tc>
          <w:tcPr>
            <w:tcW w:type="dxa" w:w="2304"/>
          </w:tcPr>
          <w:p>
            <w:r/>
            <w:r>
              <w:rPr>
                <w:sz w:val="18"/>
              </w:rPr>
              <w:t>Installment plan / budget billing</w:t>
            </w:r>
          </w:p>
        </w:tc>
        <w:tc>
          <w:tcPr>
            <w:tcW w:type="dxa" w:w="4176"/>
          </w:tcPr>
          <w:p>
            <w:r/>
            <w:r>
              <w:rPr>
                <w:sz w:val="18"/>
              </w:rPr>
              <w:t>Installment plan categories for DPP; budget billing procedure per market</w:t>
            </w:r>
          </w:p>
        </w:tc>
        <w:tc>
          <w:tcPr>
            <w:tcW w:type="dxa" w:w="2880"/>
          </w:tcPr>
          <w:p>
            <w:r/>
            <w:r>
              <w:rPr>
                <w:sz w:val="18"/>
              </w:rPr>
              <w:t>DPP parameters per program spec</w:t>
            </w:r>
          </w:p>
        </w:tc>
      </w:tr>
      <w:tr>
        <w:tc>
          <w:tcPr>
            <w:tcW w:type="dxa" w:w="2304"/>
            <w:shd w:val="clear" w:fill="DEEAF6"/>
          </w:tcPr>
          <w:p>
            <w:r/>
            <w:r>
              <w:rPr>
                <w:sz w:val="18"/>
              </w:rPr>
              <w:t>BPEM (EMMA) cases</w:t>
            </w:r>
          </w:p>
        </w:tc>
        <w:tc>
          <w:tcPr>
            <w:tcW w:type="dxa" w:w="4176"/>
            <w:shd w:val="clear" w:fill="DEEAF6"/>
          </w:tcPr>
          <w:p>
            <w:r/>
            <w:r>
              <w:rPr>
                <w:sz w:val="18"/>
              </w:rPr>
              <w:t>Case categories for master data quality and replication errors</w:t>
            </w:r>
          </w:p>
        </w:tc>
        <w:tc>
          <w:tcPr>
            <w:tcW w:type="dxa" w:w="2880"/>
            <w:shd w:val="clear" w:fill="DEEAF6"/>
          </w:tcPr>
          <w:p>
            <w:r/>
            <w:r>
              <w:rPr>
                <w:sz w:val="18"/>
              </w:rPr>
              <w:t>Feeds back office work lists</w:t>
            </w:r>
          </w:p>
        </w:tc>
      </w:tr>
    </w:tbl>
    <w:p>
      <w:pPr>
        <w:spacing w:after="40"/>
      </w:pPr>
    </w:p>
    <w:p>
      <w:pPr>
        <w:pStyle w:val="Heading2"/>
      </w:pPr>
      <w:r>
        <w:t>5.3 Integration-Relevant S/4HANA Configuration</w:t>
      </w:r>
    </w:p>
    <w:p>
      <w:pPr>
        <w:pStyle w:val="ListBullet"/>
      </w:pPr>
      <w:r>
        <w:t>Communication systems and arrangements for SC V2 / BTP consumption of BP, contract account and utilities context APIs (dedicated communication users per interface, least privilege).</w:t>
      </w:r>
    </w:p>
    <w:p>
      <w:pPr>
        <w:pStyle w:val="ListBullet"/>
      </w:pPr>
      <w:r>
        <w:t>Business events enabled for BP change, move-in completion, contract account change (Event Mesh channel per Enrollment Center design).</w:t>
      </w:r>
    </w:p>
    <w:p>
      <w:pPr>
        <w:pStyle w:val="ListBullet"/>
      </w:pPr>
      <w:r>
        <w:t>ID mapping / key mapping maintained for SC V2 customer ↔ BP; legacy CIS number kept as BP identification type for search and migration audit.</w:t>
      </w:r>
    </w:p>
    <w:p>
      <w:pPr>
        <w:pStyle w:val="ListBullet"/>
      </w:pPr>
      <w:r>
        <w:t>Released OData APIs activated: Business Partner (API_BUSINESS_PARTNER), contract account and utilities master data services; custom read facades only where released APIs have gaps (governed as WRICEF).</w:t>
      </w:r>
    </w:p>
    <w:p>
      <w:pPr>
        <w:pStyle w:val="Heading1"/>
      </w:pPr>
      <w:r>
        <w:t>6. Service Cloud V2 Configuration Details</w:t>
      </w:r>
    </w:p>
    <w:tbl>
      <w:tblPr>
        <w:tblStyle w:val="TableGrid"/>
        <w:tblW w:type="auto" w:w="0"/>
        <w:jc w:val="center"/>
        <w:tblLayout w:type="fixed"/>
        <w:tblLook w:firstColumn="1" w:firstRow="1" w:lastColumn="0" w:lastRow="0" w:noHBand="0" w:noVBand="1" w:val="04A0"/>
      </w:tblPr>
      <w:tblGrid>
        <w:gridCol w:w="4320"/>
        <w:gridCol w:w="4320"/>
      </w:tblGrid>
      <w:tr>
        <w:tc>
          <w:tcPr>
            <w:tcW w:type="dxa" w:w="2736"/>
            <w:shd w:val="clear" w:fill="1F4E79"/>
          </w:tcPr>
          <w:p>
            <w:r/>
            <w:r>
              <w:rPr>
                <w:b/>
                <w:color w:val="FFFFFF"/>
                <w:sz w:val="19"/>
              </w:rPr>
              <w:t>Config Area</w:t>
            </w:r>
          </w:p>
        </w:tc>
        <w:tc>
          <w:tcPr>
            <w:tcW w:type="dxa" w:w="6624"/>
            <w:shd w:val="clear" w:fill="1F4E79"/>
          </w:tcPr>
          <w:p>
            <w:r/>
            <w:r>
              <w:rPr>
                <w:b/>
                <w:color w:val="FFFFFF"/>
                <w:sz w:val="19"/>
              </w:rPr>
              <w:t>Design Baseline</w:t>
            </w:r>
          </w:p>
        </w:tc>
      </w:tr>
      <w:tr>
        <w:tc>
          <w:tcPr>
            <w:tcW w:type="dxa" w:w="2736"/>
          </w:tcPr>
          <w:p>
            <w:r/>
            <w:r>
              <w:rPr>
                <w:sz w:val="19"/>
              </w:rPr>
              <w:t>Customer model</w:t>
            </w:r>
          </w:p>
        </w:tc>
        <w:tc>
          <w:tcPr>
            <w:tcW w:type="dxa" w:w="6624"/>
          </w:tcPr>
          <w:p>
            <w:r/>
            <w:r>
              <w:rPr>
                <w:sz w:val="19"/>
              </w:rPr>
              <w:t>Individual Customer for persons; Account for organizations; prospect flag for not-yet-customers; BP number stored as external ID (key mapping)</w:t>
            </w:r>
          </w:p>
        </w:tc>
      </w:tr>
      <w:tr>
        <w:tc>
          <w:tcPr>
            <w:tcW w:type="dxa" w:w="2736"/>
            <w:shd w:val="clear" w:fill="DEEAF6"/>
          </w:tcPr>
          <w:p>
            <w:r/>
            <w:r>
              <w:rPr>
                <w:sz w:val="19"/>
              </w:rPr>
              <w:t>Field configuration &amp; extensions</w:t>
            </w:r>
          </w:p>
        </w:tc>
        <w:tc>
          <w:tcPr>
            <w:tcW w:type="dxa" w:w="6624"/>
            <w:shd w:val="clear" w:fill="DEEAF6"/>
          </w:tcPr>
          <w:p>
            <w:r/>
            <w:r>
              <w:rPr>
                <w:sz w:val="19"/>
              </w:rPr>
              <w:t>Mandatory fields aligned with S/4HANA BP field groupings (fail-fast in UI, not in replication); extension fields only for SC V2-local attributes (e.g., preferred contact window)</w:t>
            </w:r>
          </w:p>
        </w:tc>
      </w:tr>
      <w:tr>
        <w:tc>
          <w:tcPr>
            <w:tcW w:type="dxa" w:w="2736"/>
          </w:tcPr>
          <w:p>
            <w:r/>
            <w:r>
              <w:rPr>
                <w:sz w:val="19"/>
              </w:rPr>
              <w:t>Duplicate check</w:t>
            </w:r>
          </w:p>
        </w:tc>
        <w:tc>
          <w:tcPr>
            <w:tcW w:type="dxa" w:w="6624"/>
          </w:tcPr>
          <w:p>
            <w:r/>
            <w:r>
              <w:rPr>
                <w:sz w:val="19"/>
              </w:rPr>
              <w:t>SC V2 duplicate detection on create (name + address + email/phone); combined with backend search in the guided new-customer flow</w:t>
            </w:r>
          </w:p>
        </w:tc>
      </w:tr>
      <w:tr>
        <w:tc>
          <w:tcPr>
            <w:tcW w:type="dxa" w:w="2736"/>
            <w:shd w:val="clear" w:fill="DEEAF6"/>
          </w:tcPr>
          <w:p>
            <w:r/>
            <w:r>
              <w:rPr>
                <w:sz w:val="19"/>
              </w:rPr>
              <w:t>Code list mapping</w:t>
            </w:r>
          </w:p>
        </w:tc>
        <w:tc>
          <w:tcPr>
            <w:tcW w:type="dxa" w:w="6624"/>
            <w:shd w:val="clear" w:fill="DEEAF6"/>
          </w:tcPr>
          <w:p>
            <w:r/>
            <w:r>
              <w:rPr>
                <w:sz w:val="19"/>
              </w:rPr>
              <w:t>Value mappings SC V2 ↔ S/4HANA for salutation, address usage, communication types, ID types, marital status etc. (baseline from legacy C4C code list mapping workbook, revalidated for SC V2)</w:t>
            </w:r>
          </w:p>
        </w:tc>
      </w:tr>
      <w:tr>
        <w:tc>
          <w:tcPr>
            <w:tcW w:type="dxa" w:w="2736"/>
          </w:tcPr>
          <w:p>
            <w:r/>
            <w:r>
              <w:rPr>
                <w:sz w:val="19"/>
              </w:rPr>
              <w:t>Communication systems</w:t>
            </w:r>
          </w:p>
        </w:tc>
        <w:tc>
          <w:tcPr>
            <w:tcW w:type="dxa" w:w="6624"/>
          </w:tcPr>
          <w:p>
            <w:r/>
            <w:r>
              <w:rPr>
                <w:sz w:val="19"/>
              </w:rPr>
              <w:t>S/4HANA Utilities and BTP Enrollment Service registered; OAuth2 credentials via destination configuration; utilities add-on connection for Customer 360 federation</w:t>
            </w:r>
          </w:p>
        </w:tc>
      </w:tr>
      <w:tr>
        <w:tc>
          <w:tcPr>
            <w:tcW w:type="dxa" w:w="2736"/>
            <w:shd w:val="clear" w:fill="DEEAF6"/>
          </w:tcPr>
          <w:p>
            <w:r/>
            <w:r>
              <w:rPr>
                <w:sz w:val="19"/>
              </w:rPr>
              <w:t>Utilities Customer 360</w:t>
            </w:r>
          </w:p>
        </w:tc>
        <w:tc>
          <w:tcPr>
            <w:tcW w:type="dxa" w:w="6624"/>
            <w:shd w:val="clear" w:fill="DEEAF6"/>
          </w:tcPr>
          <w:p>
            <w:r/>
            <w:r>
              <w:rPr>
                <w:sz w:val="19"/>
              </w:rPr>
              <w:t>Contract account financial overview, premises, contracts and program participation panels activated per CS-01; display-only for CA attributes — changes via guided actions only</w:t>
            </w:r>
          </w:p>
        </w:tc>
      </w:tr>
      <w:tr>
        <w:tc>
          <w:tcPr>
            <w:tcW w:type="dxa" w:w="2736"/>
          </w:tcPr>
          <w:p>
            <w:r/>
            <w:r>
              <w:rPr>
                <w:sz w:val="19"/>
              </w:rPr>
              <w:t>Guided actions / autoflows</w:t>
            </w:r>
          </w:p>
        </w:tc>
        <w:tc>
          <w:tcPr>
            <w:tcW w:type="dxa" w:w="6624"/>
          </w:tcPr>
          <w:p>
            <w:r/>
            <w:r>
              <w:rPr>
                <w:sz w:val="19"/>
              </w:rPr>
              <w:t>Contact update, address change, bank details/mandate, billing preference actions configured with S/4HANA posting; autoflow for replication-error work items to Master Data team queue</w:t>
            </w:r>
          </w:p>
        </w:tc>
      </w:tr>
      <w:tr>
        <w:tc>
          <w:tcPr>
            <w:tcW w:type="dxa" w:w="2736"/>
            <w:shd w:val="clear" w:fill="DEEAF6"/>
          </w:tcPr>
          <w:p>
            <w:r/>
            <w:r>
              <w:rPr>
                <w:sz w:val="19"/>
              </w:rPr>
              <w:t>Authorizations</w:t>
            </w:r>
          </w:p>
        </w:tc>
        <w:tc>
          <w:tcPr>
            <w:tcW w:type="dxa" w:w="6624"/>
            <w:shd w:val="clear" w:fill="DEEAF6"/>
          </w:tcPr>
          <w:p>
            <w:r/>
            <w:r>
              <w:rPr>
                <w:sz w:val="19"/>
              </w:rPr>
              <w:t>Business roles per CS-01: agents maintain contact/address/preferences; bank details restricted to verified interactions; protected changes hidden from agent role and routed to Master Data Specialist</w:t>
            </w:r>
          </w:p>
        </w:tc>
      </w:tr>
      <w:tr>
        <w:tc>
          <w:tcPr>
            <w:tcW w:type="dxa" w:w="2736"/>
          </w:tcPr>
          <w:p>
            <w:r/>
            <w:r>
              <w:rPr>
                <w:sz w:val="19"/>
              </w:rPr>
              <w:t>Search configuration</w:t>
            </w:r>
          </w:p>
        </w:tc>
        <w:tc>
          <w:tcPr>
            <w:tcW w:type="dxa" w:w="6624"/>
          </w:tcPr>
          <w:p>
            <w:r/>
            <w:r>
              <w:rPr>
                <w:sz w:val="19"/>
              </w:rPr>
              <w:t>Search by name, address, phone, email, BP number, legacy CIS number, contract account and premise (utilities identification per CS-01)</w:t>
            </w:r>
          </w:p>
        </w:tc>
      </w:tr>
      <w:tr>
        <w:tc>
          <w:tcPr>
            <w:tcW w:type="dxa" w:w="2736"/>
            <w:shd w:val="clear" w:fill="DEEAF6"/>
          </w:tcPr>
          <w:p>
            <w:r/>
            <w:r>
              <w:rPr>
                <w:sz w:val="19"/>
              </w:rPr>
              <w:t>Data privacy</w:t>
            </w:r>
          </w:p>
        </w:tc>
        <w:tc>
          <w:tcPr>
            <w:tcW w:type="dxa" w:w="6624"/>
            <w:shd w:val="clear" w:fill="DEEAF6"/>
          </w:tcPr>
          <w:p>
            <w:r/>
            <w:r>
              <w:rPr>
                <w:sz w:val="19"/>
              </w:rPr>
              <w:t>Consent capture on customer record; retention and blocking aligned with S/4HANA end-of-purpose status (blocked BPs excluded from search)</w:t>
            </w:r>
          </w:p>
        </w:tc>
      </w:tr>
    </w:tbl>
    <w:p>
      <w:pPr>
        <w:spacing w:after="40"/>
      </w:pPr>
    </w:p>
    <w:p>
      <w:pPr>
        <w:pStyle w:val="Heading1"/>
      </w:pPr>
      <w:r>
        <w:t>7. Data Governance and Quality KPIs</w:t>
      </w:r>
    </w:p>
    <w:p>
      <w:pPr>
        <w:pStyle w:val="ListBullet"/>
      </w:pPr>
      <w:r>
        <w:rPr>
          <w:b/>
        </w:rPr>
        <w:t xml:space="preserve">Attribute ownership matrix — </w:t>
      </w:r>
      <w:r>
        <w:t>per-attribute matrix (Appendix A of the configuration workbook) defines system of record, who may change, proof required and replication direction — the single reference for disputes.</w:t>
      </w:r>
    </w:p>
    <w:p>
      <w:pPr>
        <w:pStyle w:val="ListBullet"/>
      </w:pPr>
      <w:r>
        <w:rPr>
          <w:b/>
        </w:rPr>
        <w:t xml:space="preserve">Quality KPIs — </w:t>
      </w:r>
      <w:r>
        <w:t>duplicate rate (&lt; agreed threshold), completeness of mandatory attributes, replication failure backlog (target: zero older than 2 business days), returned-mail rate as address quality proxy.</w:t>
      </w:r>
    </w:p>
    <w:p>
      <w:pPr>
        <w:pStyle w:val="ListBullet"/>
      </w:pPr>
      <w:r>
        <w:rPr>
          <w:b/>
        </w:rPr>
        <w:t xml:space="preserve">Stewardship — </w:t>
      </w:r>
      <w:r>
        <w:t>weekly data quality work lists (duplicates, failed replications, incomplete BPs) to the Master Data team; monthly governance review of KPI trends and rule tuning.</w:t>
      </w:r>
    </w:p>
    <w:p>
      <w:pPr>
        <w:pStyle w:val="ListBullet"/>
      </w:pPr>
      <w:r>
        <w:rPr>
          <w:b/>
        </w:rPr>
        <w:t xml:space="preserve">Change control — </w:t>
      </w:r>
      <w:r>
        <w:t>all configuration in Sections 5–6 is release-managed; value mapping changes tested with round-trip replication tests before production.</w:t>
      </w:r>
    </w:p>
    <w:p>
      <w:pPr>
        <w:pStyle w:val="Heading1"/>
      </w:pPr>
      <w:r>
        <w:t>8. Assumptions, Dependencies and Open Points</w:t>
      </w:r>
    </w:p>
    <w:p>
      <w:pPr>
        <w:pStyle w:val="ListBullet"/>
      </w:pPr>
      <w:r>
        <w:t>SC V2 utilities integration provides the Customer 360 federation of contract account data; scope of standard vs. custom panels to be confirmed in realization.</w:t>
      </w:r>
    </w:p>
    <w:p>
      <w:pPr>
        <w:pStyle w:val="ListBullet"/>
      </w:pPr>
      <w:r>
        <w:t>Decision open: FLCU customer roles (SD/FI-AR) — required only if non-utility service billing is confirmed in scope.</w:t>
      </w:r>
    </w:p>
    <w:p>
      <w:pPr>
        <w:pStyle w:val="ListBullet"/>
      </w:pPr>
      <w:r>
        <w:t>Residential one-CA-per-premise policy assumed; commercial consolidation rules to be confirmed with billing operations.</w:t>
      </w:r>
    </w:p>
    <w:p>
      <w:pPr>
        <w:pStyle w:val="ListBullet"/>
      </w:pPr>
      <w:r>
        <w:t>Credit check integration (external bureau) for deposit determination at move-in is a separate design item referenced by Section 4.1.</w:t>
      </w:r>
    </w:p>
    <w:p>
      <w:pPr>
        <w:pStyle w:val="ListBullet"/>
      </w:pPr>
      <w:r>
        <w:t>Migration mapping (legacy CIS → BP/CA) governed by the Data Migration workstream; legacy number retained as BP identification type ZLEGACY.</w:t>
      </w:r>
    </w:p>
    <w:p>
      <w:pPr>
        <w:pStyle w:val="ListBullet"/>
      </w:pPr>
      <w:r>
        <w:t>Consent and communication preference attribute split (S/4HANA vs. SC V2) to be finalized with legal/compliance in the attribute ownership matrix.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