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2"/>
        </w:rPr>
        <w:t>Enrollment Center for SAP Service Cloud Version 2</w:t>
      </w:r>
    </w:p>
    <w:p>
      <w:pPr>
        <w:jc w:val="center"/>
      </w:pPr>
      <w:r>
        <w:rPr>
          <w:b/>
          <w:color w:val="404040"/>
          <w:sz w:val="36"/>
        </w:rPr>
        <w:t>Solution Design Document</w:t>
      </w:r>
    </w:p>
    <w:p>
      <w:pPr>
        <w:jc w:val="center"/>
      </w:pPr>
      <w:r>
        <w:rPr>
          <w:b w:val="0"/>
          <w:color w:val="595959"/>
          <w:sz w:val="24"/>
        </w:rPr>
        <w:t>Custom Extension and Integration Solution using SAP Service Cloud V2, SAP BTP and SAP S/4HANA Utilities</w:t>
      </w:r>
    </w:p>
    <w:p/>
    <w:p/>
    <w:p/>
    <w:p/>
    <w:p/>
    <w:p/>
    <w:p/>
    <w:p/>
    <w:tbl>
      <w:tblPr>
        <w:tblStyle w:val="TableGrid"/>
        <w:tblW w:type="auto" w:w="0"/>
        <w:jc w:val="center"/>
        <w:tblLayout w:type="fixed"/>
        <w:tblLook w:firstColumn="1" w:firstRow="1" w:lastColumn="0" w:lastRow="0" w:noHBand="0" w:noVBand="1" w:val="04A0"/>
      </w:tblPr>
      <w:tblGrid>
        <w:gridCol w:w="4320"/>
        <w:gridCol w:w="4320"/>
      </w:tblGrid>
      <w:tr>
        <w:tc>
          <w:tcPr>
            <w:tcW w:type="dxa" w:w="2592"/>
            <w:shd w:val="clear" w:fill="1F4E79"/>
          </w:tcPr>
          <w:p>
            <w:r/>
            <w:r>
              <w:rPr>
                <w:b/>
                <w:color w:val="FFFFFF"/>
                <w:sz w:val="19"/>
              </w:rPr>
              <w:t>Attribute</w:t>
            </w:r>
          </w:p>
        </w:tc>
        <w:tc>
          <w:tcPr>
            <w:tcW w:type="dxa" w:w="6768"/>
            <w:shd w:val="clear" w:fill="1F4E79"/>
          </w:tcPr>
          <w:p>
            <w:r/>
            <w:r>
              <w:rPr>
                <w:b/>
                <w:color w:val="FFFFFF"/>
                <w:sz w:val="19"/>
              </w:rPr>
              <w:t>Value</w:t>
            </w:r>
          </w:p>
        </w:tc>
      </w:tr>
      <w:tr>
        <w:tc>
          <w:tcPr>
            <w:tcW w:type="dxa" w:w="2592"/>
          </w:tcPr>
          <w:p>
            <w:r/>
            <w:r>
              <w:rPr>
                <w:sz w:val="19"/>
              </w:rPr>
              <w:t>Document Title</w:t>
            </w:r>
          </w:p>
        </w:tc>
        <w:tc>
          <w:tcPr>
            <w:tcW w:type="dxa" w:w="6768"/>
          </w:tcPr>
          <w:p>
            <w:r/>
            <w:r>
              <w:rPr>
                <w:sz w:val="19"/>
              </w:rPr>
              <w:t>Enrollment Center for SAP Service Cloud V2 – Solution Design</w:t>
            </w:r>
          </w:p>
        </w:tc>
      </w:tr>
      <w:tr>
        <w:tc>
          <w:tcPr>
            <w:tcW w:type="dxa" w:w="2592"/>
            <w:shd w:val="clear" w:fill="DEEAF6"/>
          </w:tcPr>
          <w:p>
            <w:r/>
            <w:r>
              <w:rPr>
                <w:sz w:val="19"/>
              </w:rPr>
              <w:t>Version</w:t>
            </w:r>
          </w:p>
        </w:tc>
        <w:tc>
          <w:tcPr>
            <w:tcW w:type="dxa" w:w="6768"/>
            <w:shd w:val="clear" w:fill="DEEAF6"/>
          </w:tcPr>
          <w:p>
            <w:r/>
            <w:r>
              <w:rPr>
                <w:sz w:val="19"/>
              </w:rPr>
              <w:t>1.0 (Draft for Review)</w:t>
            </w:r>
          </w:p>
        </w:tc>
      </w:tr>
      <w:tr>
        <w:tc>
          <w:tcPr>
            <w:tcW w:type="dxa" w:w="2592"/>
          </w:tcPr>
          <w:p>
            <w:r/>
            <w:r>
              <w:rPr>
                <w:sz w:val="19"/>
              </w:rPr>
              <w:t>Date</w:t>
            </w:r>
          </w:p>
        </w:tc>
        <w:tc>
          <w:tcPr>
            <w:tcW w:type="dxa" w:w="6768"/>
          </w:tcPr>
          <w:p>
            <w:r/>
            <w:r>
              <w:rPr>
                <w:sz w:val="19"/>
              </w:rPr>
              <w:t>08 July 2026</w:t>
            </w:r>
          </w:p>
        </w:tc>
      </w:tr>
      <w:tr>
        <w:tc>
          <w:tcPr>
            <w:tcW w:type="dxa" w:w="2592"/>
            <w:shd w:val="clear" w:fill="DEEAF6"/>
          </w:tcPr>
          <w:p>
            <w:r/>
            <w:r>
              <w:rPr>
                <w:sz w:val="19"/>
              </w:rPr>
              <w:t>Audience</w:t>
            </w:r>
          </w:p>
        </w:tc>
        <w:tc>
          <w:tcPr>
            <w:tcW w:type="dxa" w:w="6768"/>
            <w:shd w:val="clear" w:fill="DEEAF6"/>
          </w:tcPr>
          <w:p>
            <w:r/>
            <w:r>
              <w:rPr>
                <w:sz w:val="19"/>
              </w:rPr>
              <w:t>Business stakeholders, Enterprise/Solution Architects, Integration and Development teams</w:t>
            </w:r>
          </w:p>
        </w:tc>
      </w:tr>
      <w:tr>
        <w:tc>
          <w:tcPr>
            <w:tcW w:type="dxa" w:w="2592"/>
          </w:tcPr>
          <w:p>
            <w:r/>
            <w:r>
              <w:rPr>
                <w:sz w:val="19"/>
              </w:rPr>
              <w:t>Related Source Material</w:t>
            </w:r>
          </w:p>
        </w:tc>
        <w:tc>
          <w:tcPr>
            <w:tcW w:type="dxa" w:w="6768"/>
          </w:tcPr>
          <w:p>
            <w:r/>
            <w:r>
              <w:rPr>
                <w:sz w:val="19"/>
              </w:rPr>
              <w:t>Customer Programs Enrollment Center – Proposal (legacy CRM); Enrollment Center reference design; DPP / PTR / CPP / PrePay enrollment functional and technical specifications</w:t>
            </w:r>
          </w:p>
        </w:tc>
      </w:tr>
    </w:tbl>
    <w:p>
      <w:pPr>
        <w:spacing w:after="40"/>
      </w:pPr>
    </w:p>
    <w:p>
      <w:r>
        <w:br w:type="page"/>
      </w:r>
    </w:p>
    <w:p>
      <w:pPr>
        <w:pStyle w:val="Heading1"/>
      </w:pPr>
      <w:r>
        <w:t>1. Executive Summary</w:t>
      </w:r>
    </w:p>
    <w:p>
      <w:r>
        <w:rPr>
          <w:b w:val="0"/>
        </w:rPr>
        <w:t>The utility currently operates customer program enrollment (Peak-Time Rebate, Critical Peak Pricing, Deferred Payment Plan, PrePay, Customer Selects Due Date and similar offerings) through an Enrollment Center built in the legacy SAP CRM Interaction Center. With the move of the agent desktop to SAP Service Cloud Version 2 (SC V2), this capability must be re-established, because SC V2 does not deliver a standard Enrollment Center for utilities customer programs.</w:t>
      </w:r>
    </w:p>
    <w:p>
      <w:r>
        <w:rPr>
          <w:b w:val="0"/>
        </w:rPr>
        <w:t>This document proposes a side-by-side extension: a custom Enrollment Center application built and hosted on SAP Business Technology Platform (BTP), embedded directly in the SC V2 agent desktop, and integrated with SAP S/4HANA Utilities through SAP Integration Suite and SAP Event Mesh. S/4HANA Utilities remains the single system of record for business partner, contract account, premise, installation, device, contract and billing-relevant data; BTP owns orchestration, eligibility rules facade, enrollment workflow, audit and exception routing; SC V2 remains the interaction and case-management layer.</w:t>
      </w:r>
    </w:p>
    <w:p>
      <w:r>
        <w:rPr>
          <w:b w:val="0"/>
        </w:rPr>
        <w:t>The design deliberately re-uses the proven functional model of the legacy Enrollment Center — Participating Programs, Available (Eligible) Programs, Eligibility Messages with hard-stop and warning severity, and Program History — while re-platforming it on a clean-core, API-first architecture that keeps the S/4HANA digital core free of UI-specific custom code and allows new programs to be onboarded through configuration and rules rather than new development.</w:t>
      </w:r>
    </w:p>
    <w:p>
      <w:r>
        <w:rPr>
          <w:b/>
        </w:rPr>
        <w:t>Key outcomes:</w:t>
      </w:r>
    </w:p>
    <w:p>
      <w:pPr>
        <w:pStyle w:val="ListBullet"/>
      </w:pPr>
      <w:r>
        <w:t>Single agent desktop: agents enroll, de-enroll and track customer programs without leaving SAP Service Cloud V2.</w:t>
      </w:r>
    </w:p>
    <w:p>
      <w:pPr>
        <w:pStyle w:val="ListBullet"/>
      </w:pPr>
      <w:r>
        <w:t>Centralized eligibility: one rules layer evaluated for all programs in a single call, with reasons returned for ineligible programs.</w:t>
      </w:r>
    </w:p>
    <w:p>
      <w:pPr>
        <w:pStyle w:val="ListBullet"/>
      </w:pPr>
      <w:r>
        <w:t>Clean core: no Enrollment Center UI code inside S/4HANA; backend accessed only through released APIs and governed custom services.</w:t>
      </w:r>
    </w:p>
    <w:p>
      <w:pPr>
        <w:pStyle w:val="ListBullet"/>
      </w:pPr>
      <w:r>
        <w:t>Scalability: onboarding a new program requires a rule set, a program configuration entry and (where needed) one backend automation — not a new user interface.</w:t>
      </w:r>
    </w:p>
    <w:p>
      <w:pPr>
        <w:pStyle w:val="ListBullet"/>
      </w:pPr>
      <w:r>
        <w:t>Traceability: every enrollment request, status change and exception is audited end-to-end and visible to agents and supervisors.</w:t>
      </w:r>
    </w:p>
    <w:p>
      <w:r>
        <w:br w:type="page"/>
      </w:r>
    </w:p>
    <w:p>
      <w:pPr>
        <w:pStyle w:val="Heading1"/>
      </w:pPr>
      <w:r>
        <w:t>2. Business Requirement</w:t>
      </w:r>
    </w:p>
    <w:p>
      <w:pPr>
        <w:pStyle w:val="Heading2"/>
      </w:pPr>
      <w:r>
        <w:t>2.1 Background</w:t>
      </w:r>
    </w:p>
    <w:p>
      <w:r>
        <w:rPr>
          <w:b w:val="0"/>
        </w:rPr>
        <w:t>Call center agents (CSRs) are the primary channel for enrolling customers into utility programs. In the legacy CRM Interaction Center, the Customer Programs Enrollment Center gave agents a 360° view of a customer's program participation and one-click enrollment/de-enrollment with system-driven eligibility. Prior option analysis (standalone Enrollment Center vs. Move-In integration vs. no Enrollment Center) concluded that the absence of an Enrollment Center drives high scalability, training and call-handling impacts. The same conclusion applies to the SC V2 landscape: without an equivalent capability, agents would need to swivel-chair into S/4HANA Utilities transactions, increasing handle time and error rates.</w:t>
      </w:r>
    </w:p>
    <w:p>
      <w:pPr>
        <w:pStyle w:val="Heading2"/>
      </w:pPr>
      <w:r>
        <w:t>2.2 Requirement Statement</w:t>
      </w:r>
    </w:p>
    <w:p>
      <w:r>
        <w:rPr>
          <w:b w:val="0"/>
        </w:rPr>
        <w:t>Call center agents working in SAP Service Cloud V2 shall be able to:</w:t>
      </w:r>
    </w:p>
    <w:p>
      <w:pPr>
        <w:pStyle w:val="ListNumber"/>
      </w:pPr>
      <w:r>
        <w:t>Search and identify the customer and confirm the caller's identity and account (business partner, contract account, premise).</w:t>
      </w:r>
    </w:p>
    <w:p>
      <w:pPr>
        <w:pStyle w:val="ListNumber"/>
      </w:pPr>
      <w:r>
        <w:t>View all programs the customer currently participates in, with status and effective dates.</w:t>
      </w:r>
    </w:p>
    <w:p>
      <w:pPr>
        <w:pStyle w:val="ListNumber"/>
      </w:pPr>
      <w:r>
        <w:t>View all programs the customer is eligible for, and — for ineligible programs — the reasons, classified as hard stops or warnings.</w:t>
      </w:r>
    </w:p>
    <w:p>
      <w:pPr>
        <w:pStyle w:val="ListNumber"/>
      </w:pPr>
      <w:r>
        <w:t>Initiate enrollment into a program, service, plan or device offering, capturing the required program-specific data (start date, plan parameters, device details, consents, documents).</w:t>
      </w:r>
    </w:p>
    <w:p>
      <w:pPr>
        <w:pStyle w:val="ListNumber"/>
      </w:pPr>
      <w:r>
        <w:t>Submit the enrollment request and receive immediate validation feedback.</w:t>
      </w:r>
    </w:p>
    <w:p>
      <w:pPr>
        <w:pStyle w:val="ListNumber"/>
      </w:pPr>
      <w:r>
        <w:t>Track enrollment status through to completion, including asynchronous backend confirmation.</w:t>
      </w:r>
    </w:p>
    <w:p>
      <w:pPr>
        <w:pStyle w:val="ListNumber"/>
      </w:pPr>
      <w:r>
        <w:t>Initiate de-enrollment with the applicable exit rules and prompts.</w:t>
      </w:r>
    </w:p>
    <w:p>
      <w:pPr>
        <w:pStyle w:val="ListNumber"/>
      </w:pPr>
      <w:r>
        <w:t>View enrollment history to support eligibility rules (e.g., re-enrollment waiting periods) and customer conversations.</w:t>
      </w:r>
    </w:p>
    <w:p>
      <w:pPr>
        <w:pStyle w:val="Heading2"/>
      </w:pPr>
      <w:r>
        <w:t>2.3 Enrollment Scope</w:t>
      </w:r>
    </w:p>
    <w:p>
      <w:r>
        <w:rPr>
          <w:b w:val="0"/>
        </w:rPr>
        <w:t>“Enrollment” covers any customer-elected utility offering that changes master data, contract terms or billing behavior in S/4HANA Utilities, including:</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304"/>
            <w:shd w:val="clear" w:fill="1F4E79"/>
          </w:tcPr>
          <w:p>
            <w:r/>
            <w:r>
              <w:rPr>
                <w:b/>
                <w:color w:val="FFFFFF"/>
                <w:sz w:val="19"/>
              </w:rPr>
              <w:t>Category</w:t>
            </w:r>
          </w:p>
        </w:tc>
        <w:tc>
          <w:tcPr>
            <w:tcW w:type="dxa" w:w="3600"/>
            <w:shd w:val="clear" w:fill="1F4E79"/>
          </w:tcPr>
          <w:p>
            <w:r/>
            <w:r>
              <w:rPr>
                <w:b/>
                <w:color w:val="FFFFFF"/>
                <w:sz w:val="19"/>
              </w:rPr>
              <w:t>Examples</w:t>
            </w:r>
          </w:p>
        </w:tc>
        <w:tc>
          <w:tcPr>
            <w:tcW w:type="dxa" w:w="3456"/>
            <w:shd w:val="clear" w:fill="1F4E79"/>
          </w:tcPr>
          <w:p>
            <w:r/>
            <w:r>
              <w:rPr>
                <w:b/>
                <w:color w:val="FFFFFF"/>
                <w:sz w:val="19"/>
              </w:rPr>
              <w:t>Primary S/4HANA Utilities Object Affected</w:t>
            </w:r>
          </w:p>
        </w:tc>
      </w:tr>
      <w:tr>
        <w:tc>
          <w:tcPr>
            <w:tcW w:type="dxa" w:w="2304"/>
          </w:tcPr>
          <w:p>
            <w:r/>
            <w:r>
              <w:rPr>
                <w:sz w:val="19"/>
              </w:rPr>
              <w:t>Demand response / rate programs</w:t>
            </w:r>
          </w:p>
        </w:tc>
        <w:tc>
          <w:tcPr>
            <w:tcW w:type="dxa" w:w="3600"/>
          </w:tcPr>
          <w:p>
            <w:r/>
            <w:r>
              <w:rPr>
                <w:sz w:val="19"/>
              </w:rPr>
              <w:t>Peak-Time Rebate (PTR), Critical Peak Pricing (CPP), time-of-use rates</w:t>
            </w:r>
          </w:p>
        </w:tc>
        <w:tc>
          <w:tcPr>
            <w:tcW w:type="dxa" w:w="3456"/>
          </w:tcPr>
          <w:p>
            <w:r/>
            <w:r>
              <w:rPr>
                <w:sz w:val="19"/>
              </w:rPr>
              <w:t>Utilities contract / rate category (product change), AMI device check</w:t>
            </w:r>
          </w:p>
        </w:tc>
      </w:tr>
      <w:tr>
        <w:tc>
          <w:tcPr>
            <w:tcW w:type="dxa" w:w="2304"/>
            <w:shd w:val="clear" w:fill="DEEAF6"/>
          </w:tcPr>
          <w:p>
            <w:r/>
            <w:r>
              <w:rPr>
                <w:sz w:val="19"/>
              </w:rPr>
              <w:t>Payment programs</w:t>
            </w:r>
          </w:p>
        </w:tc>
        <w:tc>
          <w:tcPr>
            <w:tcW w:type="dxa" w:w="3600"/>
            <w:shd w:val="clear" w:fill="DEEAF6"/>
          </w:tcPr>
          <w:p>
            <w:r/>
            <w:r>
              <w:rPr>
                <w:sz w:val="19"/>
              </w:rPr>
              <w:t>Deferred Payment Plan (DPP), budget billing, PrePay</w:t>
            </w:r>
          </w:p>
        </w:tc>
        <w:tc>
          <w:tcPr>
            <w:tcW w:type="dxa" w:w="3456"/>
            <w:shd w:val="clear" w:fill="DEEAF6"/>
          </w:tcPr>
          <w:p>
            <w:r/>
            <w:r>
              <w:rPr>
                <w:sz w:val="19"/>
              </w:rPr>
              <w:t>FI-CA installment plan, budget billing plan, prepayment settings on contract account</w:t>
            </w:r>
          </w:p>
        </w:tc>
      </w:tr>
      <w:tr>
        <w:tc>
          <w:tcPr>
            <w:tcW w:type="dxa" w:w="2304"/>
          </w:tcPr>
          <w:p>
            <w:r/>
            <w:r>
              <w:rPr>
                <w:sz w:val="19"/>
              </w:rPr>
              <w:t>Billing preferences</w:t>
            </w:r>
          </w:p>
        </w:tc>
        <w:tc>
          <w:tcPr>
            <w:tcW w:type="dxa" w:w="3600"/>
          </w:tcPr>
          <w:p>
            <w:r/>
            <w:r>
              <w:rPr>
                <w:sz w:val="19"/>
              </w:rPr>
              <w:t>Customer Selects Due Date (CSDD), eBill / paperless billing</w:t>
            </w:r>
          </w:p>
        </w:tc>
        <w:tc>
          <w:tcPr>
            <w:tcW w:type="dxa" w:w="3456"/>
          </w:tcPr>
          <w:p>
            <w:r/>
            <w:r>
              <w:rPr>
                <w:sz w:val="19"/>
              </w:rPr>
              <w:t>Contract account attributes, correspondence settings</w:t>
            </w:r>
          </w:p>
        </w:tc>
      </w:tr>
      <w:tr>
        <w:tc>
          <w:tcPr>
            <w:tcW w:type="dxa" w:w="2304"/>
            <w:shd w:val="clear" w:fill="DEEAF6"/>
          </w:tcPr>
          <w:p>
            <w:r/>
            <w:r>
              <w:rPr>
                <w:sz w:val="19"/>
              </w:rPr>
              <w:t>Device / service offerings</w:t>
            </w:r>
          </w:p>
        </w:tc>
        <w:tc>
          <w:tcPr>
            <w:tcW w:type="dxa" w:w="3600"/>
            <w:shd w:val="clear" w:fill="DEEAF6"/>
          </w:tcPr>
          <w:p>
            <w:r/>
            <w:r>
              <w:rPr>
                <w:sz w:val="19"/>
              </w:rPr>
              <w:t>Smart thermostat, EV charger program, AMR/AMI opt-in</w:t>
            </w:r>
          </w:p>
        </w:tc>
        <w:tc>
          <w:tcPr>
            <w:tcW w:type="dxa" w:w="3456"/>
            <w:shd w:val="clear" w:fill="DEEAF6"/>
          </w:tcPr>
          <w:p>
            <w:r/>
            <w:r>
              <w:rPr>
                <w:sz w:val="19"/>
              </w:rPr>
              <w:t>Device / device info record, installation, service order</w:t>
            </w:r>
          </w:p>
        </w:tc>
      </w:tr>
      <w:tr>
        <w:tc>
          <w:tcPr>
            <w:tcW w:type="dxa" w:w="2304"/>
          </w:tcPr>
          <w:p>
            <w:r/>
            <w:r>
              <w:rPr>
                <w:sz w:val="19"/>
              </w:rPr>
              <w:t>Assistance programs</w:t>
            </w:r>
          </w:p>
        </w:tc>
        <w:tc>
          <w:tcPr>
            <w:tcW w:type="dxa" w:w="3600"/>
          </w:tcPr>
          <w:p>
            <w:r/>
            <w:r>
              <w:rPr>
                <w:sz w:val="19"/>
              </w:rPr>
              <w:t>Low-income assistance (DLA-type), medical alert</w:t>
            </w:r>
          </w:p>
        </w:tc>
        <w:tc>
          <w:tcPr>
            <w:tcW w:type="dxa" w:w="3456"/>
          </w:tcPr>
          <w:p>
            <w:r/>
            <w:r>
              <w:rPr>
                <w:sz w:val="19"/>
              </w:rPr>
              <w:t>Contract account flags, dunning exemptions</w:t>
            </w:r>
          </w:p>
        </w:tc>
      </w:tr>
    </w:tbl>
    <w:p>
      <w:pPr>
        <w:spacing w:after="40"/>
      </w:pPr>
    </w:p>
    <w:p>
      <w:pPr>
        <w:pStyle w:val="Heading2"/>
      </w:pPr>
      <w:r>
        <w:t>2.4 Non-Functional Requirements</w:t>
      </w:r>
    </w:p>
    <w:p>
      <w:pPr>
        <w:pStyle w:val="ListBullet"/>
      </w:pPr>
      <w:r>
        <w:t>Customer context, participation and eligibility must render within ~3 seconds of opening the Enrollment Center for a typical account.</w:t>
      </w:r>
    </w:p>
    <w:p>
      <w:pPr>
        <w:pStyle w:val="ListBullet"/>
      </w:pPr>
      <w:r>
        <w:t>Eligibility for all programs must be evaluated in one round trip (parallelized in the backend), mirroring the legacy single BRF+ call for all programs and contract accounts.</w:t>
      </w:r>
    </w:p>
    <w:p>
      <w:pPr>
        <w:pStyle w:val="ListBullet"/>
      </w:pPr>
      <w:r>
        <w:t>Enrollment submissions must be idempotent and survive backend downtime (queued, retried, never lost).</w:t>
      </w:r>
    </w:p>
    <w:p>
      <w:pPr>
        <w:pStyle w:val="ListBullet"/>
      </w:pPr>
      <w:r>
        <w:t>All enrollment actions must be auditable: who, when, channel, before/after status.</w:t>
      </w:r>
    </w:p>
    <w:p>
      <w:pPr>
        <w:pStyle w:val="ListBullet"/>
      </w:pPr>
      <w:r>
        <w:t>Role-based access: agents can enroll/de-enroll; supervisors additionally handle exceptions and overrides of warning-level eligibility failures. Hard stops cannot be overridden.</w:t>
      </w:r>
    </w:p>
    <w:p>
      <w:r>
        <w:br w:type="page"/>
      </w:r>
    </w:p>
    <w:p>
      <w:pPr>
        <w:pStyle w:val="Heading1"/>
      </w:pPr>
      <w:r>
        <w:t>3. Solution Options Considered</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60"/>
            <w:shd w:val="clear" w:fill="1F4E79"/>
          </w:tcPr>
          <w:p>
            <w:r/>
            <w:r>
              <w:rPr>
                <w:b/>
                <w:color w:val="FFFFFF"/>
                <w:sz w:val="19"/>
              </w:rPr>
              <w:t>Option</w:t>
            </w:r>
          </w:p>
        </w:tc>
        <w:tc>
          <w:tcPr>
            <w:tcW w:type="dxa" w:w="3600"/>
            <w:shd w:val="clear" w:fill="1F4E79"/>
          </w:tcPr>
          <w:p>
            <w:r/>
            <w:r>
              <w:rPr>
                <w:b/>
                <w:color w:val="FFFFFF"/>
                <w:sz w:val="19"/>
              </w:rPr>
              <w:t>Description</w:t>
            </w:r>
          </w:p>
        </w:tc>
        <w:tc>
          <w:tcPr>
            <w:tcW w:type="dxa" w:w="3600"/>
            <w:shd w:val="clear" w:fill="1F4E79"/>
          </w:tcPr>
          <w:p>
            <w:r/>
            <w:r>
              <w:rPr>
                <w:b/>
                <w:color w:val="FFFFFF"/>
                <w:sz w:val="19"/>
              </w:rPr>
              <w:t>Assessment</w:t>
            </w:r>
          </w:p>
        </w:tc>
      </w:tr>
      <w:tr>
        <w:tc>
          <w:tcPr>
            <w:tcW w:type="dxa" w:w="2160"/>
          </w:tcPr>
          <w:p>
            <w:r/>
            <w:r>
              <w:rPr>
                <w:sz w:val="19"/>
              </w:rPr>
              <w:t>A. No Enrollment Center</w:t>
            </w:r>
          </w:p>
        </w:tc>
        <w:tc>
          <w:tcPr>
            <w:tcW w:type="dxa" w:w="3600"/>
          </w:tcPr>
          <w:p>
            <w:r/>
            <w:r>
              <w:rPr>
                <w:sz w:val="19"/>
              </w:rPr>
              <w:t>Agents use standard SC V2 cases plus direct S/4HANA Fiori apps per program.</w:t>
            </w:r>
          </w:p>
        </w:tc>
        <w:tc>
          <w:tcPr>
            <w:tcW w:type="dxa" w:w="3600"/>
          </w:tcPr>
          <w:p>
            <w:r/>
            <w:r>
              <w:rPr>
                <w:sz w:val="19"/>
              </w:rPr>
              <w:t>Rejected. High click count and training effort, per-program eligibility prompts do not scale, no 360° program view — the same weaknesses identified for this option in the legacy CRM option scorecard.</w:t>
            </w:r>
          </w:p>
        </w:tc>
      </w:tr>
      <w:tr>
        <w:tc>
          <w:tcPr>
            <w:tcW w:type="dxa" w:w="2160"/>
            <w:shd w:val="clear" w:fill="DEEAF6"/>
          </w:tcPr>
          <w:p>
            <w:r/>
            <w:r>
              <w:rPr>
                <w:sz w:val="19"/>
              </w:rPr>
              <w:t>B. Native SC V2 extensibility only</w:t>
            </w:r>
          </w:p>
        </w:tc>
        <w:tc>
          <w:tcPr>
            <w:tcW w:type="dxa" w:w="3600"/>
            <w:shd w:val="clear" w:fill="DEEAF6"/>
          </w:tcPr>
          <w:p>
            <w:r/>
            <w:r>
              <w:rPr>
                <w:sz w:val="19"/>
              </w:rPr>
              <w:t>Model enrollment as SC V2 custom objects (extensibility) with autoflow-triggered integrations.</w:t>
            </w:r>
          </w:p>
        </w:tc>
        <w:tc>
          <w:tcPr>
            <w:tcW w:type="dxa" w:w="3600"/>
            <w:shd w:val="clear" w:fill="DEEAF6"/>
          </w:tcPr>
          <w:p>
            <w:r/>
            <w:r>
              <w:rPr>
                <w:sz w:val="19"/>
              </w:rPr>
              <w:t>Rejected as sole approach. SC V2 low-code extensibility cannot host the required multi-step, rules-driven UI or complex orchestration; enrollment data would be mastered in the wrong system.</w:t>
            </w:r>
          </w:p>
        </w:tc>
      </w:tr>
      <w:tr>
        <w:tc>
          <w:tcPr>
            <w:tcW w:type="dxa" w:w="2160"/>
          </w:tcPr>
          <w:p>
            <w:r/>
            <w:r>
              <w:rPr>
                <w:sz w:val="19"/>
              </w:rPr>
              <w:t>C. BTP side-by-side Enrollment Center (recommended)</w:t>
            </w:r>
          </w:p>
        </w:tc>
        <w:tc>
          <w:tcPr>
            <w:tcW w:type="dxa" w:w="3600"/>
          </w:tcPr>
          <w:p>
            <w:r/>
            <w:r>
              <w:rPr>
                <w:sz w:val="19"/>
              </w:rPr>
              <w:t>Custom UI on BTP embedded in the SC V2 agent workspace; BTP services orchestrate eligibility, enrollment and status against S/4HANA Utilities via Integration Suite and Event Mesh.</w:t>
            </w:r>
          </w:p>
        </w:tc>
        <w:tc>
          <w:tcPr>
            <w:tcW w:type="dxa" w:w="3600"/>
          </w:tcPr>
          <w:p>
            <w:r/>
            <w:r>
              <w:rPr>
                <w:sz w:val="19"/>
              </w:rPr>
              <w:t>Recommended. Preserves the proven legacy Enrollment Center UX, keeps S/4HANA clean-core, scales to new programs via configuration + rules, and provides a single reusable enrollment API for future self-service channels (web/mobile/IVR).</w:t>
            </w:r>
          </w:p>
        </w:tc>
      </w:tr>
    </w:tbl>
    <w:p>
      <w:pPr>
        <w:spacing w:after="40"/>
      </w:pPr>
    </w:p>
    <w:p>
      <w:r>
        <w:rPr>
          <w:b w:val="0"/>
        </w:rPr>
        <w:t>The remainder of this document details Option C.</w:t>
      </w:r>
    </w:p>
    <w:p>
      <w:pPr>
        <w:pStyle w:val="Heading1"/>
      </w:pPr>
      <w:r>
        <w:t>4. Proposed Architecture</w:t>
      </w:r>
    </w:p>
    <w:p>
      <w:pPr>
        <w:pStyle w:val="Heading2"/>
      </w:pPr>
      <w:r>
        <w:t>4.1 Architecture Overview (Diagram Description)</w:t>
      </w:r>
    </w:p>
    <w:p>
      <w:r>
        <w:rPr>
          <w:b w:val="0"/>
        </w:rPr>
        <w:t>The end-to-end architecture is a four-layer, left-to-right flow. Read the diagram as: agent desktop on the left, extension platform in the middle, digital core on the right, with an asynchronous event backbone underneath.</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016"/>
            <w:shd w:val="clear" w:fill="1F4E79"/>
          </w:tcPr>
          <w:p>
            <w:r/>
            <w:r>
              <w:rPr>
                <w:b/>
                <w:color w:val="FFFFFF"/>
                <w:sz w:val="19"/>
              </w:rPr>
              <w:t>Layer</w:t>
            </w:r>
          </w:p>
        </w:tc>
        <w:tc>
          <w:tcPr>
            <w:tcW w:type="dxa" w:w="3888"/>
            <w:shd w:val="clear" w:fill="1F4E79"/>
          </w:tcPr>
          <w:p>
            <w:r/>
            <w:r>
              <w:rPr>
                <w:b/>
                <w:color w:val="FFFFFF"/>
                <w:sz w:val="19"/>
              </w:rPr>
              <w:t>Components</w:t>
            </w:r>
          </w:p>
        </w:tc>
        <w:tc>
          <w:tcPr>
            <w:tcW w:type="dxa" w:w="3456"/>
            <w:shd w:val="clear" w:fill="1F4E79"/>
          </w:tcPr>
          <w:p>
            <w:r/>
            <w:r>
              <w:rPr>
                <w:b/>
                <w:color w:val="FFFFFF"/>
                <w:sz w:val="19"/>
              </w:rPr>
              <w:t>Responsibility</w:t>
            </w:r>
          </w:p>
        </w:tc>
      </w:tr>
      <w:tr>
        <w:tc>
          <w:tcPr>
            <w:tcW w:type="dxa" w:w="2016"/>
          </w:tcPr>
          <w:p>
            <w:r/>
            <w:r>
              <w:rPr>
                <w:sz w:val="19"/>
              </w:rPr>
              <w:t>1. Interaction Layer — SAP Service Cloud V2</w:t>
            </w:r>
          </w:p>
        </w:tc>
        <w:tc>
          <w:tcPr>
            <w:tcW w:type="dxa" w:w="3888"/>
          </w:tcPr>
          <w:p>
            <w:r/>
            <w:r>
              <w:rPr>
                <w:sz w:val="19"/>
              </w:rPr>
              <w:t>Agent desktop (Case Management, Customer Hub, CTI); Utilities industry add-on for customer identification; embedded Enrollment Center UI (mashup / custom UI integration); SC V2 REST APIs and autoflows</w:t>
            </w:r>
          </w:p>
        </w:tc>
        <w:tc>
          <w:tcPr>
            <w:tcW w:type="dxa" w:w="3456"/>
          </w:tcPr>
          <w:p>
            <w:r/>
            <w:r>
              <w:rPr>
                <w:sz w:val="19"/>
              </w:rPr>
              <w:t>Call handling, customer identification, case creation, launching the Enrollment Center in customer context, displaying enrollment status on the case/timeline</w:t>
            </w:r>
          </w:p>
        </w:tc>
      </w:tr>
      <w:tr>
        <w:tc>
          <w:tcPr>
            <w:tcW w:type="dxa" w:w="2016"/>
            <w:shd w:val="clear" w:fill="DEEAF6"/>
          </w:tcPr>
          <w:p>
            <w:r/>
            <w:r>
              <w:rPr>
                <w:sz w:val="19"/>
              </w:rPr>
              <w:t>2. Extension &amp; Orchestration Layer — SAP BTP</w:t>
            </w:r>
          </w:p>
        </w:tc>
        <w:tc>
          <w:tcPr>
            <w:tcW w:type="dxa" w:w="3888"/>
            <w:shd w:val="clear" w:fill="DEEAF6"/>
          </w:tcPr>
          <w:p>
            <w:r/>
            <w:r>
              <w:rPr>
                <w:sz w:val="19"/>
              </w:rPr>
              <w:t>Enrollment Center UI (SAP Build Apps or SAPUI5 on HTML5 Application Repository / SAP Build Work Zone); Enrollment Service (CAP on BTP Cloud Foundry); Eligibility Facade; SAP Build Process Automation (workflow + business rules); SAP HANA Cloud (enrollment staging, audit log); Destination, Connectivity, XSUAA/IAS</w:t>
            </w:r>
          </w:p>
        </w:tc>
        <w:tc>
          <w:tcPr>
            <w:tcW w:type="dxa" w:w="3456"/>
            <w:shd w:val="clear" w:fill="DEEAF6"/>
          </w:tcPr>
          <w:p>
            <w:r/>
            <w:r>
              <w:rPr>
                <w:sz w:val="19"/>
              </w:rPr>
              <w:t>UI hosting, program catalog, eligibility orchestration, enrollment state machine, validation, workflow for exceptions/approvals, audit persistence, security</w:t>
            </w:r>
          </w:p>
        </w:tc>
      </w:tr>
      <w:tr>
        <w:tc>
          <w:tcPr>
            <w:tcW w:type="dxa" w:w="2016"/>
          </w:tcPr>
          <w:p>
            <w:r/>
            <w:r>
              <w:rPr>
                <w:sz w:val="19"/>
              </w:rPr>
              <w:t>3. Integration Layer — SAP Integration Suite</w:t>
            </w:r>
          </w:p>
        </w:tc>
        <w:tc>
          <w:tcPr>
            <w:tcW w:type="dxa" w:w="3888"/>
          </w:tcPr>
          <w:p>
            <w:r/>
            <w:r>
              <w:rPr>
                <w:sz w:val="19"/>
              </w:rPr>
              <w:t>Cloud Integration (iFlows), API Management, Event Mesh, Cloud Connector (if S/4HANA on-premise)</w:t>
            </w:r>
          </w:p>
        </w:tc>
        <w:tc>
          <w:tcPr>
            <w:tcW w:type="dxa" w:w="3456"/>
          </w:tcPr>
          <w:p>
            <w:r/>
            <w:r>
              <w:rPr>
                <w:sz w:val="19"/>
              </w:rPr>
              <w:t>Protocol/format mediation (OData, SOAP, RFC/BAPI, IDoc), mapping, error handling and retry, API governance, throttling, async eventing</w:t>
            </w:r>
          </w:p>
        </w:tc>
      </w:tr>
      <w:tr>
        <w:tc>
          <w:tcPr>
            <w:tcW w:type="dxa" w:w="2016"/>
            <w:shd w:val="clear" w:fill="DEEAF6"/>
          </w:tcPr>
          <w:p>
            <w:r/>
            <w:r>
              <w:rPr>
                <w:sz w:val="19"/>
              </w:rPr>
              <w:t>4. System of Record — SAP S/4HANA Utilities</w:t>
            </w:r>
          </w:p>
        </w:tc>
        <w:tc>
          <w:tcPr>
            <w:tcW w:type="dxa" w:w="3888"/>
            <w:shd w:val="clear" w:fill="DEEAF6"/>
          </w:tcPr>
          <w:p>
            <w:r/>
            <w:r>
              <w:rPr>
                <w:sz w:val="19"/>
              </w:rPr>
              <w:t>Business partner, contract account (FI-CA), premise, installation, point of delivery, device, utilities contract, billing; BRF+ eligibility rule sets; BPEM (EMMA) case management; released OData/SOAP APIs, BAPIs, custom RFCs</w:t>
            </w:r>
          </w:p>
        </w:tc>
        <w:tc>
          <w:tcPr>
            <w:tcW w:type="dxa" w:w="3456"/>
            <w:shd w:val="clear" w:fill="DEEAF6"/>
          </w:tcPr>
          <w:p>
            <w:r/>
            <w:r>
              <w:rPr>
                <w:sz w:val="19"/>
              </w:rPr>
              <w:t>Master data and contract truth, rate/product changes, installment and budget billing plans, device management, billing; enforcement of backend business rules; exception cases</w:t>
            </w:r>
          </w:p>
        </w:tc>
      </w:tr>
    </w:tbl>
    <w:p>
      <w:pPr>
        <w:spacing w:after="40"/>
      </w:pPr>
    </w:p>
    <w:p>
      <w:pPr>
        <w:spacing w:before="80"/>
      </w:pPr>
      <w:r>
        <w:rPr>
          <w:b w:val="0"/>
        </w:rPr>
        <w:t>Primary synchronous path: SC V2 agent desktop → embedded Enrollment Center UI (BTP) → Enrollment Service APIs (BTP, exposed via API Management) → Cloud Integration iFlows → S/4HANA Utilities APIs/BAPIs. Primary asynchronous path: S/4HANA Utilities business events / IDoc status → Event Mesh → Enrollment Service (status update, audit) → SC V2 case/timeline update via SC V2 REST API.</w:t>
      </w:r>
    </w:p>
    <w:p>
      <w:pPr>
        <w:pStyle w:val="Heading2"/>
      </w:pPr>
      <w:r>
        <w:t>4.2 Design Principles</w:t>
      </w:r>
    </w:p>
    <w:p>
      <w:pPr>
        <w:pStyle w:val="ListBullet"/>
      </w:pPr>
      <w:r>
        <w:rPr>
          <w:b/>
        </w:rPr>
        <w:t xml:space="preserve">Clean core — </w:t>
      </w:r>
      <w:r>
        <w:t>no Enrollment Center UI or orchestration logic inside S/4HANA; only rule sets, released APIs and thin, governed custom function modules (re-using existing objects such as the program eligibility pre-check RFC and rate category services from the legacy build).</w:t>
      </w:r>
    </w:p>
    <w:p>
      <w:pPr>
        <w:pStyle w:val="ListBullet"/>
      </w:pPr>
      <w:r>
        <w:rPr>
          <w:b/>
        </w:rPr>
        <w:t xml:space="preserve">System of record unchanged — </w:t>
      </w:r>
      <w:r>
        <w:t>enrollment outcomes always materialize as standard S/4HANA Utilities objects (product/rate change, installment plan, contract account attributes, device/service order). BTP persists only process state and audit, never master data.</w:t>
      </w:r>
    </w:p>
    <w:p>
      <w:pPr>
        <w:pStyle w:val="ListBullet"/>
      </w:pPr>
      <w:r>
        <w:rPr>
          <w:b/>
        </w:rPr>
        <w:t xml:space="preserve">One eligibility service — </w:t>
      </w:r>
      <w:r>
        <w:t>a single eligibility API evaluates all programs for all of a customer's contract accounts in one call, returning eligible programs and per-program failure reasons with severity (hard stop vs. warning) — the same contract as the legacy BRF+ design.</w:t>
      </w:r>
    </w:p>
    <w:p>
      <w:pPr>
        <w:pStyle w:val="ListBullet"/>
      </w:pPr>
      <w:r>
        <w:rPr>
          <w:b/>
        </w:rPr>
        <w:t xml:space="preserve">Configuration over code — </w:t>
      </w:r>
      <w:r>
        <w:t>programs are catalog entries (name, description, required inputs, eligibility rule set ID, fulfillment recipe) so new programs avoid UI change.</w:t>
      </w:r>
    </w:p>
    <w:p>
      <w:pPr>
        <w:pStyle w:val="ListBullet"/>
      </w:pPr>
      <w:r>
        <w:rPr>
          <w:b/>
        </w:rPr>
        <w:t xml:space="preserve">Channel-agnostic services — </w:t>
      </w:r>
      <w:r>
        <w:t>the same enrollment APIs can later serve customer self-service web/mobile, IVR and field mobile without rework.</w:t>
      </w:r>
    </w:p>
    <w:p>
      <w:pPr>
        <w:pStyle w:val="Heading2"/>
      </w:pPr>
      <w:r>
        <w:t>4.3 Enrollment Center UI</w:t>
      </w:r>
    </w:p>
    <w:p>
      <w:r>
        <w:rPr>
          <w:b w:val="0"/>
        </w:rPr>
        <w:t>The UI reproduces and modernizes the four proven panels of the legacy Enrollment Center:</w:t>
      </w:r>
    </w:p>
    <w:p>
      <w:pPr>
        <w:pStyle w:val="ListBullet"/>
      </w:pPr>
      <w:r>
        <w:rPr>
          <w:b/>
        </w:rPr>
        <w:t xml:space="preserve">Participating Programs — </w:t>
      </w:r>
      <w:r>
        <w:t>current enrollments with status (Pending Enrollment, Enrolled, Pending De-enrollment), requested vs. actual start/end dates, and a one-click De-enroll action with program-specific exit prompts.</w:t>
      </w:r>
    </w:p>
    <w:p>
      <w:pPr>
        <w:pStyle w:val="ListBullet"/>
      </w:pPr>
      <w:r>
        <w:rPr>
          <w:b/>
        </w:rPr>
        <w:t xml:space="preserve">Available Programs — </w:t>
      </w:r>
      <w:r>
        <w:t>eligible programs as one-click Enroll actions with guided, program-specific data capture; hover/expand shows program description and terms.</w:t>
      </w:r>
    </w:p>
    <w:p>
      <w:pPr>
        <w:pStyle w:val="ListBullet"/>
      </w:pPr>
      <w:r>
        <w:rPr>
          <w:b/>
        </w:rPr>
        <w:t xml:space="preserve">Eligibility Messages — </w:t>
      </w:r>
      <w:r>
        <w:t>per-program ineligibility reasons; hard stops block enrollment, warnings allow agent (or supervisor-approved) continuation.</w:t>
      </w:r>
    </w:p>
    <w:p>
      <w:pPr>
        <w:pStyle w:val="ListBullet"/>
      </w:pPr>
      <w:r>
        <w:rPr>
          <w:b/>
        </w:rPr>
        <w:t xml:space="preserve">Program History — </w:t>
      </w:r>
      <w:r>
        <w:t>past participation with start/end dates, supporting re-enrollment rules and customer conversation.</w:t>
      </w:r>
    </w:p>
    <w:p>
      <w:r>
        <w:rPr>
          <w:b w:val="0"/>
        </w:rPr>
        <w:t>Technology choice: SAPUI5/Fiori Elements (TypeScript) hosted in the HTML5 Application Repository is recommended for the agent UI because of the guided multi-step capture, complex table interactions and theming alignment with SC V2 (Horizon). SAP Build Apps remains a viable low-code alternative if the client prioritizes citizen-development ownership; the API layer is identical in both cases.</w:t>
      </w:r>
    </w:p>
    <w:p>
      <w:r>
        <w:br w:type="page"/>
      </w:r>
    </w:p>
    <w:p>
      <w:pPr>
        <w:pStyle w:val="Heading1"/>
      </w:pPr>
      <w:r>
        <w:t>5. Functional Process Flow</w:t>
      </w:r>
    </w:p>
    <w:p>
      <w:pPr>
        <w:pStyle w:val="Heading2"/>
      </w:pPr>
      <w:r>
        <w:t>5.1 Main Flow: Enrollment During a Call</w:t>
      </w:r>
    </w:p>
    <w:p>
      <w:pPr>
        <w:pStyle w:val="ListNumber"/>
      </w:pPr>
      <w:r>
        <w:t>Call arrives — CTI screen-pop in SC V2 identifies the caller; the agent confirms identity. A case/interaction is created (or continued) in SC V2.</w:t>
      </w:r>
    </w:p>
    <w:p>
      <w:pPr>
        <w:pStyle w:val="ListNumber"/>
      </w:pPr>
      <w:r>
        <w:t>Agent opens the Enrollment Center from the customer/case workspace. SC V2 passes context (business partner ID, contract account, case ID, agent ID) to the embedded BTP UI via URL/token parameters.</w:t>
      </w:r>
    </w:p>
    <w:p>
      <w:pPr>
        <w:pStyle w:val="ListNumber"/>
      </w:pPr>
      <w:r>
        <w:t>Context load — the Enrollment Service retrieves customer, premise, installation, point of delivery, device, contract and contract account data from S/4HANA Utilities (read iFlows), plus current participation and history.</w:t>
      </w:r>
    </w:p>
    <w:p>
      <w:pPr>
        <w:pStyle w:val="ListNumber"/>
      </w:pPr>
      <w:r>
        <w:t>Eligibility check — one call to the Eligibility API evaluates all programs for all contract accounts (S/4HANA BRF+ rule sets via RFC facade, optionally supplemented by BTP-side rules for channel/campaign logic). The UI renders Participating, Available and Eligibility Message panels.</w:t>
      </w:r>
    </w:p>
    <w:p>
      <w:pPr>
        <w:pStyle w:val="ListNumber"/>
      </w:pPr>
      <w:r>
        <w:t>Agent advises the customer and selects a program; the UI presents the program-specific capture form (start date, plan terms, device details, consent statements, document upload where required).</w:t>
      </w:r>
    </w:p>
    <w:p>
      <w:pPr>
        <w:pStyle w:val="ListNumber"/>
      </w:pPr>
      <w:r>
        <w:t>Submit — the Enrollment Service re-validates eligibility (defense against stale data), enforces field and cross-field rules, persists the enrollment request (status: Submitted) with full audit, and acknowledges the agent within the same interaction.</w:t>
      </w:r>
    </w:p>
    <w:p>
      <w:pPr>
        <w:pStyle w:val="ListNumber"/>
      </w:pPr>
      <w:r>
        <w:t>Fulfillment — Cloud Integration executes the program's fulfillment recipe against S/4HANA Utilities (e.g., product/rate change on the utilities contract, FI-CA installment plan creation for DPP, contract account attribute update for CSDD, service order for device programs). Simple recipes run synchronously; long-running ones run asynchronously with the request set to Pending Backend.</w:t>
      </w:r>
    </w:p>
    <w:p>
      <w:pPr>
        <w:pStyle w:val="ListNumber"/>
      </w:pPr>
      <w:r>
        <w:t>Confirmation — S/4HANA emits a business event / status message consumed via Event Mesh; the Enrollment Service sets the status to Enrolled (or Rejected/Error) and records actual effective dates.</w:t>
      </w:r>
    </w:p>
    <w:p>
      <w:pPr>
        <w:pStyle w:val="ListNumber"/>
      </w:pPr>
      <w:r>
        <w:t>Agent visibility — the Enrollment Center refreshes in place; the Enrollment Service also writes a timeline/case update back to SC V2 so status is visible without reopening the Enrollment Center.</w:t>
      </w:r>
    </w:p>
    <w:p>
      <w:pPr>
        <w:pStyle w:val="ListNumber"/>
      </w:pPr>
      <w:r>
        <w:t>Wrap-up — the agent completes the case; enrollment reference and status remain linked to the SC V2 case for future interactions and reporting.</w:t>
      </w:r>
    </w:p>
    <w:p>
      <w:pPr>
        <w:pStyle w:val="Heading2"/>
      </w:pPr>
      <w:r>
        <w:t>5.2 De-enrollment Flow</w:t>
      </w:r>
    </w:p>
    <w:p>
      <w:r>
        <w:rPr>
          <w:b w:val="0"/>
        </w:rPr>
        <w:t>From Participating Programs, the agent triggers De-enroll. The service validates exit rules (minimum participation period, outstanding balances for payment plans, pending device work), captures the reason code, sets the record to Pending De-enrollment and executes the reversal recipe in S/4HANA (e.g., product change back to standard rate, plan deactivation). Confirmation follows the same event-driven status path.</w:t>
      </w:r>
    </w:p>
    <w:p>
      <w:pPr>
        <w:pStyle w:val="Heading2"/>
      </w:pPr>
      <w:r>
        <w:t>5.3 Move-In Variant</w:t>
      </w:r>
    </w:p>
    <w:p>
      <w:r>
        <w:rPr>
          <w:b w:val="0"/>
        </w:rPr>
        <w:t>Consistent with the legacy design decision (standalone Enrollment Center on active contracts), enrollment during a move-in is initiated after the move-in is created: when the S/4HANA move-in completes, an event notifies the Enrollment Service, which flags the SC V2 case with an “offer customer programs” prompt (and can pre-run eligibility). Programs whose rules require an active/billed contract remain hidden until the contract is active.</w:t>
      </w:r>
    </w:p>
    <w:p>
      <w:pPr>
        <w:pStyle w:val="Heading2"/>
      </w:pPr>
      <w:r>
        <w:t>5.4 Enrollment Status Model</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304"/>
            <w:shd w:val="clear" w:fill="1F4E79"/>
          </w:tcPr>
          <w:p>
            <w:r/>
            <w:r>
              <w:rPr>
                <w:b/>
                <w:color w:val="FFFFFF"/>
                <w:sz w:val="19"/>
              </w:rPr>
              <w:t>Status</w:t>
            </w:r>
          </w:p>
        </w:tc>
        <w:tc>
          <w:tcPr>
            <w:tcW w:type="dxa" w:w="2304"/>
            <w:shd w:val="clear" w:fill="1F4E79"/>
          </w:tcPr>
          <w:p>
            <w:r/>
            <w:r>
              <w:rPr>
                <w:b/>
                <w:color w:val="FFFFFF"/>
                <w:sz w:val="19"/>
              </w:rPr>
              <w:t>Set By</w:t>
            </w:r>
          </w:p>
        </w:tc>
        <w:tc>
          <w:tcPr>
            <w:tcW w:type="dxa" w:w="4752"/>
            <w:shd w:val="clear" w:fill="1F4E79"/>
          </w:tcPr>
          <w:p>
            <w:r/>
            <w:r>
              <w:rPr>
                <w:b/>
                <w:color w:val="FFFFFF"/>
                <w:sz w:val="19"/>
              </w:rPr>
              <w:t>Meaning</w:t>
            </w:r>
          </w:p>
        </w:tc>
      </w:tr>
      <w:tr>
        <w:tc>
          <w:tcPr>
            <w:tcW w:type="dxa" w:w="2304"/>
          </w:tcPr>
          <w:p>
            <w:r/>
            <w:r>
              <w:rPr>
                <w:sz w:val="19"/>
              </w:rPr>
              <w:t>Draft</w:t>
            </w:r>
          </w:p>
        </w:tc>
        <w:tc>
          <w:tcPr>
            <w:tcW w:type="dxa" w:w="2304"/>
          </w:tcPr>
          <w:p>
            <w:r/>
            <w:r>
              <w:rPr>
                <w:sz w:val="19"/>
              </w:rPr>
              <w:t>Enrollment UI</w:t>
            </w:r>
          </w:p>
        </w:tc>
        <w:tc>
          <w:tcPr>
            <w:tcW w:type="dxa" w:w="4752"/>
          </w:tcPr>
          <w:p>
            <w:r/>
            <w:r>
              <w:rPr>
                <w:sz w:val="19"/>
              </w:rPr>
              <w:t>Data capture in progress; not yet submitted.</w:t>
            </w:r>
          </w:p>
        </w:tc>
      </w:tr>
      <w:tr>
        <w:tc>
          <w:tcPr>
            <w:tcW w:type="dxa" w:w="2304"/>
            <w:shd w:val="clear" w:fill="DEEAF6"/>
          </w:tcPr>
          <w:p>
            <w:r/>
            <w:r>
              <w:rPr>
                <w:sz w:val="19"/>
              </w:rPr>
              <w:t>Submitted</w:t>
            </w:r>
          </w:p>
        </w:tc>
        <w:tc>
          <w:tcPr>
            <w:tcW w:type="dxa" w:w="2304"/>
            <w:shd w:val="clear" w:fill="DEEAF6"/>
          </w:tcPr>
          <w:p>
            <w:r/>
            <w:r>
              <w:rPr>
                <w:sz w:val="19"/>
              </w:rPr>
              <w:t>Enrollment Service</w:t>
            </w:r>
          </w:p>
        </w:tc>
        <w:tc>
          <w:tcPr>
            <w:tcW w:type="dxa" w:w="4752"/>
            <w:shd w:val="clear" w:fill="DEEAF6"/>
          </w:tcPr>
          <w:p>
            <w:r/>
            <w:r>
              <w:rPr>
                <w:sz w:val="19"/>
              </w:rPr>
              <w:t>Validated and accepted; audit written; fulfillment starting.</w:t>
            </w:r>
          </w:p>
        </w:tc>
      </w:tr>
      <w:tr>
        <w:tc>
          <w:tcPr>
            <w:tcW w:type="dxa" w:w="2304"/>
          </w:tcPr>
          <w:p>
            <w:r/>
            <w:r>
              <w:rPr>
                <w:sz w:val="19"/>
              </w:rPr>
              <w:t>Pending Backend</w:t>
            </w:r>
          </w:p>
        </w:tc>
        <w:tc>
          <w:tcPr>
            <w:tcW w:type="dxa" w:w="2304"/>
          </w:tcPr>
          <w:p>
            <w:r/>
            <w:r>
              <w:rPr>
                <w:sz w:val="19"/>
              </w:rPr>
              <w:t>Enrollment Service</w:t>
            </w:r>
          </w:p>
        </w:tc>
        <w:tc>
          <w:tcPr>
            <w:tcW w:type="dxa" w:w="4752"/>
          </w:tcPr>
          <w:p>
            <w:r/>
            <w:r>
              <w:rPr>
                <w:sz w:val="19"/>
              </w:rPr>
              <w:t>Fulfillment recipe dispatched to S/4HANA; awaiting confirmation.</w:t>
            </w:r>
          </w:p>
        </w:tc>
      </w:tr>
      <w:tr>
        <w:tc>
          <w:tcPr>
            <w:tcW w:type="dxa" w:w="2304"/>
            <w:shd w:val="clear" w:fill="DEEAF6"/>
          </w:tcPr>
          <w:p>
            <w:r/>
            <w:r>
              <w:rPr>
                <w:sz w:val="19"/>
              </w:rPr>
              <w:t>Enrolled / Active</w:t>
            </w:r>
          </w:p>
        </w:tc>
        <w:tc>
          <w:tcPr>
            <w:tcW w:type="dxa" w:w="2304"/>
            <w:shd w:val="clear" w:fill="DEEAF6"/>
          </w:tcPr>
          <w:p>
            <w:r/>
            <w:r>
              <w:rPr>
                <w:sz w:val="19"/>
              </w:rPr>
              <w:t>S/4HANA event</w:t>
            </w:r>
          </w:p>
        </w:tc>
        <w:tc>
          <w:tcPr>
            <w:tcW w:type="dxa" w:w="4752"/>
            <w:shd w:val="clear" w:fill="DEEAF6"/>
          </w:tcPr>
          <w:p>
            <w:r/>
            <w:r>
              <w:rPr>
                <w:sz w:val="19"/>
              </w:rPr>
              <w:t>Backend object created/changed; actual start date recorded.</w:t>
            </w:r>
          </w:p>
        </w:tc>
      </w:tr>
      <w:tr>
        <w:tc>
          <w:tcPr>
            <w:tcW w:type="dxa" w:w="2304"/>
          </w:tcPr>
          <w:p>
            <w:r/>
            <w:r>
              <w:rPr>
                <w:sz w:val="19"/>
              </w:rPr>
              <w:t>Rejected</w:t>
            </w:r>
          </w:p>
        </w:tc>
        <w:tc>
          <w:tcPr>
            <w:tcW w:type="dxa" w:w="2304"/>
          </w:tcPr>
          <w:p>
            <w:r/>
            <w:r>
              <w:rPr>
                <w:sz w:val="19"/>
              </w:rPr>
              <w:t>Eligibility / S/4HANA</w:t>
            </w:r>
          </w:p>
        </w:tc>
        <w:tc>
          <w:tcPr>
            <w:tcW w:type="dxa" w:w="4752"/>
          </w:tcPr>
          <w:p>
            <w:r/>
            <w:r>
              <w:rPr>
                <w:sz w:val="19"/>
              </w:rPr>
              <w:t>Hard-stop failure at submit or backend rejection with reason.</w:t>
            </w:r>
          </w:p>
        </w:tc>
      </w:tr>
      <w:tr>
        <w:tc>
          <w:tcPr>
            <w:tcW w:type="dxa" w:w="2304"/>
            <w:shd w:val="clear" w:fill="DEEAF6"/>
          </w:tcPr>
          <w:p>
            <w:r/>
            <w:r>
              <w:rPr>
                <w:sz w:val="19"/>
              </w:rPr>
              <w:t>Error – In Review</w:t>
            </w:r>
          </w:p>
        </w:tc>
        <w:tc>
          <w:tcPr>
            <w:tcW w:type="dxa" w:w="2304"/>
            <w:shd w:val="clear" w:fill="DEEAF6"/>
          </w:tcPr>
          <w:p>
            <w:r/>
            <w:r>
              <w:rPr>
                <w:sz w:val="19"/>
              </w:rPr>
              <w:t>Integration layer / workflow</w:t>
            </w:r>
          </w:p>
        </w:tc>
        <w:tc>
          <w:tcPr>
            <w:tcW w:type="dxa" w:w="4752"/>
            <w:shd w:val="clear" w:fill="DEEAF6"/>
          </w:tcPr>
          <w:p>
            <w:r/>
            <w:r>
              <w:rPr>
                <w:sz w:val="19"/>
              </w:rPr>
              <w:t>Technical or data error routed to exception workflow (see Section 10).</w:t>
            </w:r>
          </w:p>
        </w:tc>
      </w:tr>
      <w:tr>
        <w:tc>
          <w:tcPr>
            <w:tcW w:type="dxa" w:w="2304"/>
          </w:tcPr>
          <w:p>
            <w:r/>
            <w:r>
              <w:rPr>
                <w:sz w:val="19"/>
              </w:rPr>
              <w:t>Pending De-enrollment</w:t>
            </w:r>
          </w:p>
        </w:tc>
        <w:tc>
          <w:tcPr>
            <w:tcW w:type="dxa" w:w="2304"/>
          </w:tcPr>
          <w:p>
            <w:r/>
            <w:r>
              <w:rPr>
                <w:sz w:val="19"/>
              </w:rPr>
              <w:t>Enrollment Service</w:t>
            </w:r>
          </w:p>
        </w:tc>
        <w:tc>
          <w:tcPr>
            <w:tcW w:type="dxa" w:w="4752"/>
          </w:tcPr>
          <w:p>
            <w:r/>
            <w:r>
              <w:rPr>
                <w:sz w:val="19"/>
              </w:rPr>
              <w:t>De-enrollment submitted; awaiting backend confirmation.</w:t>
            </w:r>
          </w:p>
        </w:tc>
      </w:tr>
      <w:tr>
        <w:tc>
          <w:tcPr>
            <w:tcW w:type="dxa" w:w="2304"/>
            <w:shd w:val="clear" w:fill="DEEAF6"/>
          </w:tcPr>
          <w:p>
            <w:r/>
            <w:r>
              <w:rPr>
                <w:sz w:val="19"/>
              </w:rPr>
              <w:t>De-enrolled / Ended</w:t>
            </w:r>
          </w:p>
        </w:tc>
        <w:tc>
          <w:tcPr>
            <w:tcW w:type="dxa" w:w="2304"/>
            <w:shd w:val="clear" w:fill="DEEAF6"/>
          </w:tcPr>
          <w:p>
            <w:r/>
            <w:r>
              <w:rPr>
                <w:sz w:val="19"/>
              </w:rPr>
              <w:t>S/4HANA event</w:t>
            </w:r>
          </w:p>
        </w:tc>
        <w:tc>
          <w:tcPr>
            <w:tcW w:type="dxa" w:w="4752"/>
            <w:shd w:val="clear" w:fill="DEEAF6"/>
          </w:tcPr>
          <w:p>
            <w:r/>
            <w:r>
              <w:rPr>
                <w:sz w:val="19"/>
              </w:rPr>
              <w:t>Participation ended; end date recorded in history.</w:t>
            </w:r>
          </w:p>
        </w:tc>
      </w:tr>
    </w:tbl>
    <w:p>
      <w:pPr>
        <w:spacing w:after="40"/>
      </w:pPr>
    </w:p>
    <w:p>
      <w:r>
        <w:br w:type="page"/>
      </w:r>
    </w:p>
    <w:p>
      <w:pPr>
        <w:pStyle w:val="Heading1"/>
      </w:pPr>
      <w:r>
        <w:t>6. Integration Design</w:t>
      </w:r>
    </w:p>
    <w:p>
      <w:pPr>
        <w:pStyle w:val="Heading2"/>
      </w:pPr>
      <w:r>
        <w:t>6.1 SC V2 ↔ Enrollment Center UI</w:t>
      </w:r>
    </w:p>
    <w:p>
      <w:pPr>
        <w:pStyle w:val="ListBullet"/>
      </w:pPr>
      <w:r>
        <w:t>The Enrollment Center is embedded in the SC V2 agent workspace using SC V2 UI integration for external applications (mashup/custom tab on the Customer 360 and Case screens), receiving signed context (business partner, contract account, case ID) — no re-search by the agent.</w:t>
      </w:r>
    </w:p>
    <w:p>
      <w:pPr>
        <w:pStyle w:val="ListBullet"/>
      </w:pPr>
      <w:r>
        <w:t>Single sign-on via SAP Cloud Identity Services (IAS): the agent's SC V2 identity propagates to the BTP UI and APIs (OAuth2/OpenID Connect), so all actions are performed and audited under the agent's named user.</w:t>
      </w:r>
    </w:p>
    <w:p>
      <w:pPr>
        <w:pStyle w:val="ListBullet"/>
      </w:pPr>
      <w:r>
        <w:t>The Enrollment Service writes status updates back to SC V2 via its public REST APIs (case update / timeline entry); optionally SC V2 autoflows react to incoming status to trigger follow-up tasks or customer notifications.</w:t>
      </w:r>
    </w:p>
    <w:p>
      <w:pPr>
        <w:pStyle w:val="Heading2"/>
      </w:pPr>
      <w:r>
        <w:t>6.2 BTP Enrollment Service APIs</w:t>
      </w:r>
    </w:p>
    <w:p>
      <w:r>
        <w:rPr>
          <w:b w:val="0"/>
        </w:rPr>
        <w:t>A CAP-based Enrollment Service exposes the functional API consumed by the UI (and future channels), published and governed through API Management. See Section 8 for the full API list.</w:t>
      </w:r>
    </w:p>
    <w:p>
      <w:pPr>
        <w:pStyle w:val="Heading2"/>
      </w:pPr>
      <w:r>
        <w:t>6.3 Integration Suite ↔ S/4HANA Utilities</w:t>
      </w:r>
    </w:p>
    <w:p>
      <w:pPr>
        <w:pStyle w:val="ListBullet"/>
      </w:pPr>
      <w:r>
        <w:t>Released OData APIs are used wherever available (business partner, contract account/FI-CA, utilities contract and premise/connection data via released CDS-based services).</w:t>
      </w:r>
    </w:p>
    <w:p>
      <w:pPr>
        <w:pStyle w:val="ListBullet"/>
      </w:pPr>
      <w:r>
        <w:t>SOAP services and BAPIs/RFCs (via Cloud Connector where on-premise) cover utilities-specific operations without released OData equivalents — e.g., move-in/product change BAPIs, budget billing/installment plan functions, and re-use of existing custom RFCs from the legacy build such as the program eligibility pre-check function module and rate category eligibility services.</w:t>
      </w:r>
    </w:p>
    <w:p>
      <w:pPr>
        <w:pStyle w:val="ListBullet"/>
      </w:pPr>
      <w:r>
        <w:t>IDocs remain acceptable for high-volume asynchronous confirmations where the client already operates IDoc monitoring; otherwise business events via Event Mesh are preferred.</w:t>
      </w:r>
    </w:p>
    <w:p>
      <w:pPr>
        <w:pStyle w:val="ListBullet"/>
      </w:pPr>
      <w:r>
        <w:t>Where no standard API exists (e.g., program-specific enrollment tables), a thin custom OData/RFC service is built in S/4HANA following the client's WRICEF governance — kept UI-agnostic so it serves all channels.</w:t>
      </w:r>
    </w:p>
    <w:p>
      <w:pPr>
        <w:pStyle w:val="Heading2"/>
      </w:pPr>
      <w:r>
        <w:t>6.4 Event Mesh (Asynchronous Backbone)</w:t>
      </w:r>
    </w:p>
    <w:p>
      <w:pPr>
        <w:pStyle w:val="ListBullet"/>
      </w:pPr>
      <w:r>
        <w:t>S/4HANA Utilities business events (contract created/changed, move-in completed, installment plan created, BPEM case closed) are published to Event Mesh topics.</w:t>
      </w:r>
    </w:p>
    <w:p>
      <w:pPr>
        <w:pStyle w:val="ListBullet"/>
      </w:pPr>
      <w:r>
        <w:t>The Enrollment Service subscribes to update enrollment status, write audit entries and push SC V2 case updates — decoupling agent experience from backend processing time.</w:t>
      </w:r>
    </w:p>
    <w:p>
      <w:pPr>
        <w:pStyle w:val="ListBullet"/>
      </w:pPr>
      <w:r>
        <w:t>Dead-letter queues plus redelivery policies guarantee no lost confirmations; unprocessable events route to the exception workflow.</w:t>
      </w:r>
    </w:p>
    <w:p>
      <w:pPr>
        <w:pStyle w:val="Heading2"/>
      </w:pPr>
      <w:r>
        <w:t>6.5 Integration Flow Inventory</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720"/>
            <w:shd w:val="clear" w:fill="1F4E79"/>
          </w:tcPr>
          <w:p>
            <w:r/>
            <w:r>
              <w:rPr>
                <w:b/>
                <w:color w:val="FFFFFF"/>
                <w:sz w:val="18"/>
              </w:rPr>
              <w:t>#</w:t>
            </w:r>
          </w:p>
        </w:tc>
        <w:tc>
          <w:tcPr>
            <w:tcW w:type="dxa" w:w="2160"/>
            <w:shd w:val="clear" w:fill="1F4E79"/>
          </w:tcPr>
          <w:p>
            <w:r/>
            <w:r>
              <w:rPr>
                <w:b/>
                <w:color w:val="FFFFFF"/>
                <w:sz w:val="18"/>
              </w:rPr>
              <w:t>Flow</w:t>
            </w:r>
          </w:p>
        </w:tc>
        <w:tc>
          <w:tcPr>
            <w:tcW w:type="dxa" w:w="1296"/>
            <w:shd w:val="clear" w:fill="1F4E79"/>
          </w:tcPr>
          <w:p>
            <w:r/>
            <w:r>
              <w:rPr>
                <w:b/>
                <w:color w:val="FFFFFF"/>
                <w:sz w:val="18"/>
              </w:rPr>
              <w:t>Direction</w:t>
            </w:r>
          </w:p>
        </w:tc>
        <w:tc>
          <w:tcPr>
            <w:tcW w:type="dxa" w:w="2160"/>
            <w:shd w:val="clear" w:fill="1F4E79"/>
          </w:tcPr>
          <w:p>
            <w:r/>
            <w:r>
              <w:rPr>
                <w:b/>
                <w:color w:val="FFFFFF"/>
                <w:sz w:val="18"/>
              </w:rPr>
              <w:t>Style / Protocol</w:t>
            </w:r>
          </w:p>
        </w:tc>
        <w:tc>
          <w:tcPr>
            <w:tcW w:type="dxa" w:w="3024"/>
            <w:shd w:val="clear" w:fill="1F4E79"/>
          </w:tcPr>
          <w:p>
            <w:r/>
            <w:r>
              <w:rPr>
                <w:b/>
                <w:color w:val="FFFFFF"/>
                <w:sz w:val="18"/>
              </w:rPr>
              <w:t>Purpose</w:t>
            </w:r>
          </w:p>
        </w:tc>
      </w:tr>
      <w:tr>
        <w:tc>
          <w:tcPr>
            <w:tcW w:type="dxa" w:w="720"/>
          </w:tcPr>
          <w:p>
            <w:r/>
            <w:r>
              <w:rPr>
                <w:sz w:val="18"/>
              </w:rPr>
              <w:t>IF-01</w:t>
            </w:r>
          </w:p>
        </w:tc>
        <w:tc>
          <w:tcPr>
            <w:tcW w:type="dxa" w:w="2160"/>
          </w:tcPr>
          <w:p>
            <w:r/>
            <w:r>
              <w:rPr>
                <w:sz w:val="18"/>
              </w:rPr>
              <w:t>Customer Context Read</w:t>
            </w:r>
          </w:p>
        </w:tc>
        <w:tc>
          <w:tcPr>
            <w:tcW w:type="dxa" w:w="1296"/>
          </w:tcPr>
          <w:p>
            <w:r/>
            <w:r>
              <w:rPr>
                <w:sz w:val="18"/>
              </w:rPr>
              <w:t>BTP → S/4</w:t>
            </w:r>
          </w:p>
        </w:tc>
        <w:tc>
          <w:tcPr>
            <w:tcW w:type="dxa" w:w="2160"/>
          </w:tcPr>
          <w:p>
            <w:r/>
            <w:r>
              <w:rPr>
                <w:sz w:val="18"/>
              </w:rPr>
              <w:t>Sync OData (parallelized reads)</w:t>
            </w:r>
          </w:p>
        </w:tc>
        <w:tc>
          <w:tcPr>
            <w:tcW w:type="dxa" w:w="3024"/>
          </w:tcPr>
          <w:p>
            <w:r/>
            <w:r>
              <w:rPr>
                <w:sz w:val="18"/>
              </w:rPr>
              <w:t>BP, contract account, premise, installation, PoD, device, contract snapshot for the Enrollment Center</w:t>
            </w:r>
          </w:p>
        </w:tc>
      </w:tr>
      <w:tr>
        <w:tc>
          <w:tcPr>
            <w:tcW w:type="dxa" w:w="720"/>
            <w:shd w:val="clear" w:fill="DEEAF6"/>
          </w:tcPr>
          <w:p>
            <w:r/>
            <w:r>
              <w:rPr>
                <w:sz w:val="18"/>
              </w:rPr>
              <w:t>IF-02</w:t>
            </w:r>
          </w:p>
        </w:tc>
        <w:tc>
          <w:tcPr>
            <w:tcW w:type="dxa" w:w="2160"/>
            <w:shd w:val="clear" w:fill="DEEAF6"/>
          </w:tcPr>
          <w:p>
            <w:r/>
            <w:r>
              <w:rPr>
                <w:sz w:val="18"/>
              </w:rPr>
              <w:t>Eligibility Check</w:t>
            </w:r>
          </w:p>
        </w:tc>
        <w:tc>
          <w:tcPr>
            <w:tcW w:type="dxa" w:w="1296"/>
            <w:shd w:val="clear" w:fill="DEEAF6"/>
          </w:tcPr>
          <w:p>
            <w:r/>
            <w:r>
              <w:rPr>
                <w:sz w:val="18"/>
              </w:rPr>
              <w:t>BTP → S/4</w:t>
            </w:r>
          </w:p>
        </w:tc>
        <w:tc>
          <w:tcPr>
            <w:tcW w:type="dxa" w:w="2160"/>
            <w:shd w:val="clear" w:fill="DEEAF6"/>
          </w:tcPr>
          <w:p>
            <w:r/>
            <w:r>
              <w:rPr>
                <w:sz w:val="18"/>
              </w:rPr>
              <w:t>Sync RFC/OData facade to BRF+ rule sets</w:t>
            </w:r>
          </w:p>
        </w:tc>
        <w:tc>
          <w:tcPr>
            <w:tcW w:type="dxa" w:w="3024"/>
            <w:shd w:val="clear" w:fill="DEEAF6"/>
          </w:tcPr>
          <w:p>
            <w:r/>
            <w:r>
              <w:rPr>
                <w:sz w:val="18"/>
              </w:rPr>
              <w:t>All programs × all contract accounts in one call; returns eligible list + failure reasons with severity</w:t>
            </w:r>
          </w:p>
        </w:tc>
      </w:tr>
      <w:tr>
        <w:tc>
          <w:tcPr>
            <w:tcW w:type="dxa" w:w="720"/>
          </w:tcPr>
          <w:p>
            <w:r/>
            <w:r>
              <w:rPr>
                <w:sz w:val="18"/>
              </w:rPr>
              <w:t>IF-03</w:t>
            </w:r>
          </w:p>
        </w:tc>
        <w:tc>
          <w:tcPr>
            <w:tcW w:type="dxa" w:w="2160"/>
          </w:tcPr>
          <w:p>
            <w:r/>
            <w:r>
              <w:rPr>
                <w:sz w:val="18"/>
              </w:rPr>
              <w:t>Enrollment Fulfillment</w:t>
            </w:r>
          </w:p>
        </w:tc>
        <w:tc>
          <w:tcPr>
            <w:tcW w:type="dxa" w:w="1296"/>
          </w:tcPr>
          <w:p>
            <w:r/>
            <w:r>
              <w:rPr>
                <w:sz w:val="18"/>
              </w:rPr>
              <w:t>BTP → S/4</w:t>
            </w:r>
          </w:p>
        </w:tc>
        <w:tc>
          <w:tcPr>
            <w:tcW w:type="dxa" w:w="2160"/>
          </w:tcPr>
          <w:p>
            <w:r/>
            <w:r>
              <w:rPr>
                <w:sz w:val="18"/>
              </w:rPr>
              <w:t>Sync or async per recipe (BAPI/OData/SOAP)</w:t>
            </w:r>
          </w:p>
        </w:tc>
        <w:tc>
          <w:tcPr>
            <w:tcW w:type="dxa" w:w="3024"/>
          </w:tcPr>
          <w:p>
            <w:r/>
            <w:r>
              <w:rPr>
                <w:sz w:val="18"/>
              </w:rPr>
              <w:t>Product/rate change, installment plan, contract account update, service order, prepay activation</w:t>
            </w:r>
          </w:p>
        </w:tc>
      </w:tr>
      <w:tr>
        <w:tc>
          <w:tcPr>
            <w:tcW w:type="dxa" w:w="720"/>
            <w:shd w:val="clear" w:fill="DEEAF6"/>
          </w:tcPr>
          <w:p>
            <w:r/>
            <w:r>
              <w:rPr>
                <w:sz w:val="18"/>
              </w:rPr>
              <w:t>IF-04</w:t>
            </w:r>
          </w:p>
        </w:tc>
        <w:tc>
          <w:tcPr>
            <w:tcW w:type="dxa" w:w="2160"/>
            <w:shd w:val="clear" w:fill="DEEAF6"/>
          </w:tcPr>
          <w:p>
            <w:r/>
            <w:r>
              <w:rPr>
                <w:sz w:val="18"/>
              </w:rPr>
              <w:t>De-enrollment Fulfillment</w:t>
            </w:r>
          </w:p>
        </w:tc>
        <w:tc>
          <w:tcPr>
            <w:tcW w:type="dxa" w:w="1296"/>
            <w:shd w:val="clear" w:fill="DEEAF6"/>
          </w:tcPr>
          <w:p>
            <w:r/>
            <w:r>
              <w:rPr>
                <w:sz w:val="18"/>
              </w:rPr>
              <w:t>BTP → S/4</w:t>
            </w:r>
          </w:p>
        </w:tc>
        <w:tc>
          <w:tcPr>
            <w:tcW w:type="dxa" w:w="2160"/>
            <w:shd w:val="clear" w:fill="DEEAF6"/>
          </w:tcPr>
          <w:p>
            <w:r/>
            <w:r>
              <w:rPr>
                <w:sz w:val="18"/>
              </w:rPr>
              <w:t>Sync or async per recipe</w:t>
            </w:r>
          </w:p>
        </w:tc>
        <w:tc>
          <w:tcPr>
            <w:tcW w:type="dxa" w:w="3024"/>
            <w:shd w:val="clear" w:fill="DEEAF6"/>
          </w:tcPr>
          <w:p>
            <w:r/>
            <w:r>
              <w:rPr>
                <w:sz w:val="18"/>
              </w:rPr>
              <w:t>Reversal recipes with exit-rule validation</w:t>
            </w:r>
          </w:p>
        </w:tc>
      </w:tr>
      <w:tr>
        <w:tc>
          <w:tcPr>
            <w:tcW w:type="dxa" w:w="720"/>
          </w:tcPr>
          <w:p>
            <w:r/>
            <w:r>
              <w:rPr>
                <w:sz w:val="18"/>
              </w:rPr>
              <w:t>IF-05</w:t>
            </w:r>
          </w:p>
        </w:tc>
        <w:tc>
          <w:tcPr>
            <w:tcW w:type="dxa" w:w="2160"/>
          </w:tcPr>
          <w:p>
            <w:r/>
            <w:r>
              <w:rPr>
                <w:sz w:val="18"/>
              </w:rPr>
              <w:t>Status Confirmation</w:t>
            </w:r>
          </w:p>
        </w:tc>
        <w:tc>
          <w:tcPr>
            <w:tcW w:type="dxa" w:w="1296"/>
          </w:tcPr>
          <w:p>
            <w:r/>
            <w:r>
              <w:rPr>
                <w:sz w:val="18"/>
              </w:rPr>
              <w:t>S/4 → BTP</w:t>
            </w:r>
          </w:p>
        </w:tc>
        <w:tc>
          <w:tcPr>
            <w:tcW w:type="dxa" w:w="2160"/>
          </w:tcPr>
          <w:p>
            <w:r/>
            <w:r>
              <w:rPr>
                <w:sz w:val="18"/>
              </w:rPr>
              <w:t>Async events (Event Mesh) / IDoc status</w:t>
            </w:r>
          </w:p>
        </w:tc>
        <w:tc>
          <w:tcPr>
            <w:tcW w:type="dxa" w:w="3024"/>
          </w:tcPr>
          <w:p>
            <w:r/>
            <w:r>
              <w:rPr>
                <w:sz w:val="18"/>
              </w:rPr>
              <w:t>Enrollment/de-enrollment outcome, actual dates, BPEM case references</w:t>
            </w:r>
          </w:p>
        </w:tc>
      </w:tr>
      <w:tr>
        <w:tc>
          <w:tcPr>
            <w:tcW w:type="dxa" w:w="720"/>
            <w:shd w:val="clear" w:fill="DEEAF6"/>
          </w:tcPr>
          <w:p>
            <w:r/>
            <w:r>
              <w:rPr>
                <w:sz w:val="18"/>
              </w:rPr>
              <w:t>IF-06</w:t>
            </w:r>
          </w:p>
        </w:tc>
        <w:tc>
          <w:tcPr>
            <w:tcW w:type="dxa" w:w="2160"/>
            <w:shd w:val="clear" w:fill="DEEAF6"/>
          </w:tcPr>
          <w:p>
            <w:r/>
            <w:r>
              <w:rPr>
                <w:sz w:val="18"/>
              </w:rPr>
              <w:t>SC V2 Case Update</w:t>
            </w:r>
          </w:p>
        </w:tc>
        <w:tc>
          <w:tcPr>
            <w:tcW w:type="dxa" w:w="1296"/>
            <w:shd w:val="clear" w:fill="DEEAF6"/>
          </w:tcPr>
          <w:p>
            <w:r/>
            <w:r>
              <w:rPr>
                <w:sz w:val="18"/>
              </w:rPr>
              <w:t>BTP → SC V2</w:t>
            </w:r>
          </w:p>
        </w:tc>
        <w:tc>
          <w:tcPr>
            <w:tcW w:type="dxa" w:w="2160"/>
            <w:shd w:val="clear" w:fill="DEEAF6"/>
          </w:tcPr>
          <w:p>
            <w:r/>
            <w:r>
              <w:rPr>
                <w:sz w:val="18"/>
              </w:rPr>
              <w:t>Sync REST</w:t>
            </w:r>
          </w:p>
        </w:tc>
        <w:tc>
          <w:tcPr>
            <w:tcW w:type="dxa" w:w="3024"/>
            <w:shd w:val="clear" w:fill="DEEAF6"/>
          </w:tcPr>
          <w:p>
            <w:r/>
            <w:r>
              <w:rPr>
                <w:sz w:val="18"/>
              </w:rPr>
              <w:t>Timeline/status write-back to the case</w:t>
            </w:r>
          </w:p>
        </w:tc>
      </w:tr>
      <w:tr>
        <w:tc>
          <w:tcPr>
            <w:tcW w:type="dxa" w:w="720"/>
          </w:tcPr>
          <w:p>
            <w:r/>
            <w:r>
              <w:rPr>
                <w:sz w:val="18"/>
              </w:rPr>
              <w:t>IF-07</w:t>
            </w:r>
          </w:p>
        </w:tc>
        <w:tc>
          <w:tcPr>
            <w:tcW w:type="dxa" w:w="2160"/>
          </w:tcPr>
          <w:p>
            <w:r/>
            <w:r>
              <w:rPr>
                <w:sz w:val="18"/>
              </w:rPr>
              <w:t>Document Store</w:t>
            </w:r>
          </w:p>
        </w:tc>
        <w:tc>
          <w:tcPr>
            <w:tcW w:type="dxa" w:w="1296"/>
          </w:tcPr>
          <w:p>
            <w:r/>
            <w:r>
              <w:rPr>
                <w:sz w:val="18"/>
              </w:rPr>
              <w:t>BTP internal / DMS</w:t>
            </w:r>
          </w:p>
        </w:tc>
        <w:tc>
          <w:tcPr>
            <w:tcW w:type="dxa" w:w="2160"/>
          </w:tcPr>
          <w:p>
            <w:r/>
            <w:r>
              <w:rPr>
                <w:sz w:val="18"/>
              </w:rPr>
              <w:t>Sync REST/CMIS</w:t>
            </w:r>
          </w:p>
        </w:tc>
        <w:tc>
          <w:tcPr>
            <w:tcW w:type="dxa" w:w="3024"/>
          </w:tcPr>
          <w:p>
            <w:r/>
            <w:r>
              <w:rPr>
                <w:sz w:val="18"/>
              </w:rPr>
              <w:t>Consent forms and supporting documents linked to the enrollment record</w:t>
            </w:r>
          </w:p>
        </w:tc>
      </w:tr>
      <w:tr>
        <w:tc>
          <w:tcPr>
            <w:tcW w:type="dxa" w:w="720"/>
            <w:shd w:val="clear" w:fill="DEEAF6"/>
          </w:tcPr>
          <w:p>
            <w:r/>
            <w:r>
              <w:rPr>
                <w:sz w:val="18"/>
              </w:rPr>
              <w:t>IF-08</w:t>
            </w:r>
          </w:p>
        </w:tc>
        <w:tc>
          <w:tcPr>
            <w:tcW w:type="dxa" w:w="2160"/>
            <w:shd w:val="clear" w:fill="DEEAF6"/>
          </w:tcPr>
          <w:p>
            <w:r/>
            <w:r>
              <w:rPr>
                <w:sz w:val="18"/>
              </w:rPr>
              <w:t>Exception Routing</w:t>
            </w:r>
          </w:p>
        </w:tc>
        <w:tc>
          <w:tcPr>
            <w:tcW w:type="dxa" w:w="1296"/>
            <w:shd w:val="clear" w:fill="DEEAF6"/>
          </w:tcPr>
          <w:p>
            <w:r/>
            <w:r>
              <w:rPr>
                <w:sz w:val="18"/>
              </w:rPr>
              <w:t>Any → BTP workflow</w:t>
            </w:r>
          </w:p>
        </w:tc>
        <w:tc>
          <w:tcPr>
            <w:tcW w:type="dxa" w:w="2160"/>
            <w:shd w:val="clear" w:fill="DEEAF6"/>
          </w:tcPr>
          <w:p>
            <w:r/>
            <w:r>
              <w:rPr>
                <w:sz w:val="18"/>
              </w:rPr>
              <w:t>Async</w:t>
            </w:r>
          </w:p>
        </w:tc>
        <w:tc>
          <w:tcPr>
            <w:tcW w:type="dxa" w:w="3024"/>
            <w:shd w:val="clear" w:fill="DEEAF6"/>
          </w:tcPr>
          <w:p>
            <w:r/>
            <w:r>
              <w:rPr>
                <w:sz w:val="18"/>
              </w:rPr>
              <w:t>Failed validations/fulfillments to SAP Build Process Automation inboxes</w:t>
            </w:r>
          </w:p>
        </w:tc>
      </w:tr>
    </w:tbl>
    <w:p>
      <w:pPr>
        <w:spacing w:after="40"/>
      </w:pPr>
    </w:p>
    <w:p>
      <w:r>
        <w:br w:type="page"/>
      </w:r>
    </w:p>
    <w:p>
      <w:pPr>
        <w:pStyle w:val="Heading1"/>
      </w:pPr>
      <w:r>
        <w:t>7. API List</w:t>
      </w:r>
    </w:p>
    <w:p>
      <w:pPr>
        <w:pStyle w:val="Heading2"/>
      </w:pPr>
      <w:r>
        <w:t>7.1 Enrollment Service APIs (BTP, consumed by UI / channels)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016"/>
            <w:shd w:val="clear" w:fill="1F4E79"/>
          </w:tcPr>
          <w:p>
            <w:r/>
            <w:r>
              <w:rPr>
                <w:b/>
                <w:color w:val="FFFFFF"/>
                <w:sz w:val="18"/>
              </w:rPr>
              <w:t>API</w:t>
            </w:r>
          </w:p>
        </w:tc>
        <w:tc>
          <w:tcPr>
            <w:tcW w:type="dxa" w:w="3312"/>
            <w:shd w:val="clear" w:fill="1F4E79"/>
          </w:tcPr>
          <w:p>
            <w:r/>
            <w:r>
              <w:rPr>
                <w:b/>
                <w:color w:val="FFFFFF"/>
                <w:sz w:val="18"/>
              </w:rPr>
              <w:t>Method / Path</w:t>
            </w:r>
          </w:p>
        </w:tc>
        <w:tc>
          <w:tcPr>
            <w:tcW w:type="dxa" w:w="4032"/>
            <w:shd w:val="clear" w:fill="1F4E79"/>
          </w:tcPr>
          <w:p>
            <w:r/>
            <w:r>
              <w:rPr>
                <w:b/>
                <w:color w:val="FFFFFF"/>
                <w:sz w:val="18"/>
              </w:rPr>
              <w:t>Description</w:t>
            </w:r>
          </w:p>
        </w:tc>
      </w:tr>
      <w:tr>
        <w:tc>
          <w:tcPr>
            <w:tcW w:type="dxa" w:w="2016"/>
          </w:tcPr>
          <w:p>
            <w:r/>
            <w:r>
              <w:rPr>
                <w:sz w:val="18"/>
              </w:rPr>
              <w:t>Customer Context</w:t>
            </w:r>
          </w:p>
        </w:tc>
        <w:tc>
          <w:tcPr>
            <w:tcW w:type="dxa" w:w="3312"/>
          </w:tcPr>
          <w:p>
            <w:r/>
            <w:r>
              <w:rPr>
                <w:sz w:val="18"/>
              </w:rPr>
              <w:t>GET /api/v1/customers/{bpId}/context</w:t>
            </w:r>
          </w:p>
        </w:tc>
        <w:tc>
          <w:tcPr>
            <w:tcW w:type="dxa" w:w="4032"/>
          </w:tcPr>
          <w:p>
            <w:r/>
            <w:r>
              <w:rPr>
                <w:sz w:val="18"/>
              </w:rPr>
              <w:t>Aggregated snapshot: accounts, premises, installations, devices, contracts, current participation</w:t>
            </w:r>
          </w:p>
        </w:tc>
      </w:tr>
      <w:tr>
        <w:tc>
          <w:tcPr>
            <w:tcW w:type="dxa" w:w="2016"/>
            <w:shd w:val="clear" w:fill="DEEAF6"/>
          </w:tcPr>
          <w:p>
            <w:r/>
            <w:r>
              <w:rPr>
                <w:sz w:val="18"/>
              </w:rPr>
              <w:t>Program Catalog</w:t>
            </w:r>
          </w:p>
        </w:tc>
        <w:tc>
          <w:tcPr>
            <w:tcW w:type="dxa" w:w="3312"/>
            <w:shd w:val="clear" w:fill="DEEAF6"/>
          </w:tcPr>
          <w:p>
            <w:r/>
            <w:r>
              <w:rPr>
                <w:sz w:val="18"/>
              </w:rPr>
              <w:t>GET /api/v1/programs</w:t>
            </w:r>
          </w:p>
        </w:tc>
        <w:tc>
          <w:tcPr>
            <w:tcW w:type="dxa" w:w="4032"/>
            <w:shd w:val="clear" w:fill="DEEAF6"/>
          </w:tcPr>
          <w:p>
            <w:r/>
            <w:r>
              <w:rPr>
                <w:sz w:val="18"/>
              </w:rPr>
              <w:t>Configured programs with descriptions, required inputs and capture forms metadata</w:t>
            </w:r>
          </w:p>
        </w:tc>
      </w:tr>
      <w:tr>
        <w:tc>
          <w:tcPr>
            <w:tcW w:type="dxa" w:w="2016"/>
          </w:tcPr>
          <w:p>
            <w:r/>
            <w:r>
              <w:rPr>
                <w:sz w:val="18"/>
              </w:rPr>
              <w:t>Eligibility Check</w:t>
            </w:r>
          </w:p>
        </w:tc>
        <w:tc>
          <w:tcPr>
            <w:tcW w:type="dxa" w:w="3312"/>
          </w:tcPr>
          <w:p>
            <w:r/>
            <w:r>
              <w:rPr>
                <w:sz w:val="18"/>
              </w:rPr>
              <w:t>POST /api/v1/eligibility:evaluate</w:t>
            </w:r>
          </w:p>
        </w:tc>
        <w:tc>
          <w:tcPr>
            <w:tcW w:type="dxa" w:w="4032"/>
          </w:tcPr>
          <w:p>
            <w:r/>
            <w:r>
              <w:rPr>
                <w:sz w:val="18"/>
              </w:rPr>
              <w:t>Evaluates all (or selected) programs for the customer's contract accounts; returns eligible programs and per-program messages (severity: HARD_STOP / WARNING)</w:t>
            </w:r>
          </w:p>
        </w:tc>
      </w:tr>
      <w:tr>
        <w:tc>
          <w:tcPr>
            <w:tcW w:type="dxa" w:w="2016"/>
            <w:shd w:val="clear" w:fill="DEEAF6"/>
          </w:tcPr>
          <w:p>
            <w:r/>
            <w:r>
              <w:rPr>
                <w:sz w:val="18"/>
              </w:rPr>
              <w:t>Create Enrollment</w:t>
            </w:r>
          </w:p>
        </w:tc>
        <w:tc>
          <w:tcPr>
            <w:tcW w:type="dxa" w:w="3312"/>
            <w:shd w:val="clear" w:fill="DEEAF6"/>
          </w:tcPr>
          <w:p>
            <w:r/>
            <w:r>
              <w:rPr>
                <w:sz w:val="18"/>
              </w:rPr>
              <w:t>POST /api/v1/enrollments</w:t>
            </w:r>
          </w:p>
        </w:tc>
        <w:tc>
          <w:tcPr>
            <w:tcW w:type="dxa" w:w="4032"/>
            <w:shd w:val="clear" w:fill="DEEAF6"/>
          </w:tcPr>
          <w:p>
            <w:r/>
            <w:r>
              <w:rPr>
                <w:sz w:val="18"/>
              </w:rPr>
              <w:t>Validates and submits an enrollment request (idempotency key required); returns enrollment ID + initial status</w:t>
            </w:r>
          </w:p>
        </w:tc>
      </w:tr>
      <w:tr>
        <w:tc>
          <w:tcPr>
            <w:tcW w:type="dxa" w:w="2016"/>
          </w:tcPr>
          <w:p>
            <w:r/>
            <w:r>
              <w:rPr>
                <w:sz w:val="18"/>
              </w:rPr>
              <w:t>Enrollment Status</w:t>
            </w:r>
          </w:p>
        </w:tc>
        <w:tc>
          <w:tcPr>
            <w:tcW w:type="dxa" w:w="3312"/>
          </w:tcPr>
          <w:p>
            <w:r/>
            <w:r>
              <w:rPr>
                <w:sz w:val="18"/>
              </w:rPr>
              <w:t>GET /api/v1/enrollments/{id}</w:t>
            </w:r>
          </w:p>
        </w:tc>
        <w:tc>
          <w:tcPr>
            <w:tcW w:type="dxa" w:w="4032"/>
          </w:tcPr>
          <w:p>
            <w:r/>
            <w:r>
              <w:rPr>
                <w:sz w:val="18"/>
              </w:rPr>
              <w:t>Current status, dates, backend references (contract, plan, order, BPEM case)</w:t>
            </w:r>
          </w:p>
        </w:tc>
      </w:tr>
      <w:tr>
        <w:tc>
          <w:tcPr>
            <w:tcW w:type="dxa" w:w="2016"/>
            <w:shd w:val="clear" w:fill="DEEAF6"/>
          </w:tcPr>
          <w:p>
            <w:r/>
            <w:r>
              <w:rPr>
                <w:sz w:val="18"/>
              </w:rPr>
              <w:t>Enrollment History</w:t>
            </w:r>
          </w:p>
        </w:tc>
        <w:tc>
          <w:tcPr>
            <w:tcW w:type="dxa" w:w="3312"/>
            <w:shd w:val="clear" w:fill="DEEAF6"/>
          </w:tcPr>
          <w:p>
            <w:r/>
            <w:r>
              <w:rPr>
                <w:sz w:val="18"/>
              </w:rPr>
              <w:t>GET /api/v1/customers/{bpId}/enrollments</w:t>
            </w:r>
          </w:p>
        </w:tc>
        <w:tc>
          <w:tcPr>
            <w:tcW w:type="dxa" w:w="4032"/>
            <w:shd w:val="clear" w:fill="DEEAF6"/>
          </w:tcPr>
          <w:p>
            <w:r/>
            <w:r>
              <w:rPr>
                <w:sz w:val="18"/>
              </w:rPr>
              <w:t>Participation history across programs (feeds Program History panel and re-enrollment rules)</w:t>
            </w:r>
          </w:p>
        </w:tc>
      </w:tr>
      <w:tr>
        <w:tc>
          <w:tcPr>
            <w:tcW w:type="dxa" w:w="2016"/>
          </w:tcPr>
          <w:p>
            <w:r/>
            <w:r>
              <w:rPr>
                <w:sz w:val="18"/>
              </w:rPr>
              <w:t>De-enrollment</w:t>
            </w:r>
          </w:p>
        </w:tc>
        <w:tc>
          <w:tcPr>
            <w:tcW w:type="dxa" w:w="3312"/>
          </w:tcPr>
          <w:p>
            <w:r/>
            <w:r>
              <w:rPr>
                <w:sz w:val="18"/>
              </w:rPr>
              <w:t>POST /api/v1/enrollments/{id}:deenroll</w:t>
            </w:r>
          </w:p>
        </w:tc>
        <w:tc>
          <w:tcPr>
            <w:tcW w:type="dxa" w:w="4032"/>
          </w:tcPr>
          <w:p>
            <w:r/>
            <w:r>
              <w:rPr>
                <w:sz w:val="18"/>
              </w:rPr>
              <w:t>Exit-rule validation and de-enrollment submission with reason code</w:t>
            </w:r>
          </w:p>
        </w:tc>
      </w:tr>
      <w:tr>
        <w:tc>
          <w:tcPr>
            <w:tcW w:type="dxa" w:w="2016"/>
            <w:shd w:val="clear" w:fill="DEEAF6"/>
          </w:tcPr>
          <w:p>
            <w:r/>
            <w:r>
              <w:rPr>
                <w:sz w:val="18"/>
              </w:rPr>
              <w:t>Documents</w:t>
            </w:r>
          </w:p>
        </w:tc>
        <w:tc>
          <w:tcPr>
            <w:tcW w:type="dxa" w:w="3312"/>
            <w:shd w:val="clear" w:fill="DEEAF6"/>
          </w:tcPr>
          <w:p>
            <w:r/>
            <w:r>
              <w:rPr>
                <w:sz w:val="18"/>
              </w:rPr>
              <w:t>POST /api/v1/enrollments/{id}/documents</w:t>
            </w:r>
          </w:p>
        </w:tc>
        <w:tc>
          <w:tcPr>
            <w:tcW w:type="dxa" w:w="4032"/>
            <w:shd w:val="clear" w:fill="DEEAF6"/>
          </w:tcPr>
          <w:p>
            <w:r/>
            <w:r>
              <w:rPr>
                <w:sz w:val="18"/>
              </w:rPr>
              <w:t>Attach consent/supporting documents</w:t>
            </w:r>
          </w:p>
        </w:tc>
      </w:tr>
      <w:tr>
        <w:tc>
          <w:tcPr>
            <w:tcW w:type="dxa" w:w="2016"/>
          </w:tcPr>
          <w:p>
            <w:r/>
            <w:r>
              <w:rPr>
                <w:sz w:val="18"/>
              </w:rPr>
              <w:t>Exceptions</w:t>
            </w:r>
          </w:p>
        </w:tc>
        <w:tc>
          <w:tcPr>
            <w:tcW w:type="dxa" w:w="3312"/>
          </w:tcPr>
          <w:p>
            <w:r/>
            <w:r>
              <w:rPr>
                <w:sz w:val="18"/>
              </w:rPr>
              <w:t>GET /api/v1/exceptions?status=open</w:t>
            </w:r>
          </w:p>
        </w:tc>
        <w:tc>
          <w:tcPr>
            <w:tcW w:type="dxa" w:w="4032"/>
          </w:tcPr>
          <w:p>
            <w:r/>
            <w:r>
              <w:rPr>
                <w:sz w:val="18"/>
              </w:rPr>
              <w:t>Supervisor work list of enrollment exceptions</w:t>
            </w:r>
          </w:p>
        </w:tc>
      </w:tr>
    </w:tbl>
    <w:p>
      <w:pPr>
        <w:spacing w:after="40"/>
      </w:pPr>
    </w:p>
    <w:p>
      <w:pPr>
        <w:pStyle w:val="Heading2"/>
      </w:pPr>
      <w:r>
        <w:t>7.2 S/4HANA Utilities APIs (consumed via Integration Suite)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60"/>
            <w:shd w:val="clear" w:fill="1F4E79"/>
          </w:tcPr>
          <w:p>
            <w:r/>
            <w:r>
              <w:rPr>
                <w:b/>
                <w:color w:val="FFFFFF"/>
                <w:sz w:val="18"/>
              </w:rPr>
              <w:t>Area</w:t>
            </w:r>
          </w:p>
        </w:tc>
        <w:tc>
          <w:tcPr>
            <w:tcW w:type="dxa" w:w="3888"/>
            <w:shd w:val="clear" w:fill="1F4E79"/>
          </w:tcPr>
          <w:p>
            <w:r/>
            <w:r>
              <w:rPr>
                <w:b/>
                <w:color w:val="FFFFFF"/>
                <w:sz w:val="18"/>
              </w:rPr>
              <w:t>API / Service (representative)</w:t>
            </w:r>
          </w:p>
        </w:tc>
        <w:tc>
          <w:tcPr>
            <w:tcW w:type="dxa" w:w="3312"/>
            <w:shd w:val="clear" w:fill="1F4E79"/>
          </w:tcPr>
          <w:p>
            <w:r/>
            <w:r>
              <w:rPr>
                <w:b/>
                <w:color w:val="FFFFFF"/>
                <w:sz w:val="18"/>
              </w:rPr>
              <w:t>Use</w:t>
            </w:r>
          </w:p>
        </w:tc>
      </w:tr>
      <w:tr>
        <w:tc>
          <w:tcPr>
            <w:tcW w:type="dxa" w:w="2160"/>
          </w:tcPr>
          <w:p>
            <w:r/>
            <w:r>
              <w:rPr>
                <w:sz w:val="18"/>
              </w:rPr>
              <w:t>Business Partner</w:t>
            </w:r>
          </w:p>
        </w:tc>
        <w:tc>
          <w:tcPr>
            <w:tcW w:type="dxa" w:w="3888"/>
          </w:tcPr>
          <w:p>
            <w:r/>
            <w:r>
              <w:rPr>
                <w:sz w:val="18"/>
              </w:rPr>
              <w:t>API_BUSINESS_PARTNER (OData)</w:t>
            </w:r>
          </w:p>
        </w:tc>
        <w:tc>
          <w:tcPr>
            <w:tcW w:type="dxa" w:w="3312"/>
          </w:tcPr>
          <w:p>
            <w:r/>
            <w:r>
              <w:rPr>
                <w:sz w:val="18"/>
              </w:rPr>
              <w:t>BP read/validation</w:t>
            </w:r>
          </w:p>
        </w:tc>
      </w:tr>
      <w:tr>
        <w:tc>
          <w:tcPr>
            <w:tcW w:type="dxa" w:w="2160"/>
            <w:shd w:val="clear" w:fill="DEEAF6"/>
          </w:tcPr>
          <w:p>
            <w:r/>
            <w:r>
              <w:rPr>
                <w:sz w:val="18"/>
              </w:rPr>
              <w:t>Contract Account / FI-CA</w:t>
            </w:r>
          </w:p>
        </w:tc>
        <w:tc>
          <w:tcPr>
            <w:tcW w:type="dxa" w:w="3888"/>
            <w:shd w:val="clear" w:fill="DEEAF6"/>
          </w:tcPr>
          <w:p>
            <w:r/>
            <w:r>
              <w:rPr>
                <w:sz w:val="18"/>
              </w:rPr>
              <w:t>Contract Account OData / FI-CA BAPIs (e.g., BAPI_CTRACCOUNT_*)</w:t>
            </w:r>
          </w:p>
        </w:tc>
        <w:tc>
          <w:tcPr>
            <w:tcW w:type="dxa" w:w="3312"/>
            <w:shd w:val="clear" w:fill="DEEAF6"/>
          </w:tcPr>
          <w:p>
            <w:r/>
            <w:r>
              <w:rPr>
                <w:sz w:val="18"/>
              </w:rPr>
              <w:t>Account attributes (CSDD due date, billing prefs), balances for eligibility</w:t>
            </w:r>
          </w:p>
        </w:tc>
      </w:tr>
      <w:tr>
        <w:tc>
          <w:tcPr>
            <w:tcW w:type="dxa" w:w="2160"/>
          </w:tcPr>
          <w:p>
            <w:r/>
            <w:r>
              <w:rPr>
                <w:sz w:val="18"/>
              </w:rPr>
              <w:t>Utilities Master Data</w:t>
            </w:r>
          </w:p>
        </w:tc>
        <w:tc>
          <w:tcPr>
            <w:tcW w:type="dxa" w:w="3888"/>
          </w:tcPr>
          <w:p>
            <w:r/>
            <w:r>
              <w:rPr>
                <w:sz w:val="18"/>
              </w:rPr>
              <w:t>Released utilities CDS/OData for premise, installation, point of delivery, connection object</w:t>
            </w:r>
          </w:p>
        </w:tc>
        <w:tc>
          <w:tcPr>
            <w:tcW w:type="dxa" w:w="3312"/>
          </w:tcPr>
          <w:p>
            <w:r/>
            <w:r>
              <w:rPr>
                <w:sz w:val="18"/>
              </w:rPr>
              <w:t>Context load, premise/installation-level eligibility inputs</w:t>
            </w:r>
          </w:p>
        </w:tc>
      </w:tr>
      <w:tr>
        <w:tc>
          <w:tcPr>
            <w:tcW w:type="dxa" w:w="2160"/>
            <w:shd w:val="clear" w:fill="DEEAF6"/>
          </w:tcPr>
          <w:p>
            <w:r/>
            <w:r>
              <w:rPr>
                <w:sz w:val="18"/>
              </w:rPr>
              <w:t>Utilities Contract / Move-In / Product Change</w:t>
            </w:r>
          </w:p>
        </w:tc>
        <w:tc>
          <w:tcPr>
            <w:tcW w:type="dxa" w:w="3888"/>
            <w:shd w:val="clear" w:fill="DEEAF6"/>
          </w:tcPr>
          <w:p>
            <w:r/>
            <w:r>
              <w:rPr>
                <w:sz w:val="18"/>
              </w:rPr>
              <w:t>ISU move-in/product-change BAPIs (e.g., BAPI_ISUMOVEIN_*, ECRM/ISU_S contract change services) or custom wrapper RFC</w:t>
            </w:r>
          </w:p>
        </w:tc>
        <w:tc>
          <w:tcPr>
            <w:tcW w:type="dxa" w:w="3312"/>
            <w:shd w:val="clear" w:fill="DEEAF6"/>
          </w:tcPr>
          <w:p>
            <w:r/>
            <w:r>
              <w:rPr>
                <w:sz w:val="18"/>
              </w:rPr>
              <w:t>Rate/product change for PTR, CPP and rate programs</w:t>
            </w:r>
          </w:p>
        </w:tc>
      </w:tr>
      <w:tr>
        <w:tc>
          <w:tcPr>
            <w:tcW w:type="dxa" w:w="2160"/>
          </w:tcPr>
          <w:p>
            <w:r/>
            <w:r>
              <w:rPr>
                <w:sz w:val="18"/>
              </w:rPr>
              <w:t>Eligibility Rules</w:t>
            </w:r>
          </w:p>
        </w:tc>
        <w:tc>
          <w:tcPr>
            <w:tcW w:type="dxa" w:w="3888"/>
          </w:tcPr>
          <w:p>
            <w:r/>
            <w:r>
              <w:rPr>
                <w:sz w:val="18"/>
              </w:rPr>
              <w:t>Custom RFC facade to BRF+ rule sets (re-use of legacy FUNC_PGMENRL_PRECHECK pattern; rule sets per program, e.g., RS_DPP_INT_VALIDATION)</w:t>
            </w:r>
          </w:p>
        </w:tc>
        <w:tc>
          <w:tcPr>
            <w:tcW w:type="dxa" w:w="3312"/>
          </w:tcPr>
          <w:p>
            <w:r/>
            <w:r>
              <w:rPr>
                <w:sz w:val="18"/>
              </w:rPr>
              <w:t>Single-call eligibility for all programs/contract accounts with hard-stop/warning messages</w:t>
            </w:r>
          </w:p>
        </w:tc>
      </w:tr>
      <w:tr>
        <w:tc>
          <w:tcPr>
            <w:tcW w:type="dxa" w:w="2160"/>
            <w:shd w:val="clear" w:fill="DEEAF6"/>
          </w:tcPr>
          <w:p>
            <w:r/>
            <w:r>
              <w:rPr>
                <w:sz w:val="18"/>
              </w:rPr>
              <w:t>Payment Plans</w:t>
            </w:r>
          </w:p>
        </w:tc>
        <w:tc>
          <w:tcPr>
            <w:tcW w:type="dxa" w:w="3888"/>
            <w:shd w:val="clear" w:fill="DEEAF6"/>
          </w:tcPr>
          <w:p>
            <w:r/>
            <w:r>
              <w:rPr>
                <w:sz w:val="18"/>
              </w:rPr>
              <w:t>FI-CA installment plan BAPIs / budget billing services</w:t>
            </w:r>
          </w:p>
        </w:tc>
        <w:tc>
          <w:tcPr>
            <w:tcW w:type="dxa" w:w="3312"/>
            <w:shd w:val="clear" w:fill="DEEAF6"/>
          </w:tcPr>
          <w:p>
            <w:r/>
            <w:r>
              <w:rPr>
                <w:sz w:val="18"/>
              </w:rPr>
              <w:t>DPP and budget billing creation/termination</w:t>
            </w:r>
          </w:p>
        </w:tc>
      </w:tr>
      <w:tr>
        <w:tc>
          <w:tcPr>
            <w:tcW w:type="dxa" w:w="2160"/>
          </w:tcPr>
          <w:p>
            <w:r/>
            <w:r>
              <w:rPr>
                <w:sz w:val="18"/>
              </w:rPr>
              <w:t>Device Management</w:t>
            </w:r>
          </w:p>
        </w:tc>
        <w:tc>
          <w:tcPr>
            <w:tcW w:type="dxa" w:w="3888"/>
          </w:tcPr>
          <w:p>
            <w:r/>
            <w:r>
              <w:rPr>
                <w:sz w:val="18"/>
              </w:rPr>
              <w:t>Device/equipment OData + service order APIs</w:t>
            </w:r>
          </w:p>
        </w:tc>
        <w:tc>
          <w:tcPr>
            <w:tcW w:type="dxa" w:w="3312"/>
          </w:tcPr>
          <w:p>
            <w:r/>
            <w:r>
              <w:rPr>
                <w:sz w:val="18"/>
              </w:rPr>
              <w:t>AMI/AMR checks (e.g., device communication capability), device program fulfillment</w:t>
            </w:r>
          </w:p>
        </w:tc>
      </w:tr>
      <w:tr>
        <w:tc>
          <w:tcPr>
            <w:tcW w:type="dxa" w:w="2160"/>
            <w:shd w:val="clear" w:fill="DEEAF6"/>
          </w:tcPr>
          <w:p>
            <w:r/>
            <w:r>
              <w:rPr>
                <w:sz w:val="18"/>
              </w:rPr>
              <w:t>Rate Category Services</w:t>
            </w:r>
          </w:p>
        </w:tc>
        <w:tc>
          <w:tcPr>
            <w:tcW w:type="dxa" w:w="3888"/>
            <w:shd w:val="clear" w:fill="DEEAF6"/>
          </w:tcPr>
          <w:p>
            <w:r/>
            <w:r>
              <w:rPr>
                <w:sz w:val="18"/>
              </w:rPr>
              <w:t>Re-use of existing custom services (e.g., ZRFC_GET_RATE_CATEGORY, allowed-rates functions)</w:t>
            </w:r>
          </w:p>
        </w:tc>
        <w:tc>
          <w:tcPr>
            <w:tcW w:type="dxa" w:w="3312"/>
            <w:shd w:val="clear" w:fill="DEEAF6"/>
          </w:tcPr>
          <w:p>
            <w:r/>
            <w:r>
              <w:rPr>
                <w:sz w:val="18"/>
              </w:rPr>
              <w:t>Allowed target rates and rate-eligibility lookups</w:t>
            </w:r>
          </w:p>
        </w:tc>
      </w:tr>
      <w:tr>
        <w:tc>
          <w:tcPr>
            <w:tcW w:type="dxa" w:w="2160"/>
          </w:tcPr>
          <w:p>
            <w:r/>
            <w:r>
              <w:rPr>
                <w:sz w:val="18"/>
              </w:rPr>
              <w:t>Events</w:t>
            </w:r>
          </w:p>
        </w:tc>
        <w:tc>
          <w:tcPr>
            <w:tcW w:type="dxa" w:w="3888"/>
          </w:tcPr>
          <w:p>
            <w:r/>
            <w:r>
              <w:rPr>
                <w:sz w:val="18"/>
              </w:rPr>
              <w:t>S/4HANA business events → Event Mesh; IDoc status where applicable</w:t>
            </w:r>
          </w:p>
        </w:tc>
        <w:tc>
          <w:tcPr>
            <w:tcW w:type="dxa" w:w="3312"/>
          </w:tcPr>
          <w:p>
            <w:r/>
            <w:r>
              <w:rPr>
                <w:sz w:val="18"/>
              </w:rPr>
              <w:t>Asynchronous confirmations and BPEM case outcomes</w:t>
            </w:r>
          </w:p>
        </w:tc>
      </w:tr>
    </w:tbl>
    <w:p>
      <w:pPr>
        <w:spacing w:after="40"/>
      </w:pPr>
    </w:p>
    <w:p>
      <w:pPr>
        <w:pStyle w:val="Heading2"/>
      </w:pPr>
      <w:r>
        <w:t>7.3 SAP Service Cloud V2 APIs</w:t>
      </w:r>
    </w:p>
    <w:tbl>
      <w:tblPr>
        <w:tblStyle w:val="TableGrid"/>
        <w:tblW w:type="auto" w:w="0"/>
        <w:jc w:val="center"/>
        <w:tblLayout w:type="fixed"/>
        <w:tblLook w:firstColumn="1" w:firstRow="1" w:lastColumn="0" w:lastRow="0" w:noHBand="0" w:noVBand="1" w:val="04A0"/>
      </w:tblPr>
      <w:tblGrid>
        <w:gridCol w:w="4320"/>
        <w:gridCol w:w="4320"/>
      </w:tblGrid>
      <w:tr>
        <w:tc>
          <w:tcPr>
            <w:tcW w:type="dxa" w:w="3744"/>
            <w:shd w:val="clear" w:fill="1F4E79"/>
          </w:tcPr>
          <w:p>
            <w:r/>
            <w:r>
              <w:rPr>
                <w:b/>
                <w:color w:val="FFFFFF"/>
                <w:sz w:val="19"/>
              </w:rPr>
              <w:t>API</w:t>
            </w:r>
          </w:p>
        </w:tc>
        <w:tc>
          <w:tcPr>
            <w:tcW w:type="dxa" w:w="5616"/>
            <w:shd w:val="clear" w:fill="1F4E79"/>
          </w:tcPr>
          <w:p>
            <w:r/>
            <w:r>
              <w:rPr>
                <w:b/>
                <w:color w:val="FFFFFF"/>
                <w:sz w:val="19"/>
              </w:rPr>
              <w:t>Use</w:t>
            </w:r>
          </w:p>
        </w:tc>
      </w:tr>
      <w:tr>
        <w:tc>
          <w:tcPr>
            <w:tcW w:type="dxa" w:w="3744"/>
          </w:tcPr>
          <w:p>
            <w:r/>
            <w:r>
              <w:rPr>
                <w:sz w:val="19"/>
              </w:rPr>
              <w:t>Case Service (REST)</w:t>
            </w:r>
          </w:p>
        </w:tc>
        <w:tc>
          <w:tcPr>
            <w:tcW w:type="dxa" w:w="5616"/>
          </w:tcPr>
          <w:p>
            <w:r/>
            <w:r>
              <w:rPr>
                <w:sz w:val="19"/>
              </w:rPr>
              <w:t>Create/update case, add timeline entries with enrollment status</w:t>
            </w:r>
          </w:p>
        </w:tc>
      </w:tr>
      <w:tr>
        <w:tc>
          <w:tcPr>
            <w:tcW w:type="dxa" w:w="3744"/>
            <w:shd w:val="clear" w:fill="DEEAF6"/>
          </w:tcPr>
          <w:p>
            <w:r/>
            <w:r>
              <w:rPr>
                <w:sz w:val="19"/>
              </w:rPr>
              <w:t>Account / Individual Customer (REST)</w:t>
            </w:r>
          </w:p>
        </w:tc>
        <w:tc>
          <w:tcPr>
            <w:tcW w:type="dxa" w:w="5616"/>
            <w:shd w:val="clear" w:fill="DEEAF6"/>
          </w:tcPr>
          <w:p>
            <w:r/>
            <w:r>
              <w:rPr>
                <w:sz w:val="19"/>
              </w:rPr>
              <w:t>Customer identification, external ID (business partner) correlation</w:t>
            </w:r>
          </w:p>
        </w:tc>
      </w:tr>
      <w:tr>
        <w:tc>
          <w:tcPr>
            <w:tcW w:type="dxa" w:w="3744"/>
          </w:tcPr>
          <w:p>
            <w:r/>
            <w:r>
              <w:rPr>
                <w:sz w:val="19"/>
              </w:rPr>
              <w:t>UI Integration / Mashup configuration</w:t>
            </w:r>
          </w:p>
        </w:tc>
        <w:tc>
          <w:tcPr>
            <w:tcW w:type="dxa" w:w="5616"/>
          </w:tcPr>
          <w:p>
            <w:r/>
            <w:r>
              <w:rPr>
                <w:sz w:val="19"/>
              </w:rPr>
              <w:t>Embed the Enrollment Center with context handover</w:t>
            </w:r>
          </w:p>
        </w:tc>
      </w:tr>
      <w:tr>
        <w:tc>
          <w:tcPr>
            <w:tcW w:type="dxa" w:w="3744"/>
            <w:shd w:val="clear" w:fill="DEEAF6"/>
          </w:tcPr>
          <w:p>
            <w:r/>
            <w:r>
              <w:rPr>
                <w:sz w:val="19"/>
              </w:rPr>
              <w:t>Autoflow / event notifications</w:t>
            </w:r>
          </w:p>
        </w:tc>
        <w:tc>
          <w:tcPr>
            <w:tcW w:type="dxa" w:w="5616"/>
            <w:shd w:val="clear" w:fill="DEEAF6"/>
          </w:tcPr>
          <w:p>
            <w:r/>
            <w:r>
              <w:rPr>
                <w:sz w:val="19"/>
              </w:rPr>
              <w:t>React to enrollment status updates (tasks, surveys, notifications)</w:t>
            </w:r>
          </w:p>
        </w:tc>
      </w:tr>
    </w:tbl>
    <w:p>
      <w:pPr>
        <w:spacing w:after="40"/>
      </w:pPr>
    </w:p>
    <w:p>
      <w:pPr>
        <w:pStyle w:val="Heading1"/>
      </w:pPr>
      <w:r>
        <w:t>8. Data Mapping</w:t>
      </w:r>
    </w:p>
    <w:p>
      <w:r>
        <w:rPr>
          <w:b w:val="0"/>
        </w:rPr>
        <w:t>Key entity correlation across the three layers (identifiers are exchanged, not replicated; BTP stores only process state and references):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872"/>
            <w:shd w:val="clear" w:fill="1F4E79"/>
          </w:tcPr>
          <w:p>
            <w:r/>
            <w:r>
              <w:rPr>
                <w:b/>
                <w:color w:val="FFFFFF"/>
                <w:sz w:val="18"/>
              </w:rPr>
              <w:t>Business Entity</w:t>
            </w:r>
          </w:p>
        </w:tc>
        <w:tc>
          <w:tcPr>
            <w:tcW w:type="dxa" w:w="2304"/>
            <w:shd w:val="clear" w:fill="1F4E79"/>
          </w:tcPr>
          <w:p>
            <w:r/>
            <w:r>
              <w:rPr>
                <w:b/>
                <w:color w:val="FFFFFF"/>
                <w:sz w:val="18"/>
              </w:rPr>
              <w:t>SC V2</w:t>
            </w:r>
          </w:p>
        </w:tc>
        <w:tc>
          <w:tcPr>
            <w:tcW w:type="dxa" w:w="2736"/>
            <w:shd w:val="clear" w:fill="1F4E79"/>
          </w:tcPr>
          <w:p>
            <w:r/>
            <w:r>
              <w:rPr>
                <w:b/>
                <w:color w:val="FFFFFF"/>
                <w:sz w:val="18"/>
              </w:rPr>
              <w:t>BTP Enrollment Service</w:t>
            </w:r>
          </w:p>
        </w:tc>
        <w:tc>
          <w:tcPr>
            <w:tcW w:type="dxa" w:w="2448"/>
            <w:shd w:val="clear" w:fill="1F4E79"/>
          </w:tcPr>
          <w:p>
            <w:r/>
            <w:r>
              <w:rPr>
                <w:b/>
                <w:color w:val="FFFFFF"/>
                <w:sz w:val="18"/>
              </w:rPr>
              <w:t>S/4HANA Utilities</w:t>
            </w:r>
          </w:p>
        </w:tc>
      </w:tr>
      <w:tr>
        <w:tc>
          <w:tcPr>
            <w:tcW w:type="dxa" w:w="1872"/>
          </w:tcPr>
          <w:p>
            <w:r/>
            <w:r>
              <w:rPr>
                <w:sz w:val="18"/>
              </w:rPr>
              <w:t>Customer</w:t>
            </w:r>
          </w:p>
        </w:tc>
        <w:tc>
          <w:tcPr>
            <w:tcW w:type="dxa" w:w="2304"/>
          </w:tcPr>
          <w:p>
            <w:r/>
            <w:r>
              <w:rPr>
                <w:sz w:val="18"/>
              </w:rPr>
              <w:t>Individual Customer / Account (external ID = BP number)</w:t>
            </w:r>
          </w:p>
        </w:tc>
        <w:tc>
          <w:tcPr>
            <w:tcW w:type="dxa" w:w="2736"/>
          </w:tcPr>
          <w:p>
            <w:r/>
            <w:r>
              <w:rPr>
                <w:sz w:val="18"/>
              </w:rPr>
              <w:t>customerContext.businessPartnerId</w:t>
            </w:r>
          </w:p>
        </w:tc>
        <w:tc>
          <w:tcPr>
            <w:tcW w:type="dxa" w:w="2448"/>
          </w:tcPr>
          <w:p>
            <w:r/>
            <w:r>
              <w:rPr>
                <w:sz w:val="18"/>
              </w:rPr>
              <w:t>Business Partner (BUT000)</w:t>
            </w:r>
          </w:p>
        </w:tc>
      </w:tr>
      <w:tr>
        <w:tc>
          <w:tcPr>
            <w:tcW w:type="dxa" w:w="1872"/>
            <w:shd w:val="clear" w:fill="DEEAF6"/>
          </w:tcPr>
          <w:p>
            <w:r/>
            <w:r>
              <w:rPr>
                <w:sz w:val="18"/>
              </w:rPr>
              <w:t>Contract Account</w:t>
            </w:r>
          </w:p>
        </w:tc>
        <w:tc>
          <w:tcPr>
            <w:tcW w:type="dxa" w:w="2304"/>
            <w:shd w:val="clear" w:fill="DEEAF6"/>
          </w:tcPr>
          <w:p>
            <w:r/>
            <w:r>
              <w:rPr>
                <w:sz w:val="18"/>
              </w:rPr>
              <w:t>Registered product / utilities add-on account reference</w:t>
            </w:r>
          </w:p>
        </w:tc>
        <w:tc>
          <w:tcPr>
            <w:tcW w:type="dxa" w:w="2736"/>
            <w:shd w:val="clear" w:fill="DEEAF6"/>
          </w:tcPr>
          <w:p>
            <w:r/>
            <w:r>
              <w:rPr>
                <w:sz w:val="18"/>
              </w:rPr>
              <w:t>contractAccountId</w:t>
            </w:r>
          </w:p>
        </w:tc>
        <w:tc>
          <w:tcPr>
            <w:tcW w:type="dxa" w:w="2448"/>
            <w:shd w:val="clear" w:fill="DEEAF6"/>
          </w:tcPr>
          <w:p>
            <w:r/>
            <w:r>
              <w:rPr>
                <w:sz w:val="18"/>
              </w:rPr>
              <w:t>FI-CA Contract Account (FKKVK/FKKVKP)</w:t>
            </w:r>
          </w:p>
        </w:tc>
      </w:tr>
      <w:tr>
        <w:tc>
          <w:tcPr>
            <w:tcW w:type="dxa" w:w="1872"/>
          </w:tcPr>
          <w:p>
            <w:r/>
            <w:r>
              <w:rPr>
                <w:sz w:val="18"/>
              </w:rPr>
              <w:t>Premise / Service Location</w:t>
            </w:r>
          </w:p>
        </w:tc>
        <w:tc>
          <w:tcPr>
            <w:tcW w:type="dxa" w:w="2304"/>
          </w:tcPr>
          <w:p>
            <w:r/>
            <w:r>
              <w:rPr>
                <w:sz w:val="18"/>
              </w:rPr>
              <w:t>Address on account (display only)</w:t>
            </w:r>
          </w:p>
        </w:tc>
        <w:tc>
          <w:tcPr>
            <w:tcW w:type="dxa" w:w="2736"/>
          </w:tcPr>
          <w:p>
            <w:r/>
            <w:r>
              <w:rPr>
                <w:sz w:val="18"/>
              </w:rPr>
              <w:t>premiseId, connectionObjectId</w:t>
            </w:r>
          </w:p>
        </w:tc>
        <w:tc>
          <w:tcPr>
            <w:tcW w:type="dxa" w:w="2448"/>
          </w:tcPr>
          <w:p>
            <w:r/>
            <w:r>
              <w:rPr>
                <w:sz w:val="18"/>
              </w:rPr>
              <w:t>Premise (EVBS), Connection Object (EHAU)</w:t>
            </w:r>
          </w:p>
        </w:tc>
      </w:tr>
      <w:tr>
        <w:tc>
          <w:tcPr>
            <w:tcW w:type="dxa" w:w="1872"/>
            <w:shd w:val="clear" w:fill="DEEAF6"/>
          </w:tcPr>
          <w:p>
            <w:r/>
            <w:r>
              <w:rPr>
                <w:sz w:val="18"/>
              </w:rPr>
              <w:t>Installation / PoD</w:t>
            </w:r>
          </w:p>
        </w:tc>
        <w:tc>
          <w:tcPr>
            <w:tcW w:type="dxa" w:w="2304"/>
            <w:shd w:val="clear" w:fill="DEEAF6"/>
          </w:tcPr>
          <w:p>
            <w:r/>
            <w:r>
              <w:rPr>
                <w:sz w:val="18"/>
              </w:rPr>
              <w:t>—</w:t>
            </w:r>
          </w:p>
        </w:tc>
        <w:tc>
          <w:tcPr>
            <w:tcW w:type="dxa" w:w="2736"/>
            <w:shd w:val="clear" w:fill="DEEAF6"/>
          </w:tcPr>
          <w:p>
            <w:r/>
            <w:r>
              <w:rPr>
                <w:sz w:val="18"/>
              </w:rPr>
              <w:t>installationId, podId</w:t>
            </w:r>
          </w:p>
        </w:tc>
        <w:tc>
          <w:tcPr>
            <w:tcW w:type="dxa" w:w="2448"/>
            <w:shd w:val="clear" w:fill="DEEAF6"/>
          </w:tcPr>
          <w:p>
            <w:r/>
            <w:r>
              <w:rPr>
                <w:sz w:val="18"/>
              </w:rPr>
              <w:t>Installation (EANL), Point of Delivery (EUITRANS)</w:t>
            </w:r>
          </w:p>
        </w:tc>
      </w:tr>
      <w:tr>
        <w:tc>
          <w:tcPr>
            <w:tcW w:type="dxa" w:w="1872"/>
          </w:tcPr>
          <w:p>
            <w:r/>
            <w:r>
              <w:rPr>
                <w:sz w:val="18"/>
              </w:rPr>
              <w:t>Device / Meter</w:t>
            </w:r>
          </w:p>
        </w:tc>
        <w:tc>
          <w:tcPr>
            <w:tcW w:type="dxa" w:w="2304"/>
          </w:tcPr>
          <w:p>
            <w:r/>
            <w:r>
              <w:rPr>
                <w:sz w:val="18"/>
              </w:rPr>
              <w:t>—</w:t>
            </w:r>
          </w:p>
        </w:tc>
        <w:tc>
          <w:tcPr>
            <w:tcW w:type="dxa" w:w="2736"/>
          </w:tcPr>
          <w:p>
            <w:r/>
            <w:r>
              <w:rPr>
                <w:sz w:val="18"/>
              </w:rPr>
              <w:t>deviceId, deviceCapabilities (AMI flag)</w:t>
            </w:r>
          </w:p>
        </w:tc>
        <w:tc>
          <w:tcPr>
            <w:tcW w:type="dxa" w:w="2448"/>
          </w:tcPr>
          <w:p>
            <w:r/>
            <w:r>
              <w:rPr>
                <w:sz w:val="18"/>
              </w:rPr>
              <w:t>Equipment/Device (EQUI/EGERH), device info record</w:t>
            </w:r>
          </w:p>
        </w:tc>
      </w:tr>
      <w:tr>
        <w:tc>
          <w:tcPr>
            <w:tcW w:type="dxa" w:w="1872"/>
            <w:shd w:val="clear" w:fill="DEEAF6"/>
          </w:tcPr>
          <w:p>
            <w:r/>
            <w:r>
              <w:rPr>
                <w:sz w:val="18"/>
              </w:rPr>
              <w:t>Utilities Contract</w:t>
            </w:r>
          </w:p>
        </w:tc>
        <w:tc>
          <w:tcPr>
            <w:tcW w:type="dxa" w:w="2304"/>
            <w:shd w:val="clear" w:fill="DEEAF6"/>
          </w:tcPr>
          <w:p>
            <w:r/>
            <w:r>
              <w:rPr>
                <w:sz w:val="18"/>
              </w:rPr>
              <w:t>—</w:t>
            </w:r>
          </w:p>
        </w:tc>
        <w:tc>
          <w:tcPr>
            <w:tcW w:type="dxa" w:w="2736"/>
            <w:shd w:val="clear" w:fill="DEEAF6"/>
          </w:tcPr>
          <w:p>
            <w:r/>
            <w:r>
              <w:rPr>
                <w:sz w:val="18"/>
              </w:rPr>
              <w:t>contractId, currentProduct/rateCategory</w:t>
            </w:r>
          </w:p>
        </w:tc>
        <w:tc>
          <w:tcPr>
            <w:tcW w:type="dxa" w:w="2448"/>
            <w:shd w:val="clear" w:fill="DEEAF6"/>
          </w:tcPr>
          <w:p>
            <w:r/>
            <w:r>
              <w:rPr>
                <w:sz w:val="18"/>
              </w:rPr>
              <w:t>Contract (EVER), rate category</w:t>
            </w:r>
          </w:p>
        </w:tc>
      </w:tr>
      <w:tr>
        <w:tc>
          <w:tcPr>
            <w:tcW w:type="dxa" w:w="1872"/>
          </w:tcPr>
          <w:p>
            <w:r/>
            <w:r>
              <w:rPr>
                <w:sz w:val="18"/>
              </w:rPr>
              <w:t>Program</w:t>
            </w:r>
          </w:p>
        </w:tc>
        <w:tc>
          <w:tcPr>
            <w:tcW w:type="dxa" w:w="2304"/>
          </w:tcPr>
          <w:p>
            <w:r/>
            <w:r>
              <w:rPr>
                <w:sz w:val="18"/>
              </w:rPr>
              <w:t>Case category / timeline reference</w:t>
            </w:r>
          </w:p>
        </w:tc>
        <w:tc>
          <w:tcPr>
            <w:tcW w:type="dxa" w:w="2736"/>
          </w:tcPr>
          <w:p>
            <w:r/>
            <w:r>
              <w:rPr>
                <w:sz w:val="18"/>
              </w:rPr>
              <w:t>programId, programVersion (catalog on HANA Cloud)</w:t>
            </w:r>
          </w:p>
        </w:tc>
        <w:tc>
          <w:tcPr>
            <w:tcW w:type="dxa" w:w="2448"/>
          </w:tcPr>
          <w:p>
            <w:r/>
            <w:r>
              <w:rPr>
                <w:sz w:val="18"/>
              </w:rPr>
              <w:t>Program-specific: rate/product code, plan type, account attribute, or custom enrollment table</w:t>
            </w:r>
          </w:p>
        </w:tc>
      </w:tr>
      <w:tr>
        <w:tc>
          <w:tcPr>
            <w:tcW w:type="dxa" w:w="1872"/>
            <w:shd w:val="clear" w:fill="DEEAF6"/>
          </w:tcPr>
          <w:p>
            <w:r/>
            <w:r>
              <w:rPr>
                <w:sz w:val="18"/>
              </w:rPr>
              <w:t>Enrollment Request</w:t>
            </w:r>
          </w:p>
        </w:tc>
        <w:tc>
          <w:tcPr>
            <w:tcW w:type="dxa" w:w="2304"/>
            <w:shd w:val="clear" w:fill="DEEAF6"/>
          </w:tcPr>
          <w:p>
            <w:r/>
            <w:r>
              <w:rPr>
                <w:sz w:val="18"/>
              </w:rPr>
              <w:t>Case + timeline entry (enrollment ID reference)</w:t>
            </w:r>
          </w:p>
        </w:tc>
        <w:tc>
          <w:tcPr>
            <w:tcW w:type="dxa" w:w="2736"/>
            <w:shd w:val="clear" w:fill="DEEAF6"/>
          </w:tcPr>
          <w:p>
            <w:r/>
            <w:r>
              <w:rPr>
                <w:sz w:val="18"/>
              </w:rPr>
              <w:t>enrollmentId, status, requested/actual dates, capture payload, audit trail</w:t>
            </w:r>
          </w:p>
        </w:tc>
        <w:tc>
          <w:tcPr>
            <w:tcW w:type="dxa" w:w="2448"/>
            <w:shd w:val="clear" w:fill="DEEAF6"/>
          </w:tcPr>
          <w:p>
            <w:r/>
            <w:r>
              <w:rPr>
                <w:sz w:val="18"/>
              </w:rPr>
              <w:t>Resulting object keys: product change doc, installment plan no., service order no., BPEM case no.</w:t>
            </w:r>
          </w:p>
        </w:tc>
      </w:tr>
      <w:tr>
        <w:tc>
          <w:tcPr>
            <w:tcW w:type="dxa" w:w="1872"/>
          </w:tcPr>
          <w:p>
            <w:r/>
            <w:r>
              <w:rPr>
                <w:sz w:val="18"/>
              </w:rPr>
              <w:t>Agent / User</w:t>
            </w:r>
          </w:p>
        </w:tc>
        <w:tc>
          <w:tcPr>
            <w:tcW w:type="dxa" w:w="2304"/>
          </w:tcPr>
          <w:p>
            <w:r/>
            <w:r>
              <w:rPr>
                <w:sz w:val="18"/>
              </w:rPr>
              <w:t>SC V2 user (IAS identity)</w:t>
            </w:r>
          </w:p>
        </w:tc>
        <w:tc>
          <w:tcPr>
            <w:tcW w:type="dxa" w:w="2736"/>
          </w:tcPr>
          <w:p>
            <w:r/>
            <w:r>
              <w:rPr>
                <w:sz w:val="18"/>
              </w:rPr>
              <w:t>createdBy / approvedBy (propagated principal)</w:t>
            </w:r>
          </w:p>
        </w:tc>
        <w:tc>
          <w:tcPr>
            <w:tcW w:type="dxa" w:w="2448"/>
          </w:tcPr>
          <w:p>
            <w:r/>
            <w:r>
              <w:rPr>
                <w:sz w:val="18"/>
              </w:rPr>
              <w:t>Named user or technical user with agent ID logged in custom service</w:t>
            </w:r>
          </w:p>
        </w:tc>
      </w:tr>
      <w:tr>
        <w:tc>
          <w:tcPr>
            <w:tcW w:type="dxa" w:w="1872"/>
            <w:shd w:val="clear" w:fill="DEEAF6"/>
          </w:tcPr>
          <w:p>
            <w:r/>
            <w:r>
              <w:rPr>
                <w:sz w:val="18"/>
              </w:rPr>
              <w:t>Consent / Document</w:t>
            </w:r>
          </w:p>
        </w:tc>
        <w:tc>
          <w:tcPr>
            <w:tcW w:type="dxa" w:w="2304"/>
            <w:shd w:val="clear" w:fill="DEEAF6"/>
          </w:tcPr>
          <w:p>
            <w:r/>
            <w:r>
              <w:rPr>
                <w:sz w:val="18"/>
              </w:rPr>
              <w:t>Attachment reference on case (optional)</w:t>
            </w:r>
          </w:p>
        </w:tc>
        <w:tc>
          <w:tcPr>
            <w:tcW w:type="dxa" w:w="2736"/>
            <w:shd w:val="clear" w:fill="DEEAF6"/>
          </w:tcPr>
          <w:p>
            <w:r/>
            <w:r>
              <w:rPr>
                <w:sz w:val="18"/>
              </w:rPr>
              <w:t>documentId + DMS link</w:t>
            </w:r>
          </w:p>
        </w:tc>
        <w:tc>
          <w:tcPr>
            <w:tcW w:type="dxa" w:w="2448"/>
            <w:shd w:val="clear" w:fill="DEEAF6"/>
          </w:tcPr>
          <w:p>
            <w:r/>
            <w:r>
              <w:rPr>
                <w:sz w:val="18"/>
              </w:rPr>
              <w:t>Optional archive link (ArchiveLink/DMS) where legally required</w:t>
            </w:r>
          </w:p>
        </w:tc>
      </w:tr>
    </w:tbl>
    <w:p>
      <w:pPr>
        <w:spacing w:after="40"/>
      </w:pPr>
    </w:p>
    <w:p>
      <w:r>
        <w:rPr>
          <w:b w:val="0"/>
        </w:rPr>
        <w:t>Field-level mapping per program (capture form → fulfillment recipe payload → backend field) is maintained in the functional specification per program; the table above governs the cross-system keys every mapping must carry.</w:t>
      </w:r>
    </w:p>
    <w:p>
      <w:r>
        <w:br w:type="page"/>
      </w:r>
    </w:p>
    <w:p>
      <w:pPr>
        <w:pStyle w:val="Heading1"/>
      </w:pPr>
      <w:r>
        <w:t>9. Exception Handling</w:t>
      </w:r>
    </w:p>
    <w:p>
      <w:pPr>
        <w:pStyle w:val="ListBullet"/>
      </w:pPr>
      <w:r>
        <w:rPr>
          <w:b/>
        </w:rPr>
        <w:t xml:space="preserve">Validation failures (synchronous) — </w:t>
      </w:r>
      <w:r>
        <w:t>returned immediately to the agent with actionable messages; hard stops block submission, warnings can proceed (optionally gated by supervisor approval via SAP Build Process Automation).</w:t>
      </w:r>
    </w:p>
    <w:p>
      <w:pPr>
        <w:pStyle w:val="ListBullet"/>
      </w:pPr>
      <w:r>
        <w:rPr>
          <w:b/>
        </w:rPr>
        <w:t xml:space="preserve">Technical integration errors — </w:t>
      </w:r>
      <w:r>
        <w:t>Cloud Integration applies retry with exponential backoff for transient faults; after exhaustion the message lands in a dead-letter queue and the enrollment moves to Error – In Review.</w:t>
      </w:r>
    </w:p>
    <w:p>
      <w:pPr>
        <w:pStyle w:val="ListBullet"/>
      </w:pPr>
      <w:r>
        <w:rPr>
          <w:b/>
        </w:rPr>
        <w:t xml:space="preserve">Backend business errors — </w:t>
      </w:r>
      <w:r>
        <w:t>S/4HANA rejections (e.g., product change blocked, plan creation failed) return structured error codes; where the client uses BPEM (EMMA), a BPEM case is created in S/4HANA and its number is linked to the enrollment; closure events update the enrollment automatically.</w:t>
      </w:r>
    </w:p>
    <w:p>
      <w:pPr>
        <w:pStyle w:val="ListBullet"/>
      </w:pPr>
      <w:r>
        <w:rPr>
          <w:b/>
        </w:rPr>
        <w:t xml:space="preserve">Exception workflow — </w:t>
      </w:r>
      <w:r>
        <w:t>Error – In Review items route to a supervisor inbox (SAP Build Process Automation) with context, error detail and actions: retry, correct-and-resubmit, or cancel with customer callback task created in SC V2.</w:t>
      </w:r>
    </w:p>
    <w:p>
      <w:pPr>
        <w:pStyle w:val="ListBullet"/>
      </w:pPr>
      <w:r>
        <w:rPr>
          <w:b/>
        </w:rPr>
        <w:t xml:space="preserve">Reconciliation — </w:t>
      </w:r>
      <w:r>
        <w:t>a scheduled job compares Pending Backend enrollments against S/4HANA state to catch missed events; discrepancies raise exceptions rather than silently aging.</w:t>
      </w:r>
    </w:p>
    <w:p>
      <w:pPr>
        <w:pStyle w:val="ListBullet"/>
      </w:pPr>
      <w:r>
        <w:rPr>
          <w:b/>
        </w:rPr>
        <w:t xml:space="preserve">Agent experience — </w:t>
      </w:r>
      <w:r>
        <w:t>the agent is never blocked by backend failure: the request is accepted, the customer is informed of processing, and the case carries the follow-up.</w:t>
      </w:r>
    </w:p>
    <w:p>
      <w:pPr>
        <w:pStyle w:val="Heading1"/>
      </w:pPr>
      <w:r>
        <w:t>10. Security and Governance</w:t>
      </w:r>
    </w:p>
    <w:p>
      <w:pPr>
        <w:pStyle w:val="ListBullet"/>
      </w:pPr>
      <w:r>
        <w:rPr>
          <w:b/>
        </w:rPr>
        <w:t xml:space="preserve">Identity — </w:t>
      </w:r>
      <w:r>
        <w:t>SAP Cloud Identity Services (IAS) as the common IdP for SC V2 and BTP; OpenID Connect for the UI, OAuth2 for APIs.</w:t>
      </w:r>
    </w:p>
    <w:p>
      <w:pPr>
        <w:pStyle w:val="ListBullet"/>
      </w:pPr>
      <w:r>
        <w:rPr>
          <w:b/>
        </w:rPr>
        <w:t xml:space="preserve">Principal propagation — </w:t>
      </w:r>
      <w:r>
        <w:t>agent identity propagates SC V2 → BTP → S/4HANA (OAuth2 SAML bearer assertion via Destination service and Cloud Connector for on-premise) so backend postings are attributable; where a technical user is unavoidable (e.g., certain BAPIs), the agent ID is passed and logged in the payload.</w:t>
      </w:r>
    </w:p>
    <w:p>
      <w:pPr>
        <w:pStyle w:val="ListBullet"/>
      </w:pPr>
      <w:r>
        <w:rPr>
          <w:b/>
        </w:rPr>
        <w:t xml:space="preserve">Connectivity — </w:t>
      </w:r>
      <w:r>
        <w:t>all backend endpoints via BTP Destination service; no credentials in code; Cloud Connector restricts exposed on-premise resources to the required function modules/services.</w:t>
      </w:r>
    </w:p>
    <w:p>
      <w:pPr>
        <w:pStyle w:val="ListBullet"/>
      </w:pPr>
      <w:r>
        <w:rPr>
          <w:b/>
        </w:rPr>
        <w:t xml:space="preserve">Communication arrangements — </w:t>
      </w:r>
      <w:r>
        <w:t>S/4HANA communication arrangements/scenarios govern which APIs are exposed to Integration Suite, with dedicated communication users per interface.</w:t>
      </w:r>
    </w:p>
    <w:p>
      <w:pPr>
        <w:pStyle w:val="ListBullet"/>
      </w:pPr>
      <w:r>
        <w:rPr>
          <w:b/>
        </w:rPr>
        <w:t xml:space="preserve">Authorization — </w:t>
      </w:r>
      <w:r>
        <w:t>role collections — Enrollment Agent (view, enroll, de-enroll), Enrollment Supervisor (plus warning override, exception handling), Enrollment Admin (program catalog/rules); mapped from IAS groups; S/4HANA authorizations remain the final gate.</w:t>
      </w:r>
    </w:p>
    <w:p>
      <w:pPr>
        <w:pStyle w:val="ListBullet"/>
      </w:pPr>
      <w:r>
        <w:rPr>
          <w:b/>
        </w:rPr>
        <w:t xml:space="preserve">Audit — </w:t>
      </w:r>
      <w:r>
        <w:t>every eligibility evaluation, submission, status change and override is persisted in HANA Cloud with actor, timestamp, channel and payload hash; BTP Audit Log service captures platform-level events; retention per the client's data governance policy.</w:t>
      </w:r>
    </w:p>
    <w:p>
      <w:pPr>
        <w:pStyle w:val="ListBullet"/>
      </w:pPr>
      <w:r>
        <w:rPr>
          <w:b/>
        </w:rPr>
        <w:t xml:space="preserve">Data protection — </w:t>
      </w:r>
      <w:r>
        <w:t>no card/bank data captured in the Enrollment Center; personal data minimized to identifiers; GDPR/CCPA-aligned retention and blocking follow the S/4HANA data protection framework (BTP stores references, not master data).</w:t>
      </w:r>
    </w:p>
    <w:p>
      <w:pPr>
        <w:pStyle w:val="ListBullet"/>
      </w:pPr>
      <w:r>
        <w:rPr>
          <w:b/>
        </w:rPr>
        <w:t xml:space="preserve">Transport &amp; change — </w:t>
      </w:r>
      <w:r>
        <w:t>UI/CAP artifacts via CI/CD (BTP Continuous Integration &amp; Delivery) with transport management; rule changes in BRF+/decision tables follow the client's existing change governance.</w:t>
      </w:r>
    </w:p>
    <w:p>
      <w:pPr>
        <w:pStyle w:val="Heading1"/>
      </w:pPr>
      <w:r>
        <w:t>11. Key Components (Bill of Materials)</w:t>
      </w:r>
    </w:p>
    <w:tbl>
      <w:tblPr>
        <w:tblStyle w:val="TableGrid"/>
        <w:tblW w:type="auto" w:w="0"/>
        <w:jc w:val="center"/>
        <w:tblLayout w:type="fixed"/>
        <w:tblLook w:firstColumn="1" w:firstRow="1" w:lastColumn="0" w:lastRow="0" w:noHBand="0" w:noVBand="1" w:val="04A0"/>
      </w:tblPr>
      <w:tblGrid>
        <w:gridCol w:w="4320"/>
        <w:gridCol w:w="4320"/>
      </w:tblGrid>
      <w:tr>
        <w:tc>
          <w:tcPr>
            <w:tcW w:type="dxa" w:w="3744"/>
            <w:shd w:val="clear" w:fill="1F4E79"/>
          </w:tcPr>
          <w:p>
            <w:r/>
            <w:r>
              <w:rPr>
                <w:b/>
                <w:color w:val="FFFFFF"/>
                <w:sz w:val="19"/>
              </w:rPr>
              <w:t>Component</w:t>
            </w:r>
          </w:p>
        </w:tc>
        <w:tc>
          <w:tcPr>
            <w:tcW w:type="dxa" w:w="5616"/>
            <w:shd w:val="clear" w:fill="1F4E79"/>
          </w:tcPr>
          <w:p>
            <w:r/>
            <w:r>
              <w:rPr>
                <w:b/>
                <w:color w:val="FFFFFF"/>
                <w:sz w:val="19"/>
              </w:rPr>
              <w:t>Role in Solution</w:t>
            </w:r>
          </w:p>
        </w:tc>
      </w:tr>
      <w:tr>
        <w:tc>
          <w:tcPr>
            <w:tcW w:type="dxa" w:w="3744"/>
          </w:tcPr>
          <w:p>
            <w:r/>
            <w:r>
              <w:rPr>
                <w:sz w:val="19"/>
              </w:rPr>
              <w:t>SAP Service Cloud V2 (+ Utilities add-on where licensed)</w:t>
            </w:r>
          </w:p>
        </w:tc>
        <w:tc>
          <w:tcPr>
            <w:tcW w:type="dxa" w:w="5616"/>
          </w:tcPr>
          <w:p>
            <w:r/>
            <w:r>
              <w:rPr>
                <w:sz w:val="19"/>
              </w:rPr>
              <w:t>Agent desktop, customer identification, case management, embedded Enrollment Center entry point</w:t>
            </w:r>
          </w:p>
        </w:tc>
      </w:tr>
      <w:tr>
        <w:tc>
          <w:tcPr>
            <w:tcW w:type="dxa" w:w="3744"/>
            <w:shd w:val="clear" w:fill="DEEAF6"/>
          </w:tcPr>
          <w:p>
            <w:r/>
            <w:r>
              <w:rPr>
                <w:sz w:val="19"/>
              </w:rPr>
              <w:t>SAP BTP, Cloud Foundry runtime + CAP</w:t>
            </w:r>
          </w:p>
        </w:tc>
        <w:tc>
          <w:tcPr>
            <w:tcW w:type="dxa" w:w="5616"/>
            <w:shd w:val="clear" w:fill="DEEAF6"/>
          </w:tcPr>
          <w:p>
            <w:r/>
            <w:r>
              <w:rPr>
                <w:sz w:val="19"/>
              </w:rPr>
              <w:t>Enrollment Service (APIs, state machine, validation, audit)</w:t>
            </w:r>
          </w:p>
        </w:tc>
      </w:tr>
      <w:tr>
        <w:tc>
          <w:tcPr>
            <w:tcW w:type="dxa" w:w="3744"/>
          </w:tcPr>
          <w:p>
            <w:r/>
            <w:r>
              <w:rPr>
                <w:sz w:val="19"/>
              </w:rPr>
              <w:t>SAPUI5 / Fiori Elements (or SAP Build Apps)</w:t>
            </w:r>
          </w:p>
        </w:tc>
        <w:tc>
          <w:tcPr>
            <w:tcW w:type="dxa" w:w="5616"/>
          </w:tcPr>
          <w:p>
            <w:r/>
            <w:r>
              <w:rPr>
                <w:sz w:val="19"/>
              </w:rPr>
              <w:t>Enrollment Center UI, Horizon theme, embedded in SC V2</w:t>
            </w:r>
          </w:p>
        </w:tc>
      </w:tr>
      <w:tr>
        <w:tc>
          <w:tcPr>
            <w:tcW w:type="dxa" w:w="3744"/>
            <w:shd w:val="clear" w:fill="DEEAF6"/>
          </w:tcPr>
          <w:p>
            <w:r/>
            <w:r>
              <w:rPr>
                <w:sz w:val="19"/>
              </w:rPr>
              <w:t>SAP Build Process Automation</w:t>
            </w:r>
          </w:p>
        </w:tc>
        <w:tc>
          <w:tcPr>
            <w:tcW w:type="dxa" w:w="5616"/>
            <w:shd w:val="clear" w:fill="DEEAF6"/>
          </w:tcPr>
          <w:p>
            <w:r/>
            <w:r>
              <w:rPr>
                <w:sz w:val="19"/>
              </w:rPr>
              <w:t>Exception/approval workflow; optional BTP-side decision tables for channel rules</w:t>
            </w:r>
          </w:p>
        </w:tc>
      </w:tr>
      <w:tr>
        <w:tc>
          <w:tcPr>
            <w:tcW w:type="dxa" w:w="3744"/>
          </w:tcPr>
          <w:p>
            <w:r/>
            <w:r>
              <w:rPr>
                <w:sz w:val="19"/>
              </w:rPr>
              <w:t>SAP Integration Suite — Cloud Integration &amp; API Management</w:t>
            </w:r>
          </w:p>
        </w:tc>
        <w:tc>
          <w:tcPr>
            <w:tcW w:type="dxa" w:w="5616"/>
          </w:tcPr>
          <w:p>
            <w:r/>
            <w:r>
              <w:rPr>
                <w:sz w:val="19"/>
              </w:rPr>
              <w:t>iFlows to S/4HANA (OData/SOAP/RFC/IDoc), mapping, retry, API governance</w:t>
            </w:r>
          </w:p>
        </w:tc>
      </w:tr>
      <w:tr>
        <w:tc>
          <w:tcPr>
            <w:tcW w:type="dxa" w:w="3744"/>
            <w:shd w:val="clear" w:fill="DEEAF6"/>
          </w:tcPr>
          <w:p>
            <w:r/>
            <w:r>
              <w:rPr>
                <w:sz w:val="19"/>
              </w:rPr>
              <w:t>SAP Event Mesh</w:t>
            </w:r>
          </w:p>
        </w:tc>
        <w:tc>
          <w:tcPr>
            <w:tcW w:type="dxa" w:w="5616"/>
            <w:shd w:val="clear" w:fill="DEEAF6"/>
          </w:tcPr>
          <w:p>
            <w:r/>
            <w:r>
              <w:rPr>
                <w:sz w:val="19"/>
              </w:rPr>
              <w:t>Asynchronous status backbone (S/4HANA events → BTP → SC V2)</w:t>
            </w:r>
          </w:p>
        </w:tc>
      </w:tr>
      <w:tr>
        <w:tc>
          <w:tcPr>
            <w:tcW w:type="dxa" w:w="3744"/>
          </w:tcPr>
          <w:p>
            <w:r/>
            <w:r>
              <w:rPr>
                <w:sz w:val="19"/>
              </w:rPr>
              <w:t>SAP HANA Cloud</w:t>
            </w:r>
          </w:p>
        </w:tc>
        <w:tc>
          <w:tcPr>
            <w:tcW w:type="dxa" w:w="5616"/>
          </w:tcPr>
          <w:p>
            <w:r/>
            <w:r>
              <w:rPr>
                <w:sz w:val="19"/>
              </w:rPr>
              <w:t>Enrollment process persistence, program catalog, audit log</w:t>
            </w:r>
          </w:p>
        </w:tc>
      </w:tr>
      <w:tr>
        <w:tc>
          <w:tcPr>
            <w:tcW w:type="dxa" w:w="3744"/>
            <w:shd w:val="clear" w:fill="DEEAF6"/>
          </w:tcPr>
          <w:p>
            <w:r/>
            <w:r>
              <w:rPr>
                <w:sz w:val="19"/>
              </w:rPr>
              <w:t>SAP Cloud Identity Services (IAS/XSUAA)</w:t>
            </w:r>
          </w:p>
        </w:tc>
        <w:tc>
          <w:tcPr>
            <w:tcW w:type="dxa" w:w="5616"/>
            <w:shd w:val="clear" w:fill="DEEAF6"/>
          </w:tcPr>
          <w:p>
            <w:r/>
            <w:r>
              <w:rPr>
                <w:sz w:val="19"/>
              </w:rPr>
              <w:t>SSO, principal propagation, role collections</w:t>
            </w:r>
          </w:p>
        </w:tc>
      </w:tr>
      <w:tr>
        <w:tc>
          <w:tcPr>
            <w:tcW w:type="dxa" w:w="3744"/>
          </w:tcPr>
          <w:p>
            <w:r/>
            <w:r>
              <w:rPr>
                <w:sz w:val="19"/>
              </w:rPr>
              <w:t>Cloud Connector (if S/4HANA on-premise)</w:t>
            </w:r>
          </w:p>
        </w:tc>
        <w:tc>
          <w:tcPr>
            <w:tcW w:type="dxa" w:w="5616"/>
          </w:tcPr>
          <w:p>
            <w:r/>
            <w:r>
              <w:rPr>
                <w:sz w:val="19"/>
              </w:rPr>
              <w:t>Secure tunnel for RFC/OData to the private landscape</w:t>
            </w:r>
          </w:p>
        </w:tc>
      </w:tr>
      <w:tr>
        <w:tc>
          <w:tcPr>
            <w:tcW w:type="dxa" w:w="3744"/>
            <w:shd w:val="clear" w:fill="DEEAF6"/>
          </w:tcPr>
          <w:p>
            <w:r/>
            <w:r>
              <w:rPr>
                <w:sz w:val="19"/>
              </w:rPr>
              <w:t>SAP S/4HANA Utilities</w:t>
            </w:r>
          </w:p>
        </w:tc>
        <w:tc>
          <w:tcPr>
            <w:tcW w:type="dxa" w:w="5616"/>
            <w:shd w:val="clear" w:fill="DEEAF6"/>
          </w:tcPr>
          <w:p>
            <w:r/>
            <w:r>
              <w:rPr>
                <w:sz w:val="19"/>
              </w:rPr>
              <w:t>System of record; BRF+ eligibility rule sets; BPEM; released APIs + governed custom services (re-use of legacy eligibility/rate objects)</w:t>
            </w:r>
          </w:p>
        </w:tc>
      </w:tr>
    </w:tbl>
    <w:p>
      <w:pPr>
        <w:spacing w:after="40"/>
      </w:pPr>
    </w:p>
    <w:p>
      <w:pPr>
        <w:pStyle w:val="Heading1"/>
      </w:pPr>
      <w:r>
        <w:t>12. Benefits and Limitations</w:t>
      </w:r>
    </w:p>
    <w:p>
      <w:pPr>
        <w:pStyle w:val="Heading2"/>
      </w:pPr>
      <w:r>
        <w:t>12.1 Benefits</w:t>
      </w:r>
    </w:p>
    <w:p>
      <w:pPr>
        <w:pStyle w:val="ListBullet"/>
      </w:pPr>
      <w:r>
        <w:t>Restores — and improves on — the proven legacy Enrollment Center experience inside the strategic SC V2 agent desktop: 360° program view, one-click enroll/de-enroll, single eligibility call.</w:t>
      </w:r>
    </w:p>
    <w:p>
      <w:pPr>
        <w:pStyle w:val="ListBullet"/>
      </w:pPr>
      <w:r>
        <w:t>Clean-core and upgrade-safe: S/4HANA and SC V2 remain standard; the extension lives on BTP behind stable APIs.</w:t>
      </w:r>
    </w:p>
    <w:p>
      <w:pPr>
        <w:pStyle w:val="ListBullet"/>
      </w:pPr>
      <w:r>
        <w:t>Program onboarding at configuration speed: catalog entry + rule set + fulfillment recipe (the legacy experience of ~3–4 WRICEF objects per program shrinks toward rules-and-config for programs using existing recipe types).</w:t>
      </w:r>
    </w:p>
    <w:p>
      <w:pPr>
        <w:pStyle w:val="ListBullet"/>
      </w:pPr>
      <w:r>
        <w:t>Channel reuse: the same eligibility and enrollment APIs can power customer self-service, IVR and marketing journeys later, with channel-specific rules only.</w:t>
      </w:r>
    </w:p>
    <w:p>
      <w:pPr>
        <w:pStyle w:val="ListBullet"/>
      </w:pPr>
      <w:r>
        <w:t>Operational resilience: asynchronous confirmation, retries, reconciliation and a supervised exception workflow mean no lost enrollments and no agent dead-ends.</w:t>
      </w:r>
    </w:p>
    <w:p>
      <w:pPr>
        <w:pStyle w:val="ListBullet"/>
      </w:pPr>
      <w:r>
        <w:t>Full auditability for regulators and program compliance (who enrolled whom, when, on what eligibility basis).</w:t>
      </w:r>
    </w:p>
    <w:p>
      <w:pPr>
        <w:pStyle w:val="Heading2"/>
      </w:pPr>
      <w:r>
        <w:t>12.2 Limitations and Mitigations</w:t>
      </w:r>
    </w:p>
    <w:tbl>
      <w:tblPr>
        <w:tblStyle w:val="TableGrid"/>
        <w:tblW w:type="auto" w:w="0"/>
        <w:jc w:val="center"/>
        <w:tblLayout w:type="fixed"/>
        <w:tblLook w:firstColumn="1" w:firstRow="1" w:lastColumn="0" w:lastRow="0" w:noHBand="0" w:noVBand="1" w:val="04A0"/>
      </w:tblPr>
      <w:tblGrid>
        <w:gridCol w:w="4320"/>
        <w:gridCol w:w="4320"/>
      </w:tblGrid>
      <w:tr>
        <w:tc>
          <w:tcPr>
            <w:tcW w:type="dxa" w:w="4464"/>
            <w:shd w:val="clear" w:fill="1F4E79"/>
          </w:tcPr>
          <w:p>
            <w:r/>
            <w:r>
              <w:rPr>
                <w:b/>
                <w:color w:val="FFFFFF"/>
                <w:sz w:val="19"/>
              </w:rPr>
              <w:t>Limitation</w:t>
            </w:r>
          </w:p>
        </w:tc>
        <w:tc>
          <w:tcPr>
            <w:tcW w:type="dxa" w:w="4896"/>
            <w:shd w:val="clear" w:fill="1F4E79"/>
          </w:tcPr>
          <w:p>
            <w:r/>
            <w:r>
              <w:rPr>
                <w:b/>
                <w:color w:val="FFFFFF"/>
                <w:sz w:val="19"/>
              </w:rPr>
              <w:t>Mitigation</w:t>
            </w:r>
          </w:p>
        </w:tc>
      </w:tr>
      <w:tr>
        <w:tc>
          <w:tcPr>
            <w:tcW w:type="dxa" w:w="4464"/>
          </w:tcPr>
          <w:p>
            <w:r/>
            <w:r>
              <w:rPr>
                <w:sz w:val="19"/>
              </w:rPr>
              <w:t>Custom application: build and run responsibility sits with the client/SI, not SAP standard support</w:t>
            </w:r>
          </w:p>
        </w:tc>
        <w:tc>
          <w:tcPr>
            <w:tcW w:type="dxa" w:w="4896"/>
          </w:tcPr>
          <w:p>
            <w:r/>
            <w:r>
              <w:rPr>
                <w:sz w:val="19"/>
              </w:rPr>
              <w:t>CAP + Fiori Elements keep the stack on SAP-supported frameworks; CI/CD, automated tests and documented runbooks; scope UI to the four-panel pattern to limit custom surface</w:t>
            </w:r>
          </w:p>
        </w:tc>
      </w:tr>
      <w:tr>
        <w:tc>
          <w:tcPr>
            <w:tcW w:type="dxa" w:w="4464"/>
            <w:shd w:val="clear" w:fill="DEEAF6"/>
          </w:tcPr>
          <w:p>
            <w:r/>
            <w:r>
              <w:rPr>
                <w:sz w:val="19"/>
              </w:rPr>
              <w:t>Dependent on S/4HANA API coverage; some utilities operations still require BAPIs/custom RFCs</w:t>
            </w:r>
          </w:p>
        </w:tc>
        <w:tc>
          <w:tcPr>
            <w:tcW w:type="dxa" w:w="4896"/>
            <w:shd w:val="clear" w:fill="DEEAF6"/>
          </w:tcPr>
          <w:p>
            <w:r/>
            <w:r>
              <w:rPr>
                <w:sz w:val="19"/>
              </w:rPr>
              <w:t>Wrap non-released interfaces behind Integration Suite so the Enrollment Service is insulated; replace with released APIs as SAP delivers them</w:t>
            </w:r>
          </w:p>
        </w:tc>
      </w:tr>
      <w:tr>
        <w:tc>
          <w:tcPr>
            <w:tcW w:type="dxa" w:w="4464"/>
          </w:tcPr>
          <w:p>
            <w:r/>
            <w:r>
              <w:rPr>
                <w:sz w:val="19"/>
              </w:rPr>
              <w:t>Eligibility latency depends on backend rule execution across programs</w:t>
            </w:r>
          </w:p>
        </w:tc>
        <w:tc>
          <w:tcPr>
            <w:tcW w:type="dxa" w:w="4896"/>
          </w:tcPr>
          <w:p>
            <w:r/>
            <w:r>
              <w:rPr>
                <w:sz w:val="19"/>
              </w:rPr>
              <w:t>Single batched rules call (legacy-proven), parallel context reads, short-TTL caching of static catalog data; target &lt;3s render</w:t>
            </w:r>
          </w:p>
        </w:tc>
      </w:tr>
      <w:tr>
        <w:tc>
          <w:tcPr>
            <w:tcW w:type="dxa" w:w="4464"/>
            <w:shd w:val="clear" w:fill="DEEAF6"/>
          </w:tcPr>
          <w:p>
            <w:r/>
            <w:r>
              <w:rPr>
                <w:sz w:val="19"/>
              </w:rPr>
              <w:t>Two rule locations possible (BRF+ in S/4HANA, decision tables on BTP)</w:t>
            </w:r>
          </w:p>
        </w:tc>
        <w:tc>
          <w:tcPr>
            <w:tcW w:type="dxa" w:w="4896"/>
            <w:shd w:val="clear" w:fill="DEEAF6"/>
          </w:tcPr>
          <w:p>
            <w:r/>
            <w:r>
              <w:rPr>
                <w:sz w:val="19"/>
              </w:rPr>
              <w:t>Governance rule: billing/master-data eligibility stays in BRF+ (single source, callable by all channels); only channel/campaign logic on BTP</w:t>
            </w:r>
          </w:p>
        </w:tc>
      </w:tr>
      <w:tr>
        <w:tc>
          <w:tcPr>
            <w:tcW w:type="dxa" w:w="4464"/>
          </w:tcPr>
          <w:p>
            <w:r/>
            <w:r>
              <w:rPr>
                <w:sz w:val="19"/>
              </w:rPr>
              <w:t>Licensing/subscription cost for BTP services (Integration Suite, Event Mesh, Build Process Automation, HANA Cloud)</w:t>
            </w:r>
          </w:p>
        </w:tc>
        <w:tc>
          <w:tcPr>
            <w:tcW w:type="dxa" w:w="4896"/>
          </w:tcPr>
          <w:p>
            <w:r/>
            <w:r>
              <w:rPr>
                <w:sz w:val="19"/>
              </w:rPr>
              <w:t>Right-size service plans; Event Mesh and workflow are consumption-priced; shared BTP subaccount strategy with other extensions</w:t>
            </w:r>
          </w:p>
        </w:tc>
      </w:tr>
      <w:tr>
        <w:tc>
          <w:tcPr>
            <w:tcW w:type="dxa" w:w="4464"/>
            <w:shd w:val="clear" w:fill="DEEAF6"/>
          </w:tcPr>
          <w:p>
            <w:r/>
            <w:r>
              <w:rPr>
                <w:sz w:val="19"/>
              </w:rPr>
              <w:t>Embedded UI depends on SC V2 external-app integration capabilities and context handover</w:t>
            </w:r>
          </w:p>
        </w:tc>
        <w:tc>
          <w:tcPr>
            <w:tcW w:type="dxa" w:w="4896"/>
            <w:shd w:val="clear" w:fill="DEEAF6"/>
          </w:tcPr>
          <w:p>
            <w:r/>
            <w:r>
              <w:rPr>
                <w:sz w:val="19"/>
              </w:rPr>
              <w:t>Validate mashup/context contract in a spike during Discover phase; fallback is context-passing via deep link in a side pane</w:t>
            </w:r>
          </w:p>
        </w:tc>
      </w:tr>
    </w:tbl>
    <w:p>
      <w:pPr>
        <w:spacing w:after="40"/>
      </w:pPr>
    </w:p>
    <w:p>
      <w:pPr>
        <w:pStyle w:val="Heading1"/>
      </w:pPr>
      <w:r>
        <w:t>13. Assumptions, Dependencies and Open Points</w:t>
      </w:r>
    </w:p>
    <w:p>
      <w:pPr>
        <w:pStyle w:val="ListBullet"/>
      </w:pPr>
      <w:r>
        <w:t>SC V2 is (or will be) integrated with S/4HANA Utilities for customer/account replication or federation (utilities add-on or equivalent), so agent identification resolves to a business partner.</w:t>
      </w:r>
    </w:p>
    <w:p>
      <w:pPr>
        <w:pStyle w:val="ListBullet"/>
      </w:pPr>
      <w:r>
        <w:t>Existing BRF+ eligibility rule sets and custom eligibility/rate function modules from the legacy build are migrated to (or already available in) S/4HANA and remain the rules source of truth.</w:t>
      </w:r>
    </w:p>
    <w:p>
      <w:pPr>
        <w:pStyle w:val="ListBullet"/>
      </w:pPr>
      <w:r>
        <w:t>Program list for Release 1 to be confirmed (proposed: DPP, PTR, CPP, CSDD, PrePay based on legacy scope); each requires a per-program functional specification (capture form, rules, fulfillment recipe).</w:t>
      </w:r>
    </w:p>
    <w:p>
      <w:pPr>
        <w:pStyle w:val="ListBullet"/>
      </w:pPr>
      <w:r>
        <w:t>Client's BTP account model, region and Cloud Connector topology to be confirmed in technical discovery.</w:t>
      </w:r>
    </w:p>
    <w:p>
      <w:pPr>
        <w:pStyle w:val="ListBullet"/>
      </w:pPr>
      <w:r>
        <w:t>Consent/document retention requirements (legal) to be confirmed for the document capture scope.</w:t>
      </w:r>
    </w:p>
    <w:p>
      <w:pPr>
        <w:pStyle w:val="ListBullet"/>
      </w:pPr>
      <w:r>
        <w:t>BPEM usage and case categories for enrollment exceptions to be aligned with the billing operations team.</w:t>
      </w:r>
    </w:p>
    <w:p>
      <w:pPr>
        <w:pStyle w:val="Heading1"/>
      </w:pPr>
      <w:r>
        <w:t>14. Recommended Next Steps</w:t>
      </w:r>
    </w:p>
    <w:p>
      <w:pPr>
        <w:pStyle w:val="ListNumber"/>
      </w:pPr>
      <w:r>
        <w:t>Architecture review and sign-off of this design with business and IT stakeholders.</w:t>
      </w:r>
    </w:p>
    <w:p>
      <w:pPr>
        <w:pStyle w:val="ListNumber"/>
      </w:pPr>
      <w:r>
        <w:t>Two-week technical spike: SC V2 UI embedding with context handover + principal propagation to S/4HANA through Integration Suite.</w:t>
      </w:r>
    </w:p>
    <w:p>
      <w:pPr>
        <w:pStyle w:val="ListNumber"/>
      </w:pPr>
      <w:r>
        <w:t>Release 1 scoping workshop: confirm program list, per-program capture fields, eligibility rules inventory and fulfillment recipes.</w:t>
      </w:r>
    </w:p>
    <w:p>
      <w:pPr>
        <w:pStyle w:val="ListNumber"/>
      </w:pPr>
      <w:r>
        <w:t>Detailed specifications: API contracts (OpenAPI), iFlow designs, data mapping per program, test strategy (re-using the existing DPP/PTR/CPP enrollment test case library).</w:t>
      </w:r>
    </w:p>
    <w:p>
      <w:pPr>
        <w:pStyle w:val="ListNumber"/>
      </w:pPr>
      <w:r>
        <w:t>Build in two increments: Increment 1 — Enrollment Center shell, context load, eligibility, one program end-to-end (recommended: CSDD, simplest recipe); Increment 2 — remaining programs, de-enrollment, exception workflow, supervisor cockpit.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