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814BE6" w14:textId="5F9154BA" w:rsidR="006C4390" w:rsidRDefault="001346FA" w:rsidP="003C0EBB">
      <w:pPr>
        <w:pStyle w:val="PSCHeading1"/>
        <w:spacing w:after="180"/>
      </w:pPr>
      <w:r>
        <w:t xml:space="preserve">Demand Response </w:t>
      </w:r>
      <w:r w:rsidR="00B343A2">
        <w:t>Rate Design Recommendations</w:t>
      </w:r>
      <w:r>
        <w:t xml:space="preserve"> </w:t>
      </w:r>
    </w:p>
    <w:p w14:paraId="6F3E7B85" w14:textId="7C1011F9" w:rsidR="00FD67F7" w:rsidRDefault="00101162" w:rsidP="00E33EDC">
      <w:pPr>
        <w:pStyle w:val="PSCBodyText"/>
      </w:pPr>
      <w:bookmarkStart w:id="0" w:name="_Hlk429143215"/>
      <w:r w:rsidRPr="00101162">
        <w:t xml:space="preserve">During our next stakeholder group meeting, we are going to </w:t>
      </w:r>
      <w:r w:rsidR="00B343A2">
        <w:t xml:space="preserve">develop recommendations </w:t>
      </w:r>
      <w:r w:rsidR="0084579B">
        <w:t>for</w:t>
      </w:r>
      <w:r w:rsidR="00B343A2">
        <w:t xml:space="preserve"> the steering committee </w:t>
      </w:r>
      <w:r w:rsidR="00ED4224">
        <w:t>on</w:t>
      </w:r>
      <w:r w:rsidR="00B343A2">
        <w:t xml:space="preserve"> </w:t>
      </w:r>
      <w:r w:rsidR="00FD67F7">
        <w:t xml:space="preserve">effective demand response rate design. </w:t>
      </w:r>
      <w:r w:rsidR="00B03224">
        <w:t xml:space="preserve">Stakeholders </w:t>
      </w:r>
      <w:r w:rsidR="00FD67F7">
        <w:t xml:space="preserve">were provided a brief report entitled, “Common </w:t>
      </w:r>
      <w:r w:rsidR="00FD67F7" w:rsidRPr="007A3751">
        <w:t>Demand Response Practices</w:t>
      </w:r>
      <w:r w:rsidR="00FD67F7">
        <w:t xml:space="preserve"> and Program Designs</w:t>
      </w:r>
      <w:r w:rsidR="00ED4224">
        <w:t>,</w:t>
      </w:r>
      <w:r w:rsidR="001074AB">
        <w:t xml:space="preserve">” </w:t>
      </w:r>
      <w:r w:rsidR="00E33EDC" w:rsidRPr="00E33EDC">
        <w:t xml:space="preserve">to provide background on parameters </w:t>
      </w:r>
      <w:r w:rsidR="00E33EDC">
        <w:t>most commonly used in the field</w:t>
      </w:r>
      <w:r w:rsidR="008B0ECC">
        <w:t xml:space="preserve">. </w:t>
      </w:r>
      <w:r w:rsidR="00ED4224">
        <w:t xml:space="preserve">Information from that report was used to populate the “Common Practices” column in the table below. </w:t>
      </w:r>
      <w:r w:rsidR="008B0ECC">
        <w:t>Based on th</w:t>
      </w:r>
      <w:r w:rsidR="00ED4224">
        <w:t xml:space="preserve">ese common practices </w:t>
      </w:r>
      <w:r w:rsidR="008B0ECC">
        <w:t>and your experience</w:t>
      </w:r>
      <w:r w:rsidR="00ED4224">
        <w:t>/expertise</w:t>
      </w:r>
      <w:r w:rsidR="008B0ECC">
        <w:t xml:space="preserve">, we would like you to </w:t>
      </w:r>
      <w:r w:rsidR="008B5558">
        <w:t xml:space="preserve">define the </w:t>
      </w:r>
      <w:r w:rsidR="008B0ECC">
        <w:t xml:space="preserve">parameters </w:t>
      </w:r>
      <w:r w:rsidR="008B5558">
        <w:t>you would recommend</w:t>
      </w:r>
      <w:r w:rsidR="00ED4224">
        <w:t xml:space="preserve"> be included when designing both time-varying rates and rates for direct load control programs</w:t>
      </w:r>
      <w:r w:rsidR="008B5558">
        <w:t>.</w:t>
      </w:r>
      <w:r w:rsidR="00ED4224">
        <w:t xml:space="preserve"> Please provide your responses for each parameter in the “Recommendations” column in the table below and bring this completed worksheet with you to the meeting.</w:t>
      </w:r>
    </w:p>
    <w:tbl>
      <w:tblPr>
        <w:tblStyle w:val="GridTable1Light"/>
        <w:tblW w:w="14559"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2"/>
        <w:gridCol w:w="6236"/>
        <w:gridCol w:w="5791"/>
      </w:tblGrid>
      <w:tr w:rsidR="003C0EBB" w:rsidRPr="003C0EBB" w14:paraId="4F6A025B" w14:textId="77777777" w:rsidTr="00E33EDC">
        <w:trPr>
          <w:cnfStyle w:val="100000000000" w:firstRow="1" w:lastRow="0" w:firstColumn="0" w:lastColumn="0" w:oddVBand="0" w:evenVBand="0" w:oddHBand="0"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14559" w:type="dxa"/>
            <w:gridSpan w:val="3"/>
            <w:tcBorders>
              <w:top w:val="single" w:sz="4" w:space="0" w:color="78B33A"/>
              <w:left w:val="single" w:sz="4" w:space="0" w:color="78B33A"/>
              <w:bottom w:val="single" w:sz="4" w:space="0" w:color="78B33A"/>
              <w:right w:val="single" w:sz="4" w:space="0" w:color="78B33A"/>
            </w:tcBorders>
            <w:shd w:val="clear" w:color="auto" w:fill="7F7F7F" w:themeFill="text1" w:themeFillTint="80"/>
            <w:noWrap/>
            <w:vAlign w:val="center"/>
          </w:tcPr>
          <w:p w14:paraId="6F9C049E" w14:textId="278EF91D" w:rsidR="00AB7BD2" w:rsidRPr="003C0EBB" w:rsidRDefault="003C0EBB" w:rsidP="003C5687">
            <w:pPr>
              <w:pStyle w:val="PSCHeading2"/>
              <w:spacing w:before="0" w:after="0"/>
              <w:jc w:val="center"/>
              <w:rPr>
                <w:b/>
                <w:color w:val="FFFFFF" w:themeColor="background1"/>
                <w:sz w:val="16"/>
                <w:szCs w:val="18"/>
              </w:rPr>
            </w:pPr>
            <w:r w:rsidRPr="003C0EBB">
              <w:rPr>
                <w:b/>
                <w:color w:val="FFFFFF" w:themeColor="background1"/>
                <w:sz w:val="16"/>
                <w:szCs w:val="18"/>
              </w:rPr>
              <w:t>TIME-VARYING RATES</w:t>
            </w:r>
          </w:p>
        </w:tc>
      </w:tr>
      <w:tr w:rsidR="00AB7BD2" w:rsidRPr="000A6A53" w14:paraId="346349C6" w14:textId="77777777" w:rsidTr="00E33EDC">
        <w:trPr>
          <w:trHeight w:val="449"/>
          <w:jc w:val="center"/>
        </w:trPr>
        <w:tc>
          <w:tcPr>
            <w:cnfStyle w:val="001000000000" w:firstRow="0" w:lastRow="0" w:firstColumn="1" w:lastColumn="0" w:oddVBand="0" w:evenVBand="0" w:oddHBand="0" w:evenHBand="0" w:firstRowFirstColumn="0" w:firstRowLastColumn="0" w:lastRowFirstColumn="0" w:lastRowLastColumn="0"/>
            <w:tcW w:w="2532" w:type="dxa"/>
            <w:tcBorders>
              <w:top w:val="single" w:sz="4" w:space="0" w:color="78B33A"/>
            </w:tcBorders>
            <w:shd w:val="clear" w:color="auto" w:fill="D9D9D9" w:themeFill="background1" w:themeFillShade="D9"/>
            <w:noWrap/>
            <w:vAlign w:val="center"/>
          </w:tcPr>
          <w:p w14:paraId="6DD08E1F" w14:textId="7C2EFCF6" w:rsidR="00AB7BD2" w:rsidRDefault="00AB7BD2" w:rsidP="00AB7BD2">
            <w:pPr>
              <w:pStyle w:val="PSCHeading2"/>
              <w:spacing w:before="0" w:after="0"/>
              <w:jc w:val="center"/>
              <w:rPr>
                <w:color w:val="404040" w:themeColor="text1" w:themeTint="BF"/>
                <w:sz w:val="16"/>
                <w:szCs w:val="18"/>
              </w:rPr>
            </w:pPr>
            <w:r>
              <w:rPr>
                <w:b/>
                <w:color w:val="404040" w:themeColor="text1" w:themeTint="BF"/>
                <w:sz w:val="16"/>
                <w:szCs w:val="18"/>
              </w:rPr>
              <w:t>Parameter</w:t>
            </w:r>
          </w:p>
        </w:tc>
        <w:tc>
          <w:tcPr>
            <w:tcW w:w="6236" w:type="dxa"/>
            <w:tcBorders>
              <w:top w:val="single" w:sz="4" w:space="0" w:color="78B33A"/>
            </w:tcBorders>
            <w:shd w:val="clear" w:color="auto" w:fill="D9D9D9" w:themeFill="background1" w:themeFillShade="D9"/>
            <w:noWrap/>
            <w:vAlign w:val="center"/>
          </w:tcPr>
          <w:p w14:paraId="74E9273B" w14:textId="31AB769C" w:rsidR="00AB7BD2" w:rsidRDefault="00AB7BD2" w:rsidP="00AB7BD2">
            <w:pPr>
              <w:pStyle w:val="PSCHeading2"/>
              <w:spacing w:before="0" w:after="0"/>
              <w:jc w:val="center"/>
              <w:cnfStyle w:val="000000000000" w:firstRow="0" w:lastRow="0" w:firstColumn="0" w:lastColumn="0" w:oddVBand="0" w:evenVBand="0" w:oddHBand="0" w:evenHBand="0" w:firstRowFirstColumn="0" w:firstRowLastColumn="0" w:lastRowFirstColumn="0" w:lastRowLastColumn="0"/>
              <w:rPr>
                <w:color w:val="404040" w:themeColor="text1" w:themeTint="BF"/>
                <w:sz w:val="16"/>
                <w:szCs w:val="18"/>
              </w:rPr>
            </w:pPr>
            <w:r>
              <w:rPr>
                <w:color w:val="404040" w:themeColor="text1" w:themeTint="BF"/>
                <w:sz w:val="16"/>
                <w:szCs w:val="18"/>
              </w:rPr>
              <w:t>Common Practice</w:t>
            </w:r>
          </w:p>
        </w:tc>
        <w:tc>
          <w:tcPr>
            <w:tcW w:w="5790" w:type="dxa"/>
            <w:tcBorders>
              <w:top w:val="single" w:sz="4" w:space="0" w:color="78B33A"/>
            </w:tcBorders>
            <w:shd w:val="clear" w:color="auto" w:fill="D9D9D9" w:themeFill="background1" w:themeFillShade="D9"/>
            <w:vAlign w:val="center"/>
          </w:tcPr>
          <w:p w14:paraId="2F92F8E6" w14:textId="19F20149" w:rsidR="00AB7BD2" w:rsidRDefault="00AB7BD2" w:rsidP="00AB7BD2">
            <w:pPr>
              <w:pStyle w:val="PSCHeading2"/>
              <w:spacing w:before="0" w:after="0"/>
              <w:jc w:val="center"/>
              <w:cnfStyle w:val="000000000000" w:firstRow="0" w:lastRow="0" w:firstColumn="0" w:lastColumn="0" w:oddVBand="0" w:evenVBand="0" w:oddHBand="0" w:evenHBand="0" w:firstRowFirstColumn="0" w:firstRowLastColumn="0" w:lastRowFirstColumn="0" w:lastRowLastColumn="0"/>
              <w:rPr>
                <w:color w:val="404040" w:themeColor="text1" w:themeTint="BF"/>
                <w:sz w:val="16"/>
                <w:szCs w:val="18"/>
              </w:rPr>
            </w:pPr>
            <w:r>
              <w:rPr>
                <w:color w:val="404040" w:themeColor="text1" w:themeTint="BF"/>
                <w:sz w:val="16"/>
                <w:szCs w:val="18"/>
              </w:rPr>
              <w:t>Recommendations</w:t>
            </w:r>
          </w:p>
        </w:tc>
      </w:tr>
      <w:tr w:rsidR="00AB7BD2" w:rsidRPr="003C0EBB" w14:paraId="54588308" w14:textId="77777777" w:rsidTr="00E33EDC">
        <w:trPr>
          <w:trHeight w:val="471"/>
          <w:jc w:val="center"/>
        </w:trPr>
        <w:tc>
          <w:tcPr>
            <w:cnfStyle w:val="001000000000" w:firstRow="0" w:lastRow="0" w:firstColumn="1" w:lastColumn="0" w:oddVBand="0" w:evenVBand="0" w:oddHBand="0" w:evenHBand="0" w:firstRowFirstColumn="0" w:firstRowLastColumn="0" w:lastRowFirstColumn="0" w:lastRowLastColumn="0"/>
            <w:tcW w:w="2532" w:type="dxa"/>
            <w:noWrap/>
            <w:vAlign w:val="center"/>
          </w:tcPr>
          <w:p w14:paraId="30E938B2" w14:textId="2AF60D9A" w:rsidR="00AB7BD2" w:rsidRPr="00AE14B8" w:rsidRDefault="00AB7BD2" w:rsidP="00AB7BD2">
            <w:pPr>
              <w:pStyle w:val="PSCBodyText"/>
              <w:spacing w:before="0" w:after="0"/>
              <w:jc w:val="left"/>
              <w:rPr>
                <w:sz w:val="22"/>
                <w:szCs w:val="22"/>
              </w:rPr>
            </w:pPr>
            <w:r w:rsidRPr="00AE14B8">
              <w:rPr>
                <w:sz w:val="22"/>
                <w:szCs w:val="22"/>
              </w:rPr>
              <w:t>Pricing/interruption period (frequency and timing)</w:t>
            </w:r>
          </w:p>
        </w:tc>
        <w:tc>
          <w:tcPr>
            <w:tcW w:w="6236" w:type="dxa"/>
            <w:noWrap/>
            <w:vAlign w:val="center"/>
          </w:tcPr>
          <w:p w14:paraId="0564A45B" w14:textId="4633891D" w:rsidR="00AB7BD2" w:rsidRPr="00AE14B8" w:rsidRDefault="00807D17"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 xml:space="preserve">TOU </w:t>
            </w:r>
            <w:r w:rsidR="00746773" w:rsidRPr="00AE14B8">
              <w:rPr>
                <w:rFonts w:cs="Arial"/>
                <w:sz w:val="22"/>
                <w:szCs w:val="22"/>
              </w:rPr>
              <w:t>o</w:t>
            </w:r>
            <w:r w:rsidRPr="00AE14B8">
              <w:rPr>
                <w:rFonts w:cs="Arial"/>
                <w:sz w:val="22"/>
                <w:szCs w:val="22"/>
              </w:rPr>
              <w:t>n-peak hours: 4 PM</w:t>
            </w:r>
            <w:r w:rsidR="00746773" w:rsidRPr="00AE14B8">
              <w:rPr>
                <w:rFonts w:cs="Arial"/>
                <w:sz w:val="22"/>
                <w:szCs w:val="22"/>
              </w:rPr>
              <w:t>–</w:t>
            </w:r>
            <w:r w:rsidRPr="00AE14B8">
              <w:rPr>
                <w:rFonts w:cs="Arial"/>
                <w:sz w:val="22"/>
                <w:szCs w:val="22"/>
              </w:rPr>
              <w:t>7 PM</w:t>
            </w:r>
          </w:p>
          <w:p w14:paraId="7E30E41F" w14:textId="6E52B75E" w:rsidR="00807D17" w:rsidRPr="00AE14B8" w:rsidRDefault="00807D17" w:rsidP="00680EAA">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 xml:space="preserve">TOU </w:t>
            </w:r>
            <w:proofErr w:type="spellStart"/>
            <w:r w:rsidR="00746773" w:rsidRPr="00AE14B8">
              <w:rPr>
                <w:rFonts w:cs="Arial"/>
                <w:sz w:val="22"/>
                <w:szCs w:val="22"/>
              </w:rPr>
              <w:t>m</w:t>
            </w:r>
            <w:r w:rsidRPr="00AE14B8">
              <w:rPr>
                <w:rFonts w:cs="Arial"/>
                <w:sz w:val="22"/>
                <w:szCs w:val="22"/>
              </w:rPr>
              <w:t>idpeak</w:t>
            </w:r>
            <w:proofErr w:type="spellEnd"/>
            <w:r w:rsidRPr="00AE14B8">
              <w:rPr>
                <w:rFonts w:cs="Arial"/>
                <w:sz w:val="22"/>
                <w:szCs w:val="22"/>
              </w:rPr>
              <w:t xml:space="preserve"> hours: Noon</w:t>
            </w:r>
            <w:r w:rsidR="00746773" w:rsidRPr="00AE14B8">
              <w:rPr>
                <w:rFonts w:cs="Arial"/>
                <w:sz w:val="22"/>
                <w:szCs w:val="22"/>
              </w:rPr>
              <w:t>–</w:t>
            </w:r>
            <w:r w:rsidRPr="00AE14B8">
              <w:rPr>
                <w:rFonts w:cs="Arial"/>
                <w:sz w:val="22"/>
                <w:szCs w:val="22"/>
              </w:rPr>
              <w:t>4 PM and 7 PM</w:t>
            </w:r>
            <w:r w:rsidR="00680EAA" w:rsidRPr="00AE14B8">
              <w:rPr>
                <w:rFonts w:cs="Arial"/>
                <w:sz w:val="22"/>
                <w:szCs w:val="22"/>
              </w:rPr>
              <w:t>–</w:t>
            </w:r>
            <w:r w:rsidRPr="00AE14B8">
              <w:rPr>
                <w:rFonts w:cs="Arial"/>
                <w:sz w:val="22"/>
                <w:szCs w:val="22"/>
              </w:rPr>
              <w:t>10 PM</w:t>
            </w:r>
          </w:p>
        </w:tc>
        <w:tc>
          <w:tcPr>
            <w:tcW w:w="5790" w:type="dxa"/>
            <w:vAlign w:val="center"/>
          </w:tcPr>
          <w:p w14:paraId="7E32F5C2" w14:textId="1AEA180A" w:rsidR="0074390D" w:rsidRPr="00BD2D9B" w:rsidRDefault="00BD2D9B" w:rsidP="00BD2D9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b/>
                <w:iCs/>
                <w:sz w:val="22"/>
                <w:u w:val="single"/>
              </w:rPr>
            </w:pPr>
            <w:r w:rsidRPr="00BD2D9B">
              <w:rPr>
                <w:rFonts w:ascii="Arial" w:hAnsi="Arial" w:cs="Arial"/>
                <w:b/>
                <w:iCs/>
                <w:sz w:val="22"/>
                <w:u w:val="single"/>
              </w:rPr>
              <w:t>Residential:</w:t>
            </w:r>
          </w:p>
          <w:p w14:paraId="040B10D6" w14:textId="666F9E84" w:rsidR="0074390D" w:rsidRPr="00BD2D9B" w:rsidRDefault="0074390D" w:rsidP="00BD2D9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iCs/>
                <w:sz w:val="22"/>
              </w:rPr>
            </w:pPr>
            <w:r w:rsidRPr="00BD2D9B">
              <w:rPr>
                <w:rFonts w:ascii="Arial" w:hAnsi="Arial" w:cs="Arial"/>
                <w:iCs/>
                <w:sz w:val="22"/>
              </w:rPr>
              <w:t>CE proposed TOU Schedule for Dynamic Pricing Rates:</w:t>
            </w:r>
          </w:p>
          <w:p w14:paraId="379190DF" w14:textId="77777777" w:rsidR="0074390D" w:rsidRPr="00BD2D9B" w:rsidRDefault="0074390D" w:rsidP="00BD2D9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iCs/>
                <w:sz w:val="22"/>
              </w:rPr>
            </w:pPr>
          </w:p>
          <w:p w14:paraId="38E28ED9" w14:textId="77777777" w:rsidR="00AB6B62" w:rsidRPr="00BD2D9B" w:rsidRDefault="00AB6B62" w:rsidP="00BD2D9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iCs/>
                <w:sz w:val="22"/>
              </w:rPr>
            </w:pPr>
            <w:r w:rsidRPr="00BD2D9B">
              <w:rPr>
                <w:rFonts w:ascii="Arial" w:hAnsi="Arial" w:cs="Arial"/>
                <w:iCs/>
                <w:sz w:val="22"/>
              </w:rPr>
              <w:t>Summer Billing Months of June through September:</w:t>
            </w:r>
          </w:p>
          <w:p w14:paraId="668EE6CF" w14:textId="77777777" w:rsidR="00AB6B62" w:rsidRPr="00BD2D9B" w:rsidRDefault="00AB6B62" w:rsidP="00BD2D9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iCs/>
                <w:sz w:val="22"/>
              </w:rPr>
            </w:pPr>
            <w:r w:rsidRPr="00BD2D9B">
              <w:rPr>
                <w:rFonts w:ascii="Arial" w:hAnsi="Arial" w:cs="Arial"/>
                <w:iCs/>
                <w:sz w:val="22"/>
              </w:rPr>
              <w:t>(1) Off-Peak Hours: 12:00 AM to 7:00 AM and 11:00 PM to 12:00 AM</w:t>
            </w:r>
          </w:p>
          <w:p w14:paraId="13397416" w14:textId="77777777" w:rsidR="00AB6B62" w:rsidRPr="00BD2D9B" w:rsidRDefault="00AB6B62" w:rsidP="00BD2D9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iCs/>
                <w:sz w:val="22"/>
              </w:rPr>
            </w:pPr>
            <w:r w:rsidRPr="00BD2D9B">
              <w:rPr>
                <w:rFonts w:ascii="Arial" w:hAnsi="Arial" w:cs="Arial"/>
                <w:iCs/>
                <w:sz w:val="22"/>
              </w:rPr>
              <w:t>(2) Mid-Peak Hours: 7:00 AM to 2:00 PM and 6:00 PM to 11:00 PM</w:t>
            </w:r>
          </w:p>
          <w:p w14:paraId="1E271E27" w14:textId="77777777" w:rsidR="00AB6B62" w:rsidRPr="00BD2D9B" w:rsidRDefault="00AB6B62" w:rsidP="00BD2D9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iCs/>
                <w:sz w:val="22"/>
              </w:rPr>
            </w:pPr>
            <w:r w:rsidRPr="00BD2D9B">
              <w:rPr>
                <w:rFonts w:ascii="Arial" w:hAnsi="Arial" w:cs="Arial"/>
                <w:iCs/>
                <w:sz w:val="22"/>
              </w:rPr>
              <w:t>(3) On-Peak Hours: 2:00 PM to 6:00 PM</w:t>
            </w:r>
          </w:p>
          <w:p w14:paraId="550DB3FF" w14:textId="77777777" w:rsidR="00AB6B62" w:rsidRPr="00BD2D9B" w:rsidRDefault="00AB6B62" w:rsidP="00BD2D9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iCs/>
                <w:sz w:val="22"/>
              </w:rPr>
            </w:pPr>
          </w:p>
          <w:p w14:paraId="20BF9FDC" w14:textId="77777777" w:rsidR="00AB6B62" w:rsidRPr="00BD2D9B" w:rsidRDefault="00AB6B62" w:rsidP="00BD2D9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iCs/>
                <w:sz w:val="22"/>
              </w:rPr>
            </w:pPr>
            <w:r w:rsidRPr="00BD2D9B">
              <w:rPr>
                <w:rFonts w:ascii="Arial" w:hAnsi="Arial" w:cs="Arial"/>
                <w:iCs/>
                <w:sz w:val="22"/>
              </w:rPr>
              <w:t>Winter Billing Months of January through May and October through December:</w:t>
            </w:r>
          </w:p>
          <w:p w14:paraId="72646E8B" w14:textId="77777777" w:rsidR="00AB6B62" w:rsidRPr="00BD2D9B" w:rsidRDefault="00AB6B62" w:rsidP="00BD2D9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iCs/>
                <w:sz w:val="22"/>
              </w:rPr>
            </w:pPr>
            <w:r w:rsidRPr="00BD2D9B">
              <w:rPr>
                <w:rFonts w:ascii="Arial" w:hAnsi="Arial" w:cs="Arial"/>
                <w:iCs/>
                <w:sz w:val="22"/>
              </w:rPr>
              <w:t>(1) Off-Peak Hours: 11:00 PM to 7:00 AM</w:t>
            </w:r>
          </w:p>
          <w:p w14:paraId="11F1D079" w14:textId="77777777" w:rsidR="00AB6B62" w:rsidRPr="00BD2D9B" w:rsidRDefault="00AB6B62" w:rsidP="00BD2D9B">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iCs/>
                <w:color w:val="0033CD"/>
                <w:sz w:val="22"/>
              </w:rPr>
            </w:pPr>
            <w:r w:rsidRPr="00BD2D9B">
              <w:rPr>
                <w:rFonts w:ascii="Arial" w:hAnsi="Arial" w:cs="Arial"/>
                <w:iCs/>
                <w:sz w:val="22"/>
              </w:rPr>
              <w:t>(2) Mid-Peak Hours: 7:00 AM to 11:00 PM</w:t>
            </w:r>
          </w:p>
          <w:p w14:paraId="154F5DA8" w14:textId="77777777" w:rsidR="00D34054" w:rsidRPr="00BD2D9B" w:rsidRDefault="00D34054" w:rsidP="00BD2D9B">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i/>
                <w:iCs/>
                <w:color w:val="0033CD"/>
                <w:sz w:val="22"/>
                <w:szCs w:val="22"/>
              </w:rPr>
            </w:pPr>
          </w:p>
          <w:p w14:paraId="183ADBCE" w14:textId="5A859A8B" w:rsidR="00D34054" w:rsidRPr="00BD2D9B" w:rsidRDefault="00D34054" w:rsidP="00BD2D9B">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iCs/>
                <w:color w:val="auto"/>
                <w:sz w:val="22"/>
                <w:szCs w:val="22"/>
              </w:rPr>
            </w:pPr>
            <w:r w:rsidRPr="00BD2D9B">
              <w:rPr>
                <w:rFonts w:cs="Arial"/>
                <w:iCs/>
                <w:color w:val="auto"/>
                <w:sz w:val="22"/>
                <w:szCs w:val="22"/>
              </w:rPr>
              <w:t>Consumers Energy</w:t>
            </w:r>
            <w:r w:rsidR="0074390D" w:rsidRPr="00BD2D9B">
              <w:rPr>
                <w:rFonts w:cs="Arial"/>
                <w:iCs/>
                <w:color w:val="auto"/>
                <w:sz w:val="22"/>
                <w:szCs w:val="22"/>
              </w:rPr>
              <w:t xml:space="preserve"> implemented the above schedule and TOU pricing described below with the goal</w:t>
            </w:r>
            <w:r w:rsidR="00112E4B" w:rsidRPr="00BD2D9B">
              <w:rPr>
                <w:rFonts w:cs="Arial"/>
                <w:iCs/>
                <w:color w:val="auto"/>
                <w:sz w:val="22"/>
                <w:szCs w:val="22"/>
              </w:rPr>
              <w:t xml:space="preserve"> of minimizing total cost &amp;</w:t>
            </w:r>
            <w:r w:rsidRPr="00BD2D9B">
              <w:rPr>
                <w:rFonts w:cs="Arial"/>
                <w:iCs/>
                <w:color w:val="auto"/>
                <w:sz w:val="22"/>
                <w:szCs w:val="22"/>
              </w:rPr>
              <w:t xml:space="preserve"> </w:t>
            </w:r>
            <w:r w:rsidR="0074390D" w:rsidRPr="00BD2D9B">
              <w:rPr>
                <w:rFonts w:cs="Arial"/>
                <w:iCs/>
                <w:color w:val="auto"/>
                <w:sz w:val="22"/>
                <w:szCs w:val="22"/>
              </w:rPr>
              <w:t xml:space="preserve">accurately </w:t>
            </w:r>
            <w:r w:rsidRPr="00BD2D9B">
              <w:rPr>
                <w:rFonts w:cs="Arial"/>
                <w:iCs/>
                <w:color w:val="auto"/>
                <w:sz w:val="22"/>
                <w:szCs w:val="22"/>
              </w:rPr>
              <w:t>reflect</w:t>
            </w:r>
            <w:r w:rsidR="00112E4B" w:rsidRPr="00BD2D9B">
              <w:rPr>
                <w:rFonts w:cs="Arial"/>
                <w:iCs/>
                <w:color w:val="auto"/>
                <w:sz w:val="22"/>
                <w:szCs w:val="22"/>
              </w:rPr>
              <w:t>ing</w:t>
            </w:r>
            <w:r w:rsidRPr="00BD2D9B">
              <w:rPr>
                <w:rFonts w:cs="Arial"/>
                <w:iCs/>
                <w:color w:val="auto"/>
                <w:sz w:val="22"/>
                <w:szCs w:val="22"/>
              </w:rPr>
              <w:t xml:space="preserve"> </w:t>
            </w:r>
            <w:r w:rsidR="0074390D" w:rsidRPr="00BD2D9B">
              <w:rPr>
                <w:rFonts w:cs="Arial"/>
                <w:iCs/>
                <w:color w:val="auto"/>
                <w:sz w:val="22"/>
                <w:szCs w:val="22"/>
              </w:rPr>
              <w:t>true cost of service</w:t>
            </w:r>
            <w:r w:rsidR="00112E4B" w:rsidRPr="00BD2D9B">
              <w:rPr>
                <w:rFonts w:cs="Arial"/>
                <w:iCs/>
                <w:color w:val="auto"/>
                <w:sz w:val="22"/>
                <w:szCs w:val="22"/>
              </w:rPr>
              <w:t xml:space="preserve"> for customers. Thus, the pricing and schedule aim to accurately reflect market prices while including pricing incentives which encourage load shifting to reduce future capacity costs.</w:t>
            </w:r>
          </w:p>
          <w:p w14:paraId="34AC62D6" w14:textId="14D05ADF" w:rsidR="00B4313C" w:rsidRPr="00AE14B8" w:rsidRDefault="00B4313C" w:rsidP="00B4313C">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rPr>
            </w:pPr>
          </w:p>
        </w:tc>
      </w:tr>
      <w:tr w:rsidR="00AB7BD2" w:rsidRPr="003C0EBB" w14:paraId="2E1BB5CC" w14:textId="77777777" w:rsidTr="00E33EDC">
        <w:trPr>
          <w:trHeight w:val="471"/>
          <w:jc w:val="center"/>
        </w:trPr>
        <w:tc>
          <w:tcPr>
            <w:cnfStyle w:val="001000000000" w:firstRow="0" w:lastRow="0" w:firstColumn="1" w:lastColumn="0" w:oddVBand="0" w:evenVBand="0" w:oddHBand="0" w:evenHBand="0" w:firstRowFirstColumn="0" w:firstRowLastColumn="0" w:lastRowFirstColumn="0" w:lastRowLastColumn="0"/>
            <w:tcW w:w="2532" w:type="dxa"/>
            <w:noWrap/>
            <w:vAlign w:val="center"/>
          </w:tcPr>
          <w:p w14:paraId="62A7BB32" w14:textId="34937E55" w:rsidR="00AB7BD2" w:rsidRPr="00AE14B8" w:rsidRDefault="00AB7BD2" w:rsidP="00AB7BD2">
            <w:pPr>
              <w:pStyle w:val="PSCBodyText"/>
              <w:spacing w:before="0" w:after="0"/>
              <w:jc w:val="left"/>
              <w:rPr>
                <w:sz w:val="22"/>
                <w:szCs w:val="22"/>
              </w:rPr>
            </w:pPr>
            <w:r w:rsidRPr="00AE14B8">
              <w:rPr>
                <w:sz w:val="22"/>
                <w:szCs w:val="22"/>
              </w:rPr>
              <w:t>On/off price ratio</w:t>
            </w:r>
          </w:p>
        </w:tc>
        <w:tc>
          <w:tcPr>
            <w:tcW w:w="6236" w:type="dxa"/>
            <w:noWrap/>
            <w:vAlign w:val="center"/>
          </w:tcPr>
          <w:p w14:paraId="57C55F94" w14:textId="37598CDF" w:rsidR="00AB7BD2" w:rsidRPr="00AE14B8" w:rsidRDefault="00A268FE"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Average summer on/off peak ratio of 4.6 cents (</w:t>
            </w:r>
            <w:r w:rsidR="00807D17" w:rsidRPr="00AE14B8">
              <w:rPr>
                <w:rFonts w:cs="Arial"/>
                <w:sz w:val="22"/>
                <w:szCs w:val="22"/>
              </w:rPr>
              <w:t>max</w:t>
            </w:r>
            <w:r w:rsidR="000E6F59" w:rsidRPr="00AE14B8">
              <w:rPr>
                <w:rFonts w:cs="Arial"/>
                <w:sz w:val="22"/>
                <w:szCs w:val="22"/>
              </w:rPr>
              <w:t>.</w:t>
            </w:r>
            <w:r w:rsidR="00807D17" w:rsidRPr="00AE14B8">
              <w:rPr>
                <w:rFonts w:cs="Arial"/>
                <w:sz w:val="22"/>
                <w:szCs w:val="22"/>
              </w:rPr>
              <w:t xml:space="preserve"> = 16.7 min</w:t>
            </w:r>
            <w:r w:rsidR="000E6F59" w:rsidRPr="00AE14B8">
              <w:rPr>
                <w:rFonts w:cs="Arial"/>
                <w:sz w:val="22"/>
                <w:szCs w:val="22"/>
              </w:rPr>
              <w:t>.</w:t>
            </w:r>
            <w:r w:rsidR="00807D17" w:rsidRPr="00AE14B8">
              <w:rPr>
                <w:rFonts w:cs="Arial"/>
                <w:sz w:val="22"/>
                <w:szCs w:val="22"/>
              </w:rPr>
              <w:t xml:space="preserve"> = 1.2) </w:t>
            </w:r>
          </w:p>
        </w:tc>
        <w:tc>
          <w:tcPr>
            <w:tcW w:w="5790" w:type="dxa"/>
            <w:vAlign w:val="center"/>
          </w:tcPr>
          <w:p w14:paraId="52869E89" w14:textId="77777777" w:rsidR="00BD2D9B" w:rsidRPr="00BD2D9B" w:rsidRDefault="00BD2D9B"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u w:val="single"/>
              </w:rPr>
            </w:pPr>
            <w:r w:rsidRPr="00BD2D9B">
              <w:rPr>
                <w:rFonts w:cs="Arial"/>
                <w:b/>
                <w:sz w:val="22"/>
                <w:szCs w:val="22"/>
                <w:u w:val="single"/>
              </w:rPr>
              <w:t xml:space="preserve">Residential: </w:t>
            </w:r>
          </w:p>
          <w:p w14:paraId="250F298E" w14:textId="2B92FBAF" w:rsidR="00AB7BD2" w:rsidRPr="00BD2D9B" w:rsidRDefault="0074390D"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BD2D9B">
              <w:rPr>
                <w:rFonts w:cs="Arial"/>
                <w:sz w:val="22"/>
                <w:szCs w:val="22"/>
              </w:rPr>
              <w:t>Upcoming rate design is still being finalized</w:t>
            </w:r>
            <w:r w:rsidR="0041190C" w:rsidRPr="00BD2D9B">
              <w:rPr>
                <w:rFonts w:cs="Arial"/>
                <w:sz w:val="22"/>
                <w:szCs w:val="22"/>
              </w:rPr>
              <w:t xml:space="preserve">, but </w:t>
            </w:r>
            <w:r w:rsidR="00112E4B" w:rsidRPr="00BD2D9B">
              <w:rPr>
                <w:rFonts w:cs="Arial"/>
                <w:sz w:val="22"/>
                <w:szCs w:val="22"/>
              </w:rPr>
              <w:t>price differential in the current tariff is</w:t>
            </w:r>
            <w:r w:rsidR="0041190C" w:rsidRPr="00BD2D9B">
              <w:rPr>
                <w:rFonts w:cs="Arial"/>
                <w:sz w:val="22"/>
                <w:szCs w:val="22"/>
              </w:rPr>
              <w:t xml:space="preserve"> about 6 c</w:t>
            </w:r>
            <w:r w:rsidRPr="00BD2D9B">
              <w:rPr>
                <w:rFonts w:cs="Arial"/>
                <w:sz w:val="22"/>
                <w:szCs w:val="22"/>
              </w:rPr>
              <w:t>ents on/off, and 2 cents mid/on.</w:t>
            </w:r>
          </w:p>
          <w:p w14:paraId="51B9FD82" w14:textId="77777777" w:rsidR="00B4313C" w:rsidRPr="00AE14B8" w:rsidRDefault="00B4313C"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rPr>
            </w:pPr>
          </w:p>
          <w:p w14:paraId="49F0989E" w14:textId="326B0F54" w:rsidR="00B4313C" w:rsidRPr="00AE14B8" w:rsidRDefault="00B4313C" w:rsidP="00B4313C">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rPr>
            </w:pPr>
          </w:p>
        </w:tc>
      </w:tr>
      <w:tr w:rsidR="00AB7BD2" w:rsidRPr="003C0EBB" w14:paraId="69E5D9E0" w14:textId="77777777" w:rsidTr="00E33EDC">
        <w:trPr>
          <w:trHeight w:val="471"/>
          <w:jc w:val="center"/>
        </w:trPr>
        <w:tc>
          <w:tcPr>
            <w:cnfStyle w:val="001000000000" w:firstRow="0" w:lastRow="0" w:firstColumn="1" w:lastColumn="0" w:oddVBand="0" w:evenVBand="0" w:oddHBand="0" w:evenHBand="0" w:firstRowFirstColumn="0" w:firstRowLastColumn="0" w:lastRowFirstColumn="0" w:lastRowLastColumn="0"/>
            <w:tcW w:w="2532" w:type="dxa"/>
            <w:noWrap/>
            <w:vAlign w:val="center"/>
          </w:tcPr>
          <w:p w14:paraId="781A2920" w14:textId="117CD805" w:rsidR="00AB7BD2" w:rsidRPr="00AE14B8" w:rsidRDefault="00AB7BD2" w:rsidP="00AB7BD2">
            <w:pPr>
              <w:pStyle w:val="PSCBodyText"/>
              <w:spacing w:before="0" w:after="0"/>
              <w:jc w:val="left"/>
              <w:rPr>
                <w:sz w:val="22"/>
                <w:szCs w:val="22"/>
              </w:rPr>
            </w:pPr>
            <w:r w:rsidRPr="00AE14B8">
              <w:rPr>
                <w:sz w:val="22"/>
                <w:szCs w:val="22"/>
              </w:rPr>
              <w:lastRenderedPageBreak/>
              <w:t>Notification method and timing</w:t>
            </w:r>
          </w:p>
        </w:tc>
        <w:tc>
          <w:tcPr>
            <w:tcW w:w="6236" w:type="dxa"/>
            <w:noWrap/>
            <w:vAlign w:val="center"/>
          </w:tcPr>
          <w:p w14:paraId="1EA89E8C" w14:textId="20DCF9D6" w:rsidR="00AB7BD2" w:rsidRPr="00AE14B8" w:rsidRDefault="00807D17"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 xml:space="preserve">At least </w:t>
            </w:r>
            <w:r w:rsidR="00746773" w:rsidRPr="00AE14B8">
              <w:rPr>
                <w:rFonts w:cs="Arial"/>
                <w:sz w:val="22"/>
                <w:szCs w:val="22"/>
              </w:rPr>
              <w:t>one</w:t>
            </w:r>
            <w:r w:rsidRPr="00AE14B8">
              <w:rPr>
                <w:rFonts w:cs="Arial"/>
                <w:sz w:val="22"/>
                <w:szCs w:val="22"/>
              </w:rPr>
              <w:t xml:space="preserve"> day in advance for </w:t>
            </w:r>
            <w:r w:rsidR="00746773" w:rsidRPr="00AE14B8">
              <w:rPr>
                <w:rFonts w:cs="Arial"/>
                <w:sz w:val="22"/>
                <w:szCs w:val="22"/>
              </w:rPr>
              <w:t>c</w:t>
            </w:r>
            <w:r w:rsidRPr="00AE14B8">
              <w:rPr>
                <w:rFonts w:cs="Arial"/>
                <w:sz w:val="22"/>
                <w:szCs w:val="22"/>
              </w:rPr>
              <w:t xml:space="preserve">ritical </w:t>
            </w:r>
            <w:r w:rsidR="00746773" w:rsidRPr="00AE14B8">
              <w:rPr>
                <w:rFonts w:cs="Arial"/>
                <w:sz w:val="22"/>
                <w:szCs w:val="22"/>
              </w:rPr>
              <w:t>p</w:t>
            </w:r>
            <w:r w:rsidRPr="00AE14B8">
              <w:rPr>
                <w:rFonts w:cs="Arial"/>
                <w:sz w:val="22"/>
                <w:szCs w:val="22"/>
              </w:rPr>
              <w:t>eak</w:t>
            </w:r>
            <w:r w:rsidR="00680EAA" w:rsidRPr="00AE14B8">
              <w:rPr>
                <w:rFonts w:cs="Arial"/>
                <w:sz w:val="22"/>
                <w:szCs w:val="22"/>
              </w:rPr>
              <w:t>.</w:t>
            </w:r>
          </w:p>
        </w:tc>
        <w:tc>
          <w:tcPr>
            <w:tcW w:w="5790" w:type="dxa"/>
            <w:vAlign w:val="center"/>
          </w:tcPr>
          <w:p w14:paraId="7D780105" w14:textId="7FCC0869" w:rsidR="00BD2D9B" w:rsidRPr="00BD2D9B" w:rsidRDefault="00BD2D9B"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u w:val="single"/>
              </w:rPr>
            </w:pPr>
            <w:r w:rsidRPr="00BD2D9B">
              <w:rPr>
                <w:rFonts w:cs="Arial"/>
                <w:b/>
                <w:sz w:val="22"/>
                <w:szCs w:val="22"/>
                <w:u w:val="single"/>
              </w:rPr>
              <w:t>Residential:</w:t>
            </w:r>
          </w:p>
          <w:p w14:paraId="45D72651" w14:textId="308A63F8" w:rsidR="00AB7BD2" w:rsidRPr="00BD2D9B" w:rsidRDefault="00112E4B"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BD2D9B">
              <w:rPr>
                <w:rFonts w:cs="Arial"/>
                <w:sz w:val="22"/>
                <w:szCs w:val="22"/>
              </w:rPr>
              <w:t>Notification will be provided via the customers’ preferred channel of email, text message, or phone call. Notification will be provided the day ahead of critical pricing events.</w:t>
            </w:r>
          </w:p>
        </w:tc>
      </w:tr>
      <w:tr w:rsidR="00AB7BD2" w:rsidRPr="003C0EBB" w14:paraId="00BBAA2C" w14:textId="77777777" w:rsidTr="00AE14B8">
        <w:trPr>
          <w:trHeight w:val="3104"/>
          <w:jc w:val="center"/>
        </w:trPr>
        <w:tc>
          <w:tcPr>
            <w:cnfStyle w:val="001000000000" w:firstRow="0" w:lastRow="0" w:firstColumn="1" w:lastColumn="0" w:oddVBand="0" w:evenVBand="0" w:oddHBand="0" w:evenHBand="0" w:firstRowFirstColumn="0" w:firstRowLastColumn="0" w:lastRowFirstColumn="0" w:lastRowLastColumn="0"/>
            <w:tcW w:w="2532" w:type="dxa"/>
            <w:noWrap/>
            <w:vAlign w:val="center"/>
          </w:tcPr>
          <w:p w14:paraId="31E44828" w14:textId="63098840" w:rsidR="00AB7BD2" w:rsidRPr="00AE14B8" w:rsidRDefault="00AB7BD2" w:rsidP="00AB7BD2">
            <w:pPr>
              <w:pStyle w:val="PSCBodyText"/>
              <w:spacing w:before="0" w:after="0"/>
              <w:jc w:val="left"/>
              <w:rPr>
                <w:sz w:val="22"/>
                <w:szCs w:val="22"/>
              </w:rPr>
            </w:pPr>
            <w:r w:rsidRPr="00AE14B8">
              <w:rPr>
                <w:sz w:val="22"/>
                <w:szCs w:val="22"/>
              </w:rPr>
              <w:t>Opt in/out provision</w:t>
            </w:r>
          </w:p>
        </w:tc>
        <w:tc>
          <w:tcPr>
            <w:tcW w:w="6236" w:type="dxa"/>
            <w:noWrap/>
            <w:vAlign w:val="center"/>
          </w:tcPr>
          <w:p w14:paraId="1DB101F2" w14:textId="59367FA6" w:rsidR="00AB7BD2" w:rsidRPr="00AE14B8" w:rsidRDefault="00A268FE"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Opt-out programs generally offer an overall benefit cost advantage</w:t>
            </w:r>
            <w:r w:rsidR="00B03224" w:rsidRPr="00AE14B8">
              <w:rPr>
                <w:rFonts w:cs="Arial"/>
                <w:sz w:val="22"/>
                <w:szCs w:val="22"/>
              </w:rPr>
              <w:t>.</w:t>
            </w:r>
          </w:p>
        </w:tc>
        <w:tc>
          <w:tcPr>
            <w:tcW w:w="5790" w:type="dxa"/>
            <w:vAlign w:val="center"/>
          </w:tcPr>
          <w:p w14:paraId="516B9E0D" w14:textId="289B46F2" w:rsidR="00BD2D9B" w:rsidRPr="00BD2D9B" w:rsidRDefault="00BD2D9B" w:rsidP="00B02F6D">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u w:val="single"/>
              </w:rPr>
            </w:pPr>
            <w:r w:rsidRPr="00BD2D9B">
              <w:rPr>
                <w:rFonts w:cs="Arial"/>
                <w:b/>
                <w:sz w:val="22"/>
                <w:szCs w:val="22"/>
                <w:u w:val="single"/>
              </w:rPr>
              <w:t>Residential:</w:t>
            </w:r>
          </w:p>
          <w:p w14:paraId="2AA46B78" w14:textId="3C12B25E" w:rsidR="00AB7BD2" w:rsidRPr="00BD2D9B" w:rsidRDefault="00112E4B" w:rsidP="00BD2D9B">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BD2D9B">
              <w:rPr>
                <w:rFonts w:cs="Arial"/>
                <w:sz w:val="22"/>
                <w:szCs w:val="22"/>
              </w:rPr>
              <w:t>While opt out programs do typically show better</w:t>
            </w:r>
            <w:r w:rsidR="0041190C" w:rsidRPr="00BD2D9B">
              <w:rPr>
                <w:rFonts w:cs="Arial"/>
                <w:sz w:val="22"/>
                <w:szCs w:val="22"/>
              </w:rPr>
              <w:t xml:space="preserve"> cost/benefit ratios to implement, greater total load shed, an</w:t>
            </w:r>
            <w:r w:rsidRPr="00BD2D9B">
              <w:rPr>
                <w:rFonts w:cs="Arial"/>
                <w:sz w:val="22"/>
                <w:szCs w:val="22"/>
              </w:rPr>
              <w:t>d strong customer sat</w:t>
            </w:r>
            <w:r w:rsidR="00141C12">
              <w:rPr>
                <w:rFonts w:cs="Arial"/>
                <w:sz w:val="22"/>
                <w:szCs w:val="22"/>
              </w:rPr>
              <w:t>isfaction</w:t>
            </w:r>
            <w:r w:rsidR="0041190C" w:rsidRPr="00BD2D9B">
              <w:rPr>
                <w:rFonts w:cs="Arial"/>
                <w:sz w:val="22"/>
                <w:szCs w:val="22"/>
              </w:rPr>
              <w:t>, the</w:t>
            </w:r>
            <w:r w:rsidRPr="00BD2D9B">
              <w:rPr>
                <w:rFonts w:cs="Arial"/>
                <w:sz w:val="22"/>
                <w:szCs w:val="22"/>
              </w:rPr>
              <w:t>ir deployment isn’t wide spread</w:t>
            </w:r>
            <w:r w:rsidR="00BD2D9B">
              <w:rPr>
                <w:rFonts w:cs="Arial"/>
                <w:sz w:val="22"/>
                <w:szCs w:val="22"/>
              </w:rPr>
              <w:t xml:space="preserve"> and</w:t>
            </w:r>
            <w:r w:rsidR="0041190C" w:rsidRPr="00BD2D9B">
              <w:rPr>
                <w:rFonts w:cs="Arial"/>
                <w:sz w:val="22"/>
                <w:szCs w:val="22"/>
              </w:rPr>
              <w:t xml:space="preserve"> </w:t>
            </w:r>
            <w:r w:rsidRPr="00BD2D9B">
              <w:rPr>
                <w:rFonts w:cs="Arial"/>
                <w:sz w:val="22"/>
                <w:szCs w:val="22"/>
              </w:rPr>
              <w:t>there have been very few pilots which directly compare the two approaches</w:t>
            </w:r>
            <w:r w:rsidR="0041190C" w:rsidRPr="00BD2D9B">
              <w:rPr>
                <w:rFonts w:cs="Arial"/>
                <w:sz w:val="22"/>
                <w:szCs w:val="22"/>
              </w:rPr>
              <w:t>.</w:t>
            </w:r>
            <w:r w:rsidR="00B02F6D" w:rsidRPr="00BD2D9B">
              <w:rPr>
                <w:rFonts w:cs="Arial"/>
                <w:sz w:val="22"/>
                <w:szCs w:val="22"/>
              </w:rPr>
              <w:t xml:space="preserve"> We believe implementing opt-in programs will allow us to test customer satisfaction and</w:t>
            </w:r>
            <w:r w:rsidR="0041190C" w:rsidRPr="00BD2D9B">
              <w:rPr>
                <w:rFonts w:cs="Arial"/>
                <w:sz w:val="22"/>
                <w:szCs w:val="22"/>
              </w:rPr>
              <w:t xml:space="preserve"> accept</w:t>
            </w:r>
            <w:r w:rsidR="00BD2D9B">
              <w:rPr>
                <w:rFonts w:cs="Arial"/>
                <w:sz w:val="22"/>
                <w:szCs w:val="22"/>
              </w:rPr>
              <w:t>ance of these rate options and improve program and</w:t>
            </w:r>
            <w:r w:rsidR="00B02F6D" w:rsidRPr="00BD2D9B">
              <w:rPr>
                <w:rFonts w:cs="Arial"/>
                <w:sz w:val="22"/>
                <w:szCs w:val="22"/>
              </w:rPr>
              <w:t xml:space="preserve"> rate design, allowing for more effective evaluation and</w:t>
            </w:r>
            <w:r w:rsidR="00BD2D9B">
              <w:rPr>
                <w:rFonts w:cs="Arial"/>
                <w:sz w:val="22"/>
                <w:szCs w:val="22"/>
              </w:rPr>
              <w:t xml:space="preserve"> potentially, future</w:t>
            </w:r>
            <w:r w:rsidR="00B02F6D" w:rsidRPr="00BD2D9B">
              <w:rPr>
                <w:rFonts w:cs="Arial"/>
                <w:sz w:val="22"/>
                <w:szCs w:val="22"/>
              </w:rPr>
              <w:t xml:space="preserve"> implementation of opt-out approaches.</w:t>
            </w:r>
          </w:p>
        </w:tc>
      </w:tr>
      <w:tr w:rsidR="00AB7BD2" w:rsidRPr="003C0EBB" w14:paraId="622FD0FA" w14:textId="77777777" w:rsidTr="00AE14B8">
        <w:trPr>
          <w:trHeight w:val="2960"/>
          <w:jc w:val="center"/>
        </w:trPr>
        <w:tc>
          <w:tcPr>
            <w:cnfStyle w:val="001000000000" w:firstRow="0" w:lastRow="0" w:firstColumn="1" w:lastColumn="0" w:oddVBand="0" w:evenVBand="0" w:oddHBand="0" w:evenHBand="0" w:firstRowFirstColumn="0" w:firstRowLastColumn="0" w:lastRowFirstColumn="0" w:lastRowLastColumn="0"/>
            <w:tcW w:w="2532" w:type="dxa"/>
            <w:noWrap/>
            <w:vAlign w:val="center"/>
          </w:tcPr>
          <w:p w14:paraId="3A7C09B7" w14:textId="76B0E453" w:rsidR="00AB7BD2" w:rsidRPr="00AE14B8" w:rsidRDefault="00AB7BD2" w:rsidP="00AB7BD2">
            <w:pPr>
              <w:pStyle w:val="PSCBodyText"/>
              <w:spacing w:before="0" w:after="0"/>
              <w:jc w:val="left"/>
              <w:rPr>
                <w:sz w:val="22"/>
                <w:szCs w:val="22"/>
              </w:rPr>
            </w:pPr>
            <w:r w:rsidRPr="00AE14B8">
              <w:rPr>
                <w:sz w:val="22"/>
                <w:szCs w:val="22"/>
              </w:rPr>
              <w:t>Price vs</w:t>
            </w:r>
            <w:r w:rsidR="00746773" w:rsidRPr="00AE14B8">
              <w:rPr>
                <w:sz w:val="22"/>
                <w:szCs w:val="22"/>
              </w:rPr>
              <w:t>.</w:t>
            </w:r>
            <w:r w:rsidRPr="00AE14B8">
              <w:rPr>
                <w:sz w:val="22"/>
                <w:szCs w:val="22"/>
              </w:rPr>
              <w:t xml:space="preserve"> rebate</w:t>
            </w:r>
          </w:p>
        </w:tc>
        <w:tc>
          <w:tcPr>
            <w:tcW w:w="6236" w:type="dxa"/>
            <w:noWrap/>
            <w:vAlign w:val="center"/>
          </w:tcPr>
          <w:p w14:paraId="438D8002" w14:textId="586945C1" w:rsidR="00AB7BD2" w:rsidRPr="00AE14B8" w:rsidRDefault="00A268FE"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Prices can yield higher demand reductions</w:t>
            </w:r>
            <w:r w:rsidR="00807D17" w:rsidRPr="00AE14B8">
              <w:rPr>
                <w:rFonts w:cs="Arial"/>
                <w:sz w:val="22"/>
                <w:szCs w:val="22"/>
              </w:rPr>
              <w:t xml:space="preserve"> than rebate programs (</w:t>
            </w:r>
            <w:r w:rsidR="00424E24" w:rsidRPr="00AE14B8">
              <w:rPr>
                <w:rFonts w:cs="Arial"/>
                <w:sz w:val="22"/>
                <w:szCs w:val="22"/>
              </w:rPr>
              <w:t>without</w:t>
            </w:r>
            <w:r w:rsidR="00807D17" w:rsidRPr="00AE14B8">
              <w:rPr>
                <w:rFonts w:cs="Arial"/>
                <w:sz w:val="22"/>
                <w:szCs w:val="22"/>
              </w:rPr>
              <w:t xml:space="preserve"> controlling technology)</w:t>
            </w:r>
            <w:r w:rsidRPr="00AE14B8">
              <w:rPr>
                <w:rFonts w:cs="Arial"/>
                <w:sz w:val="22"/>
                <w:szCs w:val="22"/>
              </w:rPr>
              <w:t xml:space="preserve">. When controlling technology is introduced demand reductions are the same for prices and rebates. </w:t>
            </w:r>
          </w:p>
        </w:tc>
        <w:tc>
          <w:tcPr>
            <w:tcW w:w="5790" w:type="dxa"/>
            <w:vAlign w:val="center"/>
          </w:tcPr>
          <w:p w14:paraId="44751685" w14:textId="5AEDD271" w:rsidR="00BD2D9B" w:rsidRPr="00BD2D9B" w:rsidRDefault="00BD2D9B" w:rsidP="002722DE">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u w:val="single"/>
              </w:rPr>
            </w:pPr>
            <w:r w:rsidRPr="00BD2D9B">
              <w:rPr>
                <w:rFonts w:cs="Arial"/>
                <w:b/>
                <w:sz w:val="22"/>
                <w:szCs w:val="22"/>
                <w:u w:val="single"/>
              </w:rPr>
              <w:t>Residential:</w:t>
            </w:r>
          </w:p>
          <w:p w14:paraId="26749974" w14:textId="7C3329E2" w:rsidR="00AB7BD2" w:rsidRPr="00BD2D9B" w:rsidRDefault="0041190C" w:rsidP="00141C1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BD2D9B">
              <w:rPr>
                <w:rFonts w:cs="Arial"/>
                <w:sz w:val="22"/>
                <w:szCs w:val="22"/>
              </w:rPr>
              <w:t>Our 2010 pilot</w:t>
            </w:r>
            <w:r w:rsidR="00B02F6D" w:rsidRPr="00BD2D9B">
              <w:rPr>
                <w:rFonts w:cs="Arial"/>
                <w:sz w:val="22"/>
                <w:szCs w:val="22"/>
              </w:rPr>
              <w:t xml:space="preserve"> of Dynamic Pricing</w:t>
            </w:r>
            <w:r w:rsidRPr="00BD2D9B">
              <w:rPr>
                <w:rFonts w:cs="Arial"/>
                <w:sz w:val="22"/>
                <w:szCs w:val="22"/>
              </w:rPr>
              <w:t xml:space="preserve"> didn’t show a difference in load shed between the </w:t>
            </w:r>
            <w:proofErr w:type="gramStart"/>
            <w:r w:rsidR="00141C12">
              <w:rPr>
                <w:rFonts w:cs="Arial"/>
                <w:sz w:val="22"/>
                <w:szCs w:val="22"/>
              </w:rPr>
              <w:t>price</w:t>
            </w:r>
            <w:proofErr w:type="gramEnd"/>
            <w:r w:rsidR="00141C12">
              <w:rPr>
                <w:rFonts w:cs="Arial"/>
                <w:sz w:val="22"/>
                <w:szCs w:val="22"/>
              </w:rPr>
              <w:t xml:space="preserve"> vs. rebate,</w:t>
            </w:r>
            <w:r w:rsidRPr="00BD2D9B">
              <w:rPr>
                <w:rFonts w:cs="Arial"/>
                <w:sz w:val="22"/>
                <w:szCs w:val="22"/>
              </w:rPr>
              <w:t xml:space="preserve"> </w:t>
            </w:r>
            <w:r w:rsidR="00141C12">
              <w:rPr>
                <w:rFonts w:cs="Arial"/>
                <w:sz w:val="22"/>
                <w:szCs w:val="22"/>
              </w:rPr>
              <w:t>al</w:t>
            </w:r>
            <w:r w:rsidRPr="00BD2D9B">
              <w:rPr>
                <w:rFonts w:cs="Arial"/>
                <w:sz w:val="22"/>
                <w:szCs w:val="22"/>
              </w:rPr>
              <w:t xml:space="preserve">though </w:t>
            </w:r>
            <w:r w:rsidR="00141C12">
              <w:rPr>
                <w:rFonts w:cs="Arial"/>
                <w:sz w:val="22"/>
                <w:szCs w:val="22"/>
              </w:rPr>
              <w:t xml:space="preserve">that seems to be typical for </w:t>
            </w:r>
            <w:r w:rsidRPr="00BD2D9B">
              <w:rPr>
                <w:rFonts w:cs="Arial"/>
                <w:sz w:val="22"/>
                <w:szCs w:val="22"/>
              </w:rPr>
              <w:t>pilot data</w:t>
            </w:r>
            <w:r w:rsidR="00BD2D9B">
              <w:rPr>
                <w:rFonts w:cs="Arial"/>
                <w:sz w:val="22"/>
                <w:szCs w:val="22"/>
              </w:rPr>
              <w:t xml:space="preserve"> nationally</w:t>
            </w:r>
            <w:r w:rsidR="00141C12">
              <w:rPr>
                <w:rFonts w:cs="Arial"/>
                <w:sz w:val="22"/>
                <w:szCs w:val="22"/>
              </w:rPr>
              <w:t>.</w:t>
            </w:r>
            <w:r w:rsidR="00BD2D9B">
              <w:rPr>
                <w:rFonts w:cs="Arial"/>
                <w:sz w:val="22"/>
                <w:szCs w:val="22"/>
              </w:rPr>
              <w:t xml:space="preserve"> </w:t>
            </w:r>
            <w:r w:rsidR="00BD2D9B" w:rsidRPr="00BD2D9B">
              <w:rPr>
                <w:rFonts w:cs="Arial"/>
                <w:sz w:val="22"/>
                <w:szCs w:val="22"/>
              </w:rPr>
              <w:t>We intend</w:t>
            </w:r>
            <w:r w:rsidR="00B02F6D" w:rsidRPr="00BD2D9B">
              <w:rPr>
                <w:rFonts w:cs="Arial"/>
                <w:sz w:val="22"/>
                <w:szCs w:val="22"/>
              </w:rPr>
              <w:t xml:space="preserve"> to offer customers both options</w:t>
            </w:r>
            <w:r w:rsidR="00141C12">
              <w:rPr>
                <w:rFonts w:cs="Arial"/>
                <w:sz w:val="22"/>
                <w:szCs w:val="22"/>
              </w:rPr>
              <w:t xml:space="preserve"> on</w:t>
            </w:r>
            <w:r w:rsidR="00B02F6D" w:rsidRPr="00BD2D9B">
              <w:rPr>
                <w:rFonts w:cs="Arial"/>
                <w:sz w:val="22"/>
                <w:szCs w:val="22"/>
              </w:rPr>
              <w:t xml:space="preserve"> an opt-in basis so customers can choose the plan which is most appealing to them.</w:t>
            </w:r>
            <w:r w:rsidRPr="00BD2D9B">
              <w:rPr>
                <w:rFonts w:cs="Arial"/>
                <w:sz w:val="22"/>
                <w:szCs w:val="22"/>
              </w:rPr>
              <w:t xml:space="preserve"> Incorporating technology (i.e. t-stat control) is </w:t>
            </w:r>
            <w:r w:rsidR="002722DE" w:rsidRPr="00BD2D9B">
              <w:rPr>
                <w:rFonts w:cs="Arial"/>
                <w:sz w:val="22"/>
                <w:szCs w:val="22"/>
              </w:rPr>
              <w:t>not in scope for</w:t>
            </w:r>
            <w:r w:rsidR="00141C12">
              <w:rPr>
                <w:rFonts w:cs="Arial"/>
                <w:sz w:val="22"/>
                <w:szCs w:val="22"/>
              </w:rPr>
              <w:t xml:space="preserve"> initial implementation but may</w:t>
            </w:r>
            <w:r w:rsidR="002722DE" w:rsidRPr="00BD2D9B">
              <w:rPr>
                <w:rFonts w:cs="Arial"/>
                <w:sz w:val="22"/>
                <w:szCs w:val="22"/>
              </w:rPr>
              <w:t xml:space="preserve"> </w:t>
            </w:r>
            <w:r w:rsidR="00141C12">
              <w:rPr>
                <w:rFonts w:cs="Arial"/>
                <w:sz w:val="22"/>
                <w:szCs w:val="22"/>
              </w:rPr>
              <w:t>be evaluated at a later time.</w:t>
            </w:r>
            <w:bookmarkStart w:id="1" w:name="_GoBack"/>
            <w:bookmarkEnd w:id="1"/>
          </w:p>
        </w:tc>
      </w:tr>
      <w:tr w:rsidR="00AB7BD2" w:rsidRPr="003C0EBB" w14:paraId="2B52E89E" w14:textId="77777777" w:rsidTr="00E33EDC">
        <w:trPr>
          <w:trHeight w:val="471"/>
          <w:jc w:val="center"/>
        </w:trPr>
        <w:tc>
          <w:tcPr>
            <w:cnfStyle w:val="001000000000" w:firstRow="0" w:lastRow="0" w:firstColumn="1" w:lastColumn="0" w:oddVBand="0" w:evenVBand="0" w:oddHBand="0" w:evenHBand="0" w:firstRowFirstColumn="0" w:firstRowLastColumn="0" w:lastRowFirstColumn="0" w:lastRowLastColumn="0"/>
            <w:tcW w:w="2532" w:type="dxa"/>
            <w:noWrap/>
            <w:vAlign w:val="center"/>
          </w:tcPr>
          <w:p w14:paraId="5F70FEDB" w14:textId="0F8CE33B" w:rsidR="00AB7BD2" w:rsidRPr="00AE14B8" w:rsidRDefault="00AB7BD2" w:rsidP="00AB7BD2">
            <w:pPr>
              <w:pStyle w:val="PSCBodyText"/>
              <w:spacing w:before="0" w:after="0"/>
              <w:jc w:val="left"/>
              <w:rPr>
                <w:sz w:val="22"/>
                <w:szCs w:val="22"/>
              </w:rPr>
            </w:pPr>
            <w:r w:rsidRPr="00AE14B8">
              <w:rPr>
                <w:sz w:val="22"/>
                <w:szCs w:val="22"/>
              </w:rPr>
              <w:t>Incentive offered</w:t>
            </w:r>
          </w:p>
        </w:tc>
        <w:tc>
          <w:tcPr>
            <w:tcW w:w="6236" w:type="dxa"/>
            <w:noWrap/>
            <w:vAlign w:val="center"/>
          </w:tcPr>
          <w:p w14:paraId="0CEDF0F4" w14:textId="59A5F419" w:rsidR="00AB7BD2" w:rsidRPr="00AE14B8" w:rsidRDefault="00807D17"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 xml:space="preserve">Incentives are inherent in many time-varying rates. Additional rebate incentive for </w:t>
            </w:r>
            <w:r w:rsidR="000E6F59" w:rsidRPr="00AE14B8">
              <w:rPr>
                <w:rFonts w:cs="Arial"/>
                <w:sz w:val="22"/>
                <w:szCs w:val="22"/>
              </w:rPr>
              <w:t>c</w:t>
            </w:r>
            <w:r w:rsidRPr="00AE14B8">
              <w:rPr>
                <w:rFonts w:cs="Arial"/>
                <w:sz w:val="22"/>
                <w:szCs w:val="22"/>
              </w:rPr>
              <w:t xml:space="preserve">ritical peak programs equal to 50 cents/kWh times the difference between </w:t>
            </w:r>
            <w:proofErr w:type="gramStart"/>
            <w:r w:rsidRPr="00AE14B8">
              <w:rPr>
                <w:rFonts w:cs="Arial"/>
                <w:sz w:val="22"/>
                <w:szCs w:val="22"/>
              </w:rPr>
              <w:t>a customers</w:t>
            </w:r>
            <w:proofErr w:type="gramEnd"/>
            <w:r w:rsidRPr="00AE14B8">
              <w:rPr>
                <w:rFonts w:cs="Arial"/>
                <w:sz w:val="22"/>
                <w:szCs w:val="22"/>
              </w:rPr>
              <w:t>’ baseline usage and kWh usage during the event.</w:t>
            </w:r>
          </w:p>
        </w:tc>
        <w:tc>
          <w:tcPr>
            <w:tcW w:w="5790" w:type="dxa"/>
            <w:vAlign w:val="center"/>
          </w:tcPr>
          <w:p w14:paraId="13F79785" w14:textId="1C7C8BC8" w:rsidR="00141C12" w:rsidRPr="00141C12" w:rsidRDefault="00141C12"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u w:val="single"/>
              </w:rPr>
            </w:pPr>
            <w:r w:rsidRPr="00141C12">
              <w:rPr>
                <w:rFonts w:cs="Arial"/>
                <w:b/>
                <w:sz w:val="22"/>
                <w:szCs w:val="22"/>
                <w:u w:val="single"/>
              </w:rPr>
              <w:t>Residential:</w:t>
            </w:r>
          </w:p>
          <w:p w14:paraId="33969037" w14:textId="2139483F" w:rsidR="00AB7BD2" w:rsidRPr="00141C12" w:rsidRDefault="002722DE"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141C12">
              <w:rPr>
                <w:rFonts w:cs="Arial"/>
                <w:sz w:val="22"/>
                <w:szCs w:val="22"/>
              </w:rPr>
              <w:t xml:space="preserve">We plan to implement a </w:t>
            </w:r>
            <w:r w:rsidR="00B4313C" w:rsidRPr="00141C12">
              <w:rPr>
                <w:rFonts w:cs="Arial"/>
                <w:sz w:val="22"/>
                <w:szCs w:val="22"/>
              </w:rPr>
              <w:t xml:space="preserve">$0.95 critical peak prices and incentives (8-1 </w:t>
            </w:r>
            <w:r w:rsidRPr="00141C12">
              <w:rPr>
                <w:rFonts w:cs="Arial"/>
                <w:sz w:val="22"/>
                <w:szCs w:val="22"/>
              </w:rPr>
              <w:t>critical/on-peak price ratio)</w:t>
            </w:r>
          </w:p>
          <w:p w14:paraId="1F416881" w14:textId="2D956F35" w:rsidR="00B4313C" w:rsidRPr="00AE14B8" w:rsidRDefault="00B4313C"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rPr>
            </w:pPr>
          </w:p>
        </w:tc>
      </w:tr>
      <w:tr w:rsidR="00AB7BD2" w:rsidRPr="003C0EBB" w14:paraId="12B3FA48" w14:textId="77777777" w:rsidTr="00AE14B8">
        <w:trPr>
          <w:trHeight w:val="1565"/>
          <w:jc w:val="center"/>
        </w:trPr>
        <w:tc>
          <w:tcPr>
            <w:cnfStyle w:val="001000000000" w:firstRow="0" w:lastRow="0" w:firstColumn="1" w:lastColumn="0" w:oddVBand="0" w:evenVBand="0" w:oddHBand="0" w:evenHBand="0" w:firstRowFirstColumn="0" w:firstRowLastColumn="0" w:lastRowFirstColumn="0" w:lastRowLastColumn="0"/>
            <w:tcW w:w="2532" w:type="dxa"/>
            <w:tcBorders>
              <w:bottom w:val="single" w:sz="4" w:space="0" w:color="78B33A"/>
            </w:tcBorders>
            <w:noWrap/>
            <w:vAlign w:val="center"/>
          </w:tcPr>
          <w:p w14:paraId="26B2C161" w14:textId="25214AB7" w:rsidR="00AB7BD2" w:rsidRPr="00AE14B8" w:rsidRDefault="00AB7BD2" w:rsidP="00AB7BD2">
            <w:pPr>
              <w:pStyle w:val="PSCBodyText"/>
              <w:spacing w:before="0" w:after="0"/>
              <w:jc w:val="left"/>
              <w:rPr>
                <w:sz w:val="22"/>
                <w:szCs w:val="22"/>
              </w:rPr>
            </w:pPr>
            <w:r w:rsidRPr="00AE14B8">
              <w:rPr>
                <w:sz w:val="22"/>
                <w:szCs w:val="22"/>
              </w:rPr>
              <w:t>Contract term</w:t>
            </w:r>
          </w:p>
        </w:tc>
        <w:tc>
          <w:tcPr>
            <w:tcW w:w="6236" w:type="dxa"/>
            <w:tcBorders>
              <w:bottom w:val="single" w:sz="4" w:space="0" w:color="78B33A"/>
            </w:tcBorders>
            <w:noWrap/>
            <w:vAlign w:val="center"/>
          </w:tcPr>
          <w:p w14:paraId="32B160C2" w14:textId="4E924E01" w:rsidR="00AB7BD2" w:rsidRPr="00AE14B8" w:rsidRDefault="00A268FE"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One</w:t>
            </w:r>
            <w:r w:rsidR="000E6F59" w:rsidRPr="00AE14B8">
              <w:rPr>
                <w:rFonts w:cs="Arial"/>
                <w:sz w:val="22"/>
                <w:szCs w:val="22"/>
              </w:rPr>
              <w:t>-</w:t>
            </w:r>
            <w:r w:rsidRPr="00AE14B8">
              <w:rPr>
                <w:rFonts w:cs="Arial"/>
                <w:sz w:val="22"/>
                <w:szCs w:val="22"/>
              </w:rPr>
              <w:t xml:space="preserve">year commitment </w:t>
            </w:r>
          </w:p>
        </w:tc>
        <w:tc>
          <w:tcPr>
            <w:tcW w:w="5790" w:type="dxa"/>
            <w:tcBorders>
              <w:bottom w:val="single" w:sz="4" w:space="0" w:color="78B33A"/>
            </w:tcBorders>
            <w:vAlign w:val="center"/>
          </w:tcPr>
          <w:p w14:paraId="710B2F8D" w14:textId="552C2164" w:rsidR="00141C12" w:rsidRPr="00141C12" w:rsidRDefault="00141C12"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u w:val="single"/>
              </w:rPr>
            </w:pPr>
            <w:r w:rsidRPr="00141C12">
              <w:rPr>
                <w:rFonts w:cs="Arial"/>
                <w:b/>
                <w:sz w:val="22"/>
                <w:szCs w:val="22"/>
                <w:u w:val="single"/>
              </w:rPr>
              <w:t>Residential:</w:t>
            </w:r>
          </w:p>
          <w:p w14:paraId="65384448" w14:textId="4712EC4D" w:rsidR="002722DE" w:rsidRPr="00141C12" w:rsidRDefault="002722DE"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141C12">
              <w:rPr>
                <w:rFonts w:cs="Arial"/>
                <w:sz w:val="22"/>
                <w:szCs w:val="22"/>
              </w:rPr>
              <w:t>We support our customer’s ability to find the rate that works best for them, and believe the ability to exit these new rates if they want to will be an important tool for enrolling customers and in delivering an exceptional customer experience. Thus, we seek to provide flexibility for customers to change rates at their request.</w:t>
            </w:r>
          </w:p>
          <w:p w14:paraId="7622953E" w14:textId="77777777" w:rsidR="002722DE" w:rsidRPr="00141C12" w:rsidRDefault="002722DE" w:rsidP="00AB7BD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rPr>
            </w:pPr>
          </w:p>
          <w:p w14:paraId="59D9C6FF" w14:textId="2CB6FF19" w:rsidR="00AB7BD2" w:rsidRPr="00141C12" w:rsidRDefault="002722DE" w:rsidP="00141C1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141C12">
              <w:rPr>
                <w:rFonts w:cs="Arial"/>
                <w:sz w:val="22"/>
                <w:szCs w:val="22"/>
              </w:rPr>
              <w:t xml:space="preserve">Our proposed tariffs support customers leaving Dynamic </w:t>
            </w:r>
            <w:r w:rsidRPr="00141C12">
              <w:rPr>
                <w:rFonts w:cs="Arial"/>
                <w:sz w:val="22"/>
                <w:szCs w:val="22"/>
              </w:rPr>
              <w:lastRenderedPageBreak/>
              <w:t>Pricing rates with 30 days’ notice. We w</w:t>
            </w:r>
            <w:r w:rsidR="00B4313C" w:rsidRPr="00141C12">
              <w:rPr>
                <w:rFonts w:cs="Arial"/>
                <w:sz w:val="22"/>
                <w:szCs w:val="22"/>
              </w:rPr>
              <w:t>ill</w:t>
            </w:r>
            <w:r w:rsidRPr="00141C12">
              <w:rPr>
                <w:rFonts w:cs="Arial"/>
                <w:sz w:val="22"/>
                <w:szCs w:val="22"/>
              </w:rPr>
              <w:t xml:space="preserve"> continually</w:t>
            </w:r>
            <w:r w:rsidR="00B4313C" w:rsidRPr="00141C12">
              <w:rPr>
                <w:rFonts w:cs="Arial"/>
                <w:sz w:val="22"/>
                <w:szCs w:val="22"/>
              </w:rPr>
              <w:t xml:space="preserve"> evaluate</w:t>
            </w:r>
            <w:r w:rsidR="00AE14B8" w:rsidRPr="00141C12">
              <w:rPr>
                <w:rFonts w:cs="Arial"/>
                <w:sz w:val="22"/>
                <w:szCs w:val="22"/>
              </w:rPr>
              <w:t xml:space="preserve"> our processes</w:t>
            </w:r>
            <w:r w:rsidR="00B4313C" w:rsidRPr="00141C12">
              <w:rPr>
                <w:rFonts w:cs="Arial"/>
                <w:sz w:val="22"/>
                <w:szCs w:val="22"/>
              </w:rPr>
              <w:t xml:space="preserve"> and systems to prevent “gaming”</w:t>
            </w:r>
            <w:r w:rsidR="00AE14B8" w:rsidRPr="00141C12">
              <w:rPr>
                <w:rFonts w:cs="Arial"/>
                <w:sz w:val="22"/>
                <w:szCs w:val="22"/>
              </w:rPr>
              <w:t xml:space="preserve"> based on enrollment &amp; de-enrollment.</w:t>
            </w:r>
          </w:p>
        </w:tc>
      </w:tr>
      <w:bookmarkEnd w:id="0"/>
      <w:tr w:rsidR="003C0EBB" w:rsidRPr="003C0EBB" w14:paraId="5F8370F6" w14:textId="77777777" w:rsidTr="00E33EDC">
        <w:trPr>
          <w:trHeight w:val="449"/>
          <w:jc w:val="center"/>
        </w:trPr>
        <w:tc>
          <w:tcPr>
            <w:cnfStyle w:val="001000000000" w:firstRow="0" w:lastRow="0" w:firstColumn="1" w:lastColumn="0" w:oddVBand="0" w:evenVBand="0" w:oddHBand="0" w:evenHBand="0" w:firstRowFirstColumn="0" w:firstRowLastColumn="0" w:lastRowFirstColumn="0" w:lastRowLastColumn="0"/>
            <w:tcW w:w="14559" w:type="dxa"/>
            <w:gridSpan w:val="3"/>
            <w:tcBorders>
              <w:top w:val="single" w:sz="4" w:space="0" w:color="78B33A"/>
              <w:left w:val="single" w:sz="4" w:space="0" w:color="78B33A"/>
              <w:bottom w:val="single" w:sz="4" w:space="0" w:color="78B33A"/>
              <w:right w:val="single" w:sz="4" w:space="0" w:color="78B33A"/>
            </w:tcBorders>
            <w:shd w:val="clear" w:color="auto" w:fill="7F7F7F" w:themeFill="text1" w:themeFillTint="80"/>
            <w:noWrap/>
            <w:vAlign w:val="center"/>
          </w:tcPr>
          <w:p w14:paraId="085C7F11" w14:textId="27C460CA" w:rsidR="00AB7BD2" w:rsidRPr="00AE14B8" w:rsidRDefault="003C0EBB" w:rsidP="004E4E18">
            <w:pPr>
              <w:pStyle w:val="PSCHeading2"/>
              <w:spacing w:before="0" w:after="0"/>
              <w:jc w:val="center"/>
              <w:rPr>
                <w:b/>
                <w:color w:val="FFFFFF" w:themeColor="background1"/>
                <w:sz w:val="22"/>
                <w:szCs w:val="22"/>
              </w:rPr>
            </w:pPr>
            <w:r w:rsidRPr="00AE14B8">
              <w:rPr>
                <w:b/>
                <w:color w:val="FFFFFF" w:themeColor="background1"/>
                <w:sz w:val="22"/>
                <w:szCs w:val="22"/>
              </w:rPr>
              <w:lastRenderedPageBreak/>
              <w:t>DIRECT LOAD CONTROL PROGRAMS</w:t>
            </w:r>
          </w:p>
        </w:tc>
      </w:tr>
      <w:tr w:rsidR="00AB7BD2" w14:paraId="39A9B997" w14:textId="77777777" w:rsidTr="00E33EDC">
        <w:trPr>
          <w:trHeight w:val="449"/>
          <w:jc w:val="center"/>
        </w:trPr>
        <w:tc>
          <w:tcPr>
            <w:cnfStyle w:val="001000000000" w:firstRow="0" w:lastRow="0" w:firstColumn="1" w:lastColumn="0" w:oddVBand="0" w:evenVBand="0" w:oddHBand="0" w:evenHBand="0" w:firstRowFirstColumn="0" w:firstRowLastColumn="0" w:lastRowFirstColumn="0" w:lastRowLastColumn="0"/>
            <w:tcW w:w="2532" w:type="dxa"/>
            <w:tcBorders>
              <w:top w:val="single" w:sz="4" w:space="0" w:color="78B33A"/>
            </w:tcBorders>
            <w:shd w:val="clear" w:color="auto" w:fill="D9D9D9" w:themeFill="background1" w:themeFillShade="D9"/>
            <w:noWrap/>
            <w:vAlign w:val="center"/>
          </w:tcPr>
          <w:p w14:paraId="509179A3" w14:textId="77777777" w:rsidR="00AB7BD2" w:rsidRPr="00AE14B8" w:rsidRDefault="00AB7BD2" w:rsidP="004E4E18">
            <w:pPr>
              <w:pStyle w:val="PSCHeading2"/>
              <w:spacing w:before="0" w:after="0"/>
              <w:jc w:val="center"/>
              <w:rPr>
                <w:color w:val="404040" w:themeColor="text1" w:themeTint="BF"/>
                <w:sz w:val="22"/>
                <w:szCs w:val="22"/>
              </w:rPr>
            </w:pPr>
            <w:r w:rsidRPr="00AE14B8">
              <w:rPr>
                <w:b/>
                <w:color w:val="404040" w:themeColor="text1" w:themeTint="BF"/>
                <w:sz w:val="22"/>
                <w:szCs w:val="22"/>
              </w:rPr>
              <w:t>Parameter</w:t>
            </w:r>
          </w:p>
        </w:tc>
        <w:tc>
          <w:tcPr>
            <w:tcW w:w="6236" w:type="dxa"/>
            <w:tcBorders>
              <w:top w:val="single" w:sz="4" w:space="0" w:color="78B33A"/>
            </w:tcBorders>
            <w:shd w:val="clear" w:color="auto" w:fill="D9D9D9" w:themeFill="background1" w:themeFillShade="D9"/>
            <w:noWrap/>
            <w:vAlign w:val="center"/>
          </w:tcPr>
          <w:p w14:paraId="77F44E1C" w14:textId="77777777" w:rsidR="00AB7BD2" w:rsidRPr="00AE14B8" w:rsidRDefault="00AB7BD2" w:rsidP="004E4E18">
            <w:pPr>
              <w:pStyle w:val="PSCHeading2"/>
              <w:spacing w:before="0" w:after="0"/>
              <w:jc w:val="center"/>
              <w:cnfStyle w:val="000000000000" w:firstRow="0" w:lastRow="0" w:firstColumn="0" w:lastColumn="0" w:oddVBand="0" w:evenVBand="0" w:oddHBand="0" w:evenHBand="0" w:firstRowFirstColumn="0" w:firstRowLastColumn="0" w:lastRowFirstColumn="0" w:lastRowLastColumn="0"/>
              <w:rPr>
                <w:color w:val="404040" w:themeColor="text1" w:themeTint="BF"/>
                <w:sz w:val="22"/>
                <w:szCs w:val="22"/>
              </w:rPr>
            </w:pPr>
            <w:r w:rsidRPr="00AE14B8">
              <w:rPr>
                <w:color w:val="404040" w:themeColor="text1" w:themeTint="BF"/>
                <w:sz w:val="22"/>
                <w:szCs w:val="22"/>
              </w:rPr>
              <w:t>Common Practice</w:t>
            </w:r>
          </w:p>
        </w:tc>
        <w:tc>
          <w:tcPr>
            <w:tcW w:w="5790" w:type="dxa"/>
            <w:tcBorders>
              <w:top w:val="single" w:sz="4" w:space="0" w:color="78B33A"/>
            </w:tcBorders>
            <w:shd w:val="clear" w:color="auto" w:fill="D9D9D9" w:themeFill="background1" w:themeFillShade="D9"/>
            <w:vAlign w:val="center"/>
          </w:tcPr>
          <w:p w14:paraId="72657796" w14:textId="77777777" w:rsidR="00AB7BD2" w:rsidRPr="00AE14B8" w:rsidRDefault="00AB7BD2" w:rsidP="004E4E18">
            <w:pPr>
              <w:pStyle w:val="PSCHeading2"/>
              <w:spacing w:before="0" w:after="0"/>
              <w:jc w:val="center"/>
              <w:cnfStyle w:val="000000000000" w:firstRow="0" w:lastRow="0" w:firstColumn="0" w:lastColumn="0" w:oddVBand="0" w:evenVBand="0" w:oddHBand="0" w:evenHBand="0" w:firstRowFirstColumn="0" w:firstRowLastColumn="0" w:lastRowFirstColumn="0" w:lastRowLastColumn="0"/>
              <w:rPr>
                <w:color w:val="404040" w:themeColor="text1" w:themeTint="BF"/>
                <w:sz w:val="22"/>
                <w:szCs w:val="22"/>
              </w:rPr>
            </w:pPr>
            <w:r w:rsidRPr="00AE14B8">
              <w:rPr>
                <w:color w:val="404040" w:themeColor="text1" w:themeTint="BF"/>
                <w:sz w:val="22"/>
                <w:szCs w:val="22"/>
              </w:rPr>
              <w:t>Recommendations</w:t>
            </w:r>
          </w:p>
        </w:tc>
      </w:tr>
      <w:tr w:rsidR="00AB7BD2" w:rsidRPr="009F4668" w14:paraId="17345269" w14:textId="77777777" w:rsidTr="00E33EDC">
        <w:trPr>
          <w:trHeight w:val="471"/>
          <w:jc w:val="center"/>
        </w:trPr>
        <w:tc>
          <w:tcPr>
            <w:cnfStyle w:val="001000000000" w:firstRow="0" w:lastRow="0" w:firstColumn="1" w:lastColumn="0" w:oddVBand="0" w:evenVBand="0" w:oddHBand="0" w:evenHBand="0" w:firstRowFirstColumn="0" w:firstRowLastColumn="0" w:lastRowFirstColumn="0" w:lastRowLastColumn="0"/>
            <w:tcW w:w="2532" w:type="dxa"/>
            <w:noWrap/>
            <w:vAlign w:val="center"/>
          </w:tcPr>
          <w:p w14:paraId="3F41B8B0" w14:textId="77777777" w:rsidR="00AB7BD2" w:rsidRPr="00AE14B8" w:rsidRDefault="00AB7BD2" w:rsidP="004E4E18">
            <w:pPr>
              <w:pStyle w:val="PSCBodyText"/>
              <w:spacing w:before="0" w:after="0"/>
              <w:jc w:val="left"/>
              <w:rPr>
                <w:sz w:val="22"/>
                <w:szCs w:val="22"/>
              </w:rPr>
            </w:pPr>
            <w:r w:rsidRPr="00AE14B8">
              <w:rPr>
                <w:sz w:val="22"/>
                <w:szCs w:val="22"/>
              </w:rPr>
              <w:t>Pricing/interruption period (frequency and timing)</w:t>
            </w:r>
          </w:p>
        </w:tc>
        <w:tc>
          <w:tcPr>
            <w:tcW w:w="6236" w:type="dxa"/>
            <w:noWrap/>
            <w:vAlign w:val="center"/>
          </w:tcPr>
          <w:p w14:paraId="575701D1" w14:textId="446AED3E" w:rsidR="00AB7BD2" w:rsidRPr="00AE14B8" w:rsidRDefault="00266AC2" w:rsidP="004E4E18">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 xml:space="preserve">Not to exceed </w:t>
            </w:r>
            <w:r w:rsidR="000E6F59" w:rsidRPr="00AE14B8">
              <w:rPr>
                <w:rFonts w:cs="Arial"/>
                <w:sz w:val="22"/>
                <w:szCs w:val="22"/>
              </w:rPr>
              <w:t>three</w:t>
            </w:r>
            <w:r w:rsidRPr="00AE14B8">
              <w:rPr>
                <w:rFonts w:cs="Arial"/>
                <w:sz w:val="22"/>
                <w:szCs w:val="22"/>
              </w:rPr>
              <w:t xml:space="preserve"> hours per day</w:t>
            </w:r>
            <w:r w:rsidR="000E6F59" w:rsidRPr="00AE14B8">
              <w:rPr>
                <w:rFonts w:cs="Arial"/>
                <w:sz w:val="22"/>
                <w:szCs w:val="22"/>
              </w:rPr>
              <w:t>, i</w:t>
            </w:r>
            <w:r w:rsidRPr="00AE14B8">
              <w:rPr>
                <w:rFonts w:cs="Arial"/>
                <w:sz w:val="22"/>
                <w:szCs w:val="22"/>
              </w:rPr>
              <w:t xml:space="preserve">nterruptible season from June through September. </w:t>
            </w:r>
          </w:p>
        </w:tc>
        <w:tc>
          <w:tcPr>
            <w:tcW w:w="5790" w:type="dxa"/>
            <w:vAlign w:val="center"/>
          </w:tcPr>
          <w:p w14:paraId="0365401F" w14:textId="5E59972A" w:rsidR="00141C12" w:rsidRPr="00141C12" w:rsidRDefault="00141C12" w:rsidP="004E4E18">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u w:val="single"/>
              </w:rPr>
            </w:pPr>
            <w:r w:rsidRPr="00141C12">
              <w:rPr>
                <w:rFonts w:cs="Arial"/>
                <w:b/>
                <w:sz w:val="22"/>
                <w:szCs w:val="22"/>
                <w:u w:val="single"/>
              </w:rPr>
              <w:t>Residential:</w:t>
            </w:r>
          </w:p>
          <w:p w14:paraId="3FED8C83" w14:textId="223CA95D" w:rsidR="00AB7BD2" w:rsidRPr="00141C12" w:rsidRDefault="00546D7A" w:rsidP="004E4E18">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rPr>
            </w:pPr>
            <w:r w:rsidRPr="00141C12">
              <w:rPr>
                <w:rFonts w:cs="Arial"/>
                <w:sz w:val="22"/>
                <w:szCs w:val="22"/>
              </w:rPr>
              <w:t>Load Manageme</w:t>
            </w:r>
            <w:r w:rsidRPr="00141C12">
              <w:rPr>
                <w:rFonts w:cs="Arial"/>
                <w:spacing w:val="2"/>
                <w:sz w:val="22"/>
                <w:szCs w:val="22"/>
              </w:rPr>
              <w:t>n</w:t>
            </w:r>
            <w:r w:rsidRPr="00141C12">
              <w:rPr>
                <w:rFonts w:cs="Arial"/>
                <w:sz w:val="22"/>
                <w:szCs w:val="22"/>
              </w:rPr>
              <w:t>t may occur any day of the week including weekends between the hours of</w:t>
            </w:r>
            <w:r w:rsidRPr="00141C12">
              <w:rPr>
                <w:rFonts w:cs="Arial"/>
                <w:spacing w:val="22"/>
                <w:sz w:val="22"/>
                <w:szCs w:val="22"/>
              </w:rPr>
              <w:t xml:space="preserve"> </w:t>
            </w:r>
            <w:r w:rsidRPr="00141C12">
              <w:rPr>
                <w:rFonts w:cs="Arial"/>
                <w:sz w:val="22"/>
                <w:szCs w:val="22"/>
              </w:rPr>
              <w:t>7:00 AM and 8:00 PM for no more than an eight hour period in any one day. Season is from June 1 through September 30</w:t>
            </w:r>
          </w:p>
        </w:tc>
      </w:tr>
      <w:tr w:rsidR="00AB7BD2" w:rsidRPr="009F4668" w14:paraId="06A86C27" w14:textId="77777777" w:rsidTr="00E33EDC">
        <w:trPr>
          <w:trHeight w:val="471"/>
          <w:jc w:val="center"/>
        </w:trPr>
        <w:tc>
          <w:tcPr>
            <w:cnfStyle w:val="001000000000" w:firstRow="0" w:lastRow="0" w:firstColumn="1" w:lastColumn="0" w:oddVBand="0" w:evenVBand="0" w:oddHBand="0" w:evenHBand="0" w:firstRowFirstColumn="0" w:firstRowLastColumn="0" w:lastRowFirstColumn="0" w:lastRowLastColumn="0"/>
            <w:tcW w:w="2532" w:type="dxa"/>
            <w:noWrap/>
            <w:vAlign w:val="center"/>
          </w:tcPr>
          <w:p w14:paraId="31062B1C" w14:textId="77777777" w:rsidR="00AB7BD2" w:rsidRPr="00AE14B8" w:rsidRDefault="00AB7BD2" w:rsidP="004E4E18">
            <w:pPr>
              <w:pStyle w:val="PSCBodyText"/>
              <w:spacing w:before="0" w:after="0"/>
              <w:jc w:val="left"/>
              <w:rPr>
                <w:sz w:val="22"/>
                <w:szCs w:val="22"/>
              </w:rPr>
            </w:pPr>
            <w:r w:rsidRPr="00AE14B8">
              <w:rPr>
                <w:sz w:val="22"/>
                <w:szCs w:val="22"/>
              </w:rPr>
              <w:t>Notification method and timing</w:t>
            </w:r>
          </w:p>
        </w:tc>
        <w:tc>
          <w:tcPr>
            <w:tcW w:w="6236" w:type="dxa"/>
            <w:noWrap/>
            <w:vAlign w:val="center"/>
          </w:tcPr>
          <w:p w14:paraId="54B0A7A3" w14:textId="4D27D426" w:rsidR="00AB7BD2" w:rsidRPr="00AE14B8" w:rsidRDefault="000E6F59" w:rsidP="00B03224">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One</w:t>
            </w:r>
            <w:r w:rsidR="00266AC2" w:rsidRPr="00AE14B8">
              <w:rPr>
                <w:rFonts w:cs="Arial"/>
                <w:sz w:val="22"/>
                <w:szCs w:val="22"/>
              </w:rPr>
              <w:t xml:space="preserve"> hour in advance. </w:t>
            </w:r>
          </w:p>
        </w:tc>
        <w:tc>
          <w:tcPr>
            <w:tcW w:w="5790" w:type="dxa"/>
            <w:vAlign w:val="center"/>
          </w:tcPr>
          <w:p w14:paraId="5F8BAAF1" w14:textId="0C29BF76" w:rsidR="00141C12" w:rsidRPr="00141C12" w:rsidRDefault="00141C12" w:rsidP="004E4E18">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u w:val="single"/>
              </w:rPr>
            </w:pPr>
            <w:r w:rsidRPr="00141C12">
              <w:rPr>
                <w:rFonts w:cs="Arial"/>
                <w:b/>
                <w:sz w:val="22"/>
                <w:szCs w:val="22"/>
                <w:u w:val="single"/>
              </w:rPr>
              <w:t>Residential:</w:t>
            </w:r>
          </w:p>
          <w:p w14:paraId="181C0996" w14:textId="0C3A1E98" w:rsidR="00AB7BD2" w:rsidRPr="00141C12" w:rsidRDefault="00546D7A" w:rsidP="004E4E18">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141C12">
              <w:rPr>
                <w:rFonts w:cs="Arial"/>
                <w:sz w:val="22"/>
                <w:szCs w:val="22"/>
              </w:rPr>
              <w:t>None</w:t>
            </w:r>
          </w:p>
        </w:tc>
      </w:tr>
      <w:tr w:rsidR="00AB7BD2" w:rsidRPr="009F4668" w14:paraId="15EF6497" w14:textId="77777777" w:rsidTr="00E33EDC">
        <w:trPr>
          <w:trHeight w:val="471"/>
          <w:jc w:val="center"/>
        </w:trPr>
        <w:tc>
          <w:tcPr>
            <w:cnfStyle w:val="001000000000" w:firstRow="0" w:lastRow="0" w:firstColumn="1" w:lastColumn="0" w:oddVBand="0" w:evenVBand="0" w:oddHBand="0" w:evenHBand="0" w:firstRowFirstColumn="0" w:firstRowLastColumn="0" w:lastRowFirstColumn="0" w:lastRowLastColumn="0"/>
            <w:tcW w:w="2532" w:type="dxa"/>
            <w:noWrap/>
            <w:vAlign w:val="center"/>
          </w:tcPr>
          <w:p w14:paraId="0649D18A" w14:textId="77777777" w:rsidR="00AB7BD2" w:rsidRPr="00AE14B8" w:rsidRDefault="00AB7BD2" w:rsidP="004E4E18">
            <w:pPr>
              <w:pStyle w:val="PSCBodyText"/>
              <w:spacing w:before="0" w:after="0"/>
              <w:jc w:val="left"/>
              <w:rPr>
                <w:sz w:val="22"/>
                <w:szCs w:val="22"/>
              </w:rPr>
            </w:pPr>
            <w:r w:rsidRPr="00AE14B8">
              <w:rPr>
                <w:sz w:val="22"/>
                <w:szCs w:val="22"/>
              </w:rPr>
              <w:t>Opt in/out provision</w:t>
            </w:r>
          </w:p>
        </w:tc>
        <w:tc>
          <w:tcPr>
            <w:tcW w:w="6236" w:type="dxa"/>
            <w:noWrap/>
            <w:vAlign w:val="center"/>
          </w:tcPr>
          <w:p w14:paraId="58F8458B" w14:textId="1DC9F838" w:rsidR="00AB7BD2" w:rsidRPr="00AE14B8" w:rsidRDefault="00266AC2" w:rsidP="004E4E18">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Opt-in. Once enrolled</w:t>
            </w:r>
            <w:r w:rsidR="000E6F59" w:rsidRPr="00AE14B8">
              <w:rPr>
                <w:rFonts w:cs="Arial"/>
                <w:sz w:val="22"/>
                <w:szCs w:val="22"/>
              </w:rPr>
              <w:t>,</w:t>
            </w:r>
            <w:r w:rsidRPr="00AE14B8">
              <w:rPr>
                <w:rFonts w:cs="Arial"/>
                <w:sz w:val="22"/>
                <w:szCs w:val="22"/>
              </w:rPr>
              <w:t xml:space="preserve"> customers will have the opportunity to opt-out of two events per year.</w:t>
            </w:r>
          </w:p>
        </w:tc>
        <w:tc>
          <w:tcPr>
            <w:tcW w:w="5790" w:type="dxa"/>
            <w:vAlign w:val="center"/>
          </w:tcPr>
          <w:p w14:paraId="38A2D886" w14:textId="5A597188" w:rsidR="00141C12" w:rsidRPr="00141C12" w:rsidRDefault="00141C12" w:rsidP="004E4E18">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u w:val="single"/>
              </w:rPr>
            </w:pPr>
            <w:r w:rsidRPr="00141C12">
              <w:rPr>
                <w:rFonts w:cs="Arial"/>
                <w:b/>
                <w:sz w:val="22"/>
                <w:szCs w:val="22"/>
                <w:u w:val="single"/>
              </w:rPr>
              <w:t>Residential:</w:t>
            </w:r>
          </w:p>
          <w:p w14:paraId="4790B7FE" w14:textId="28BC3FFD" w:rsidR="00AB7BD2" w:rsidRPr="00141C12" w:rsidRDefault="00C95F75" w:rsidP="004E4E18">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141C12">
              <w:rPr>
                <w:rFonts w:cs="Arial"/>
                <w:sz w:val="22"/>
                <w:szCs w:val="22"/>
              </w:rPr>
              <w:t>Opt in program, customers have the opportunity to  opt out of 1 event per year</w:t>
            </w:r>
          </w:p>
        </w:tc>
      </w:tr>
      <w:tr w:rsidR="00AB7BD2" w:rsidRPr="009F4668" w14:paraId="162EA2CB" w14:textId="77777777" w:rsidTr="00E33EDC">
        <w:trPr>
          <w:trHeight w:val="471"/>
          <w:jc w:val="center"/>
        </w:trPr>
        <w:tc>
          <w:tcPr>
            <w:cnfStyle w:val="001000000000" w:firstRow="0" w:lastRow="0" w:firstColumn="1" w:lastColumn="0" w:oddVBand="0" w:evenVBand="0" w:oddHBand="0" w:evenHBand="0" w:firstRowFirstColumn="0" w:firstRowLastColumn="0" w:lastRowFirstColumn="0" w:lastRowLastColumn="0"/>
            <w:tcW w:w="2532" w:type="dxa"/>
            <w:noWrap/>
            <w:vAlign w:val="center"/>
          </w:tcPr>
          <w:p w14:paraId="1BF2BC1D" w14:textId="684430DE" w:rsidR="00AB7BD2" w:rsidRPr="00AE14B8" w:rsidRDefault="00AB7BD2" w:rsidP="004E4E18">
            <w:pPr>
              <w:pStyle w:val="PSCBodyText"/>
              <w:spacing w:before="0" w:after="0"/>
              <w:jc w:val="left"/>
              <w:rPr>
                <w:sz w:val="22"/>
                <w:szCs w:val="22"/>
              </w:rPr>
            </w:pPr>
            <w:r w:rsidRPr="00AE14B8">
              <w:rPr>
                <w:sz w:val="22"/>
                <w:szCs w:val="22"/>
              </w:rPr>
              <w:t>Price vs</w:t>
            </w:r>
            <w:r w:rsidR="000E6F59" w:rsidRPr="00AE14B8">
              <w:rPr>
                <w:sz w:val="22"/>
                <w:szCs w:val="22"/>
              </w:rPr>
              <w:t>.</w:t>
            </w:r>
            <w:r w:rsidRPr="00AE14B8">
              <w:rPr>
                <w:sz w:val="22"/>
                <w:szCs w:val="22"/>
              </w:rPr>
              <w:t xml:space="preserve"> rebate</w:t>
            </w:r>
          </w:p>
        </w:tc>
        <w:tc>
          <w:tcPr>
            <w:tcW w:w="6236" w:type="dxa"/>
            <w:noWrap/>
            <w:vAlign w:val="center"/>
          </w:tcPr>
          <w:p w14:paraId="4A277469" w14:textId="5EC32E9B" w:rsidR="00266AC2" w:rsidRPr="00AE14B8" w:rsidRDefault="00266AC2" w:rsidP="004E4E18">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Monthly bill credit</w:t>
            </w:r>
          </w:p>
        </w:tc>
        <w:tc>
          <w:tcPr>
            <w:tcW w:w="5790" w:type="dxa"/>
            <w:vAlign w:val="center"/>
          </w:tcPr>
          <w:p w14:paraId="34655AFA" w14:textId="2F600A3A" w:rsidR="00141C12" w:rsidRPr="00141C12" w:rsidRDefault="00141C12" w:rsidP="00546D7A">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u w:val="single"/>
              </w:rPr>
            </w:pPr>
            <w:r w:rsidRPr="00141C12">
              <w:rPr>
                <w:rFonts w:cs="Arial"/>
                <w:b/>
                <w:sz w:val="22"/>
                <w:szCs w:val="22"/>
                <w:u w:val="single"/>
              </w:rPr>
              <w:t>Residential:</w:t>
            </w:r>
          </w:p>
          <w:p w14:paraId="66A9ABBF" w14:textId="3E962316" w:rsidR="00AB7BD2" w:rsidRPr="00141C12" w:rsidRDefault="002D473D" w:rsidP="00546D7A">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141C12">
              <w:rPr>
                <w:rFonts w:cs="Arial"/>
                <w:sz w:val="22"/>
                <w:szCs w:val="22"/>
              </w:rPr>
              <w:t xml:space="preserve">Monthly </w:t>
            </w:r>
            <w:r w:rsidR="00546D7A" w:rsidRPr="00141C12">
              <w:rPr>
                <w:rFonts w:cs="Arial"/>
                <w:sz w:val="22"/>
                <w:szCs w:val="22"/>
              </w:rPr>
              <w:t xml:space="preserve">Bill credit </w:t>
            </w:r>
          </w:p>
        </w:tc>
      </w:tr>
      <w:tr w:rsidR="00266AC2" w:rsidRPr="009F4668" w14:paraId="36748B14" w14:textId="77777777" w:rsidTr="00E33EDC">
        <w:trPr>
          <w:trHeight w:val="471"/>
          <w:jc w:val="center"/>
        </w:trPr>
        <w:tc>
          <w:tcPr>
            <w:cnfStyle w:val="001000000000" w:firstRow="0" w:lastRow="0" w:firstColumn="1" w:lastColumn="0" w:oddVBand="0" w:evenVBand="0" w:oddHBand="0" w:evenHBand="0" w:firstRowFirstColumn="0" w:firstRowLastColumn="0" w:lastRowFirstColumn="0" w:lastRowLastColumn="0"/>
            <w:tcW w:w="2532" w:type="dxa"/>
            <w:noWrap/>
            <w:vAlign w:val="center"/>
          </w:tcPr>
          <w:p w14:paraId="16280883" w14:textId="77777777" w:rsidR="00266AC2" w:rsidRPr="00AE14B8" w:rsidRDefault="00266AC2" w:rsidP="00266AC2">
            <w:pPr>
              <w:pStyle w:val="PSCBodyText"/>
              <w:spacing w:before="0" w:after="0"/>
              <w:jc w:val="left"/>
              <w:rPr>
                <w:sz w:val="22"/>
                <w:szCs w:val="22"/>
              </w:rPr>
            </w:pPr>
            <w:r w:rsidRPr="00AE14B8">
              <w:rPr>
                <w:sz w:val="22"/>
                <w:szCs w:val="22"/>
              </w:rPr>
              <w:t>Incentive offered</w:t>
            </w:r>
          </w:p>
        </w:tc>
        <w:tc>
          <w:tcPr>
            <w:tcW w:w="6236" w:type="dxa"/>
            <w:noWrap/>
            <w:vAlign w:val="center"/>
          </w:tcPr>
          <w:p w14:paraId="4CD4F382" w14:textId="08B2033D" w:rsidR="00266AC2" w:rsidRPr="00AE14B8" w:rsidRDefault="00266AC2" w:rsidP="00266AC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 xml:space="preserve">Monthly bill credit: </w:t>
            </w:r>
            <w:r w:rsidR="000E6F59" w:rsidRPr="00AE14B8">
              <w:rPr>
                <w:rFonts w:cs="Arial"/>
                <w:sz w:val="22"/>
                <w:szCs w:val="22"/>
              </w:rPr>
              <w:t>h</w:t>
            </w:r>
            <w:r w:rsidRPr="00AE14B8">
              <w:rPr>
                <w:rFonts w:cs="Arial"/>
                <w:sz w:val="22"/>
                <w:szCs w:val="22"/>
              </w:rPr>
              <w:t xml:space="preserve">alf-time </w:t>
            </w:r>
            <w:r w:rsidR="000E6F59" w:rsidRPr="00AE14B8">
              <w:rPr>
                <w:rFonts w:cs="Arial"/>
                <w:sz w:val="22"/>
                <w:szCs w:val="22"/>
              </w:rPr>
              <w:t>c</w:t>
            </w:r>
            <w:r w:rsidRPr="00AE14B8">
              <w:rPr>
                <w:rFonts w:cs="Arial"/>
                <w:sz w:val="22"/>
                <w:szCs w:val="22"/>
              </w:rPr>
              <w:t>ycling</w:t>
            </w:r>
            <w:r w:rsidR="000E6F59" w:rsidRPr="00AE14B8">
              <w:rPr>
                <w:rFonts w:cs="Arial"/>
                <w:sz w:val="22"/>
                <w:szCs w:val="22"/>
              </w:rPr>
              <w:t>—</w:t>
            </w:r>
            <w:r w:rsidRPr="00AE14B8">
              <w:rPr>
                <w:rFonts w:cs="Arial"/>
                <w:sz w:val="22"/>
                <w:szCs w:val="22"/>
              </w:rPr>
              <w:t>$4/</w:t>
            </w:r>
            <w:r w:rsidR="000E6F59" w:rsidRPr="00AE14B8">
              <w:rPr>
                <w:rFonts w:cs="Arial"/>
                <w:sz w:val="22"/>
                <w:szCs w:val="22"/>
              </w:rPr>
              <w:t>m</w:t>
            </w:r>
            <w:r w:rsidRPr="00AE14B8">
              <w:rPr>
                <w:rFonts w:cs="Arial"/>
                <w:sz w:val="22"/>
                <w:szCs w:val="22"/>
              </w:rPr>
              <w:t>onth</w:t>
            </w:r>
            <w:r w:rsidR="000E6F59" w:rsidRPr="00AE14B8">
              <w:rPr>
                <w:rFonts w:cs="Arial"/>
                <w:sz w:val="22"/>
                <w:szCs w:val="22"/>
              </w:rPr>
              <w:t>,</w:t>
            </w:r>
          </w:p>
          <w:p w14:paraId="18DB3700" w14:textId="304D9109" w:rsidR="00266AC2" w:rsidRPr="00AE14B8" w:rsidRDefault="000E6F59" w:rsidP="00680EAA">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f</w:t>
            </w:r>
            <w:r w:rsidR="00266AC2" w:rsidRPr="00AE14B8">
              <w:rPr>
                <w:rFonts w:cs="Arial"/>
                <w:sz w:val="22"/>
                <w:szCs w:val="22"/>
              </w:rPr>
              <w:t>ull-time cycling</w:t>
            </w:r>
            <w:r w:rsidRPr="00AE14B8">
              <w:rPr>
                <w:rFonts w:cs="Arial"/>
                <w:sz w:val="22"/>
                <w:szCs w:val="22"/>
              </w:rPr>
              <w:t>—</w:t>
            </w:r>
            <w:r w:rsidR="00266AC2" w:rsidRPr="00AE14B8">
              <w:rPr>
                <w:rFonts w:cs="Arial"/>
                <w:sz w:val="22"/>
                <w:szCs w:val="22"/>
              </w:rPr>
              <w:t>$8/month</w:t>
            </w:r>
          </w:p>
        </w:tc>
        <w:tc>
          <w:tcPr>
            <w:tcW w:w="5790" w:type="dxa"/>
            <w:vAlign w:val="center"/>
          </w:tcPr>
          <w:p w14:paraId="12753202" w14:textId="350C2F86" w:rsidR="00141C12" w:rsidRPr="00141C12" w:rsidRDefault="00141C12" w:rsidP="00AE14B8">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u w:val="single"/>
              </w:rPr>
            </w:pPr>
            <w:r w:rsidRPr="00141C12">
              <w:rPr>
                <w:rFonts w:cs="Arial"/>
                <w:b/>
                <w:sz w:val="22"/>
                <w:szCs w:val="22"/>
                <w:u w:val="single"/>
              </w:rPr>
              <w:t>Residential:</w:t>
            </w:r>
          </w:p>
          <w:p w14:paraId="2CD9B153" w14:textId="0DDD71F1" w:rsidR="00266AC2" w:rsidRPr="00141C12" w:rsidRDefault="00141C12" w:rsidP="00AE14B8">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141C12">
              <w:rPr>
                <w:rFonts w:cs="Arial"/>
                <w:sz w:val="22"/>
                <w:szCs w:val="22"/>
              </w:rPr>
              <w:t xml:space="preserve">$7- </w:t>
            </w:r>
            <w:r w:rsidR="00546D7A" w:rsidRPr="00141C12">
              <w:rPr>
                <w:rFonts w:cs="Arial"/>
                <w:sz w:val="22"/>
                <w:szCs w:val="22"/>
              </w:rPr>
              <w:t>$</w:t>
            </w:r>
            <w:r w:rsidR="00AE14B8" w:rsidRPr="00141C12">
              <w:rPr>
                <w:rFonts w:cs="Arial"/>
                <w:sz w:val="22"/>
                <w:szCs w:val="22"/>
              </w:rPr>
              <w:t>8</w:t>
            </w:r>
            <w:r w:rsidR="00546D7A" w:rsidRPr="00141C12">
              <w:rPr>
                <w:rFonts w:cs="Arial"/>
                <w:sz w:val="22"/>
                <w:szCs w:val="22"/>
              </w:rPr>
              <w:t xml:space="preserve"> per month</w:t>
            </w:r>
            <w:r w:rsidR="00AE14B8" w:rsidRPr="00141C12">
              <w:rPr>
                <w:rFonts w:cs="Arial"/>
                <w:sz w:val="22"/>
                <w:szCs w:val="22"/>
              </w:rPr>
              <w:t>, 50% cycling</w:t>
            </w:r>
          </w:p>
        </w:tc>
      </w:tr>
      <w:tr w:rsidR="00266AC2" w:rsidRPr="009F4668" w14:paraId="0F1E0266" w14:textId="77777777" w:rsidTr="00E33EDC">
        <w:trPr>
          <w:trHeight w:val="471"/>
          <w:jc w:val="center"/>
        </w:trPr>
        <w:tc>
          <w:tcPr>
            <w:cnfStyle w:val="001000000000" w:firstRow="0" w:lastRow="0" w:firstColumn="1" w:lastColumn="0" w:oddVBand="0" w:evenVBand="0" w:oddHBand="0" w:evenHBand="0" w:firstRowFirstColumn="0" w:firstRowLastColumn="0" w:lastRowFirstColumn="0" w:lastRowLastColumn="0"/>
            <w:tcW w:w="2532" w:type="dxa"/>
            <w:noWrap/>
            <w:vAlign w:val="center"/>
          </w:tcPr>
          <w:p w14:paraId="30085482" w14:textId="77777777" w:rsidR="00266AC2" w:rsidRPr="00AE14B8" w:rsidRDefault="00266AC2" w:rsidP="00266AC2">
            <w:pPr>
              <w:pStyle w:val="PSCBodyText"/>
              <w:spacing w:before="0" w:after="0"/>
              <w:jc w:val="left"/>
              <w:rPr>
                <w:sz w:val="22"/>
                <w:szCs w:val="22"/>
              </w:rPr>
            </w:pPr>
            <w:r w:rsidRPr="00AE14B8">
              <w:rPr>
                <w:sz w:val="22"/>
                <w:szCs w:val="22"/>
              </w:rPr>
              <w:t>Contract term</w:t>
            </w:r>
          </w:p>
        </w:tc>
        <w:tc>
          <w:tcPr>
            <w:tcW w:w="6236" w:type="dxa"/>
            <w:noWrap/>
            <w:vAlign w:val="center"/>
          </w:tcPr>
          <w:p w14:paraId="4A9EDBB0" w14:textId="2AC1D1CD" w:rsidR="00266AC2" w:rsidRPr="00AE14B8" w:rsidRDefault="00266AC2" w:rsidP="00266AC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AE14B8">
              <w:rPr>
                <w:rFonts w:cs="Arial"/>
                <w:sz w:val="22"/>
                <w:szCs w:val="22"/>
              </w:rPr>
              <w:t>One</w:t>
            </w:r>
            <w:r w:rsidR="000E6F59" w:rsidRPr="00AE14B8">
              <w:rPr>
                <w:rFonts w:cs="Arial"/>
                <w:sz w:val="22"/>
                <w:szCs w:val="22"/>
              </w:rPr>
              <w:t>-</w:t>
            </w:r>
            <w:r w:rsidRPr="00AE14B8">
              <w:rPr>
                <w:rFonts w:cs="Arial"/>
                <w:sz w:val="22"/>
                <w:szCs w:val="22"/>
              </w:rPr>
              <w:t xml:space="preserve">year commitment </w:t>
            </w:r>
          </w:p>
        </w:tc>
        <w:tc>
          <w:tcPr>
            <w:tcW w:w="5790" w:type="dxa"/>
            <w:vAlign w:val="center"/>
          </w:tcPr>
          <w:p w14:paraId="0368ED04" w14:textId="6051C580" w:rsidR="00141C12" w:rsidRPr="00141C12" w:rsidRDefault="00141C12" w:rsidP="00266AC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b/>
                <w:sz w:val="22"/>
                <w:szCs w:val="22"/>
                <w:u w:val="single"/>
              </w:rPr>
            </w:pPr>
            <w:r w:rsidRPr="00141C12">
              <w:rPr>
                <w:rFonts w:cs="Arial"/>
                <w:b/>
                <w:sz w:val="22"/>
                <w:szCs w:val="22"/>
                <w:u w:val="single"/>
              </w:rPr>
              <w:t>Residential:</w:t>
            </w:r>
          </w:p>
          <w:p w14:paraId="4B5ECE52" w14:textId="3DB40F60" w:rsidR="00266AC2" w:rsidRPr="00141C12" w:rsidRDefault="002D473D" w:rsidP="00266AC2">
            <w:pPr>
              <w:pStyle w:val="PSCBodyText"/>
              <w:spacing w:before="0" w:after="0"/>
              <w:jc w:val="left"/>
              <w:cnfStyle w:val="000000000000" w:firstRow="0" w:lastRow="0" w:firstColumn="0" w:lastColumn="0" w:oddVBand="0" w:evenVBand="0" w:oddHBand="0" w:evenHBand="0" w:firstRowFirstColumn="0" w:firstRowLastColumn="0" w:lastRowFirstColumn="0" w:lastRowLastColumn="0"/>
              <w:rPr>
                <w:rFonts w:cs="Arial"/>
                <w:sz w:val="22"/>
                <w:szCs w:val="22"/>
              </w:rPr>
            </w:pPr>
            <w:r w:rsidRPr="00141C12">
              <w:rPr>
                <w:rFonts w:cs="Arial"/>
                <w:sz w:val="22"/>
                <w:szCs w:val="22"/>
              </w:rPr>
              <w:t>Continual while on RS-1005 rate</w:t>
            </w:r>
            <w:r w:rsidR="00C95F75" w:rsidRPr="00141C12">
              <w:rPr>
                <w:rFonts w:cs="Arial"/>
                <w:sz w:val="22"/>
                <w:szCs w:val="22"/>
              </w:rPr>
              <w:t>, with cancellation  option of thirty days</w:t>
            </w:r>
            <w:r w:rsidR="00C95F75" w:rsidRPr="00141C12">
              <w:rPr>
                <w:rFonts w:cs="Arial"/>
                <w:spacing w:val="-19"/>
                <w:sz w:val="22"/>
                <w:szCs w:val="22"/>
              </w:rPr>
              <w:t xml:space="preserve"> </w:t>
            </w:r>
            <w:r w:rsidR="00C95F75" w:rsidRPr="00141C12">
              <w:rPr>
                <w:rFonts w:cs="Arial"/>
                <w:sz w:val="22"/>
                <w:szCs w:val="22"/>
              </w:rPr>
              <w:t>'</w:t>
            </w:r>
            <w:r w:rsidR="00C95F75" w:rsidRPr="00141C12">
              <w:rPr>
                <w:rFonts w:cs="Arial"/>
                <w:spacing w:val="1"/>
                <w:sz w:val="22"/>
                <w:szCs w:val="22"/>
              </w:rPr>
              <w:t xml:space="preserve"> </w:t>
            </w:r>
            <w:r w:rsidR="00C95F75" w:rsidRPr="00141C12">
              <w:rPr>
                <w:rFonts w:cs="Arial"/>
                <w:sz w:val="22"/>
                <w:szCs w:val="22"/>
              </w:rPr>
              <w:t>notice prior to the custome</w:t>
            </w:r>
            <w:r w:rsidR="00C95F75" w:rsidRPr="00141C12">
              <w:rPr>
                <w:rFonts w:cs="Arial"/>
                <w:spacing w:val="6"/>
                <w:sz w:val="22"/>
                <w:szCs w:val="22"/>
              </w:rPr>
              <w:t>r</w:t>
            </w:r>
            <w:r w:rsidR="00C95F75" w:rsidRPr="00141C12">
              <w:rPr>
                <w:rFonts w:cs="Arial"/>
                <w:spacing w:val="1"/>
                <w:sz w:val="22"/>
                <w:szCs w:val="22"/>
              </w:rPr>
              <w:t>'</w:t>
            </w:r>
            <w:r w:rsidR="00C95F75" w:rsidRPr="00141C12">
              <w:rPr>
                <w:rFonts w:cs="Arial"/>
                <w:sz w:val="22"/>
                <w:szCs w:val="22"/>
              </w:rPr>
              <w:t>s next billing cycl</w:t>
            </w:r>
            <w:r w:rsidR="00C95F75" w:rsidRPr="00141C12">
              <w:rPr>
                <w:rFonts w:cs="Arial"/>
                <w:spacing w:val="4"/>
                <w:sz w:val="22"/>
                <w:szCs w:val="22"/>
              </w:rPr>
              <w:t>e</w:t>
            </w:r>
          </w:p>
        </w:tc>
      </w:tr>
    </w:tbl>
    <w:p w14:paraId="0FB25E30" w14:textId="6109074B" w:rsidR="00DE1F43" w:rsidRDefault="00DE1F43" w:rsidP="00ED4224">
      <w:pPr>
        <w:pStyle w:val="PSCBullet1"/>
        <w:numPr>
          <w:ilvl w:val="0"/>
          <w:numId w:val="0"/>
        </w:numPr>
      </w:pPr>
    </w:p>
    <w:p w14:paraId="2ED85073" w14:textId="64B43E98" w:rsidR="00B4313C" w:rsidRPr="00BA03CD" w:rsidRDefault="00B4313C" w:rsidP="00AE14B8">
      <w:pPr>
        <w:pStyle w:val="PSCBullet1"/>
        <w:numPr>
          <w:ilvl w:val="0"/>
          <w:numId w:val="0"/>
        </w:numPr>
        <w:ind w:left="360" w:hanging="360"/>
      </w:pPr>
    </w:p>
    <w:sectPr w:rsidR="00B4313C" w:rsidRPr="00BA03CD" w:rsidSect="00E33EDC">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43F8460" w14:textId="77777777" w:rsidR="00AC455C" w:rsidRDefault="00AC455C" w:rsidP="009E20F0">
      <w:pPr>
        <w:spacing w:after="0" w:line="240" w:lineRule="auto"/>
      </w:pPr>
      <w:r>
        <w:separator/>
      </w:r>
    </w:p>
  </w:endnote>
  <w:endnote w:type="continuationSeparator" w:id="0">
    <w:p w14:paraId="52734EBE" w14:textId="77777777" w:rsidR="00AC455C" w:rsidRDefault="00AC455C" w:rsidP="009E2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ヒラギノ角ゴ Pro W3">
    <w:charset w:val="4E"/>
    <w:family w:val="auto"/>
    <w:pitch w:val="variable"/>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6613FE" w14:textId="77777777" w:rsidR="00AC455C" w:rsidRDefault="00AC455C" w:rsidP="009E20F0">
      <w:pPr>
        <w:spacing w:after="0" w:line="240" w:lineRule="auto"/>
      </w:pPr>
      <w:r>
        <w:separator/>
      </w:r>
    </w:p>
  </w:footnote>
  <w:footnote w:type="continuationSeparator" w:id="0">
    <w:p w14:paraId="120061B4" w14:textId="77777777" w:rsidR="00AC455C" w:rsidRDefault="00AC455C" w:rsidP="009E20F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C2799"/>
    <w:multiLevelType w:val="hybridMultilevel"/>
    <w:tmpl w:val="733678D6"/>
    <w:lvl w:ilvl="0" w:tplc="08BE9BF0">
      <w:start w:val="1"/>
      <w:numFmt w:val="bullet"/>
      <w:pStyle w:val="PSCTableBullet2"/>
      <w:lvlText w:val=""/>
      <w:lvlJc w:val="left"/>
      <w:pPr>
        <w:ind w:left="1188" w:hanging="360"/>
      </w:pPr>
      <w:rPr>
        <w:rFonts w:ascii="Symbol" w:hAnsi="Symbol" w:hint="default"/>
        <w:color w:val="808080" w:themeColor="background1" w:themeShade="80"/>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1">
    <w:nsid w:val="0AFA4003"/>
    <w:multiLevelType w:val="hybridMultilevel"/>
    <w:tmpl w:val="368E3DF2"/>
    <w:lvl w:ilvl="0" w:tplc="D3A4FCBA">
      <w:start w:val="1"/>
      <w:numFmt w:val="bullet"/>
      <w:pStyle w:val="PSCBullet1"/>
      <w:lvlText w:val=""/>
      <w:lvlJc w:val="left"/>
      <w:pPr>
        <w:ind w:left="360" w:hanging="360"/>
      </w:pPr>
      <w:rPr>
        <w:rFonts w:ascii="Wingdings" w:hAnsi="Wingdings" w:hint="default"/>
        <w:color w:val="78B33A"/>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903CD6"/>
    <w:multiLevelType w:val="hybridMultilevel"/>
    <w:tmpl w:val="187E1F40"/>
    <w:lvl w:ilvl="0" w:tplc="9E128A3C">
      <w:start w:val="1"/>
      <w:numFmt w:val="bullet"/>
      <w:lvlText w:val=""/>
      <w:lvlJc w:val="left"/>
      <w:pPr>
        <w:ind w:left="1080" w:hanging="360"/>
      </w:pPr>
      <w:rPr>
        <w:rFonts w:ascii="Wingdings 2" w:hAnsi="Wingdings 2" w:hint="default"/>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183F5B09"/>
    <w:multiLevelType w:val="hybridMultilevel"/>
    <w:tmpl w:val="80769016"/>
    <w:lvl w:ilvl="0" w:tplc="9E128A3C">
      <w:start w:val="1"/>
      <w:numFmt w:val="bullet"/>
      <w:lvlText w:val=""/>
      <w:lvlJc w:val="left"/>
      <w:pPr>
        <w:ind w:left="1080" w:hanging="360"/>
      </w:pPr>
      <w:rPr>
        <w:rFonts w:ascii="Wingdings 2" w:hAnsi="Wingdings 2" w:hint="default"/>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191B4CB6"/>
    <w:multiLevelType w:val="hybridMultilevel"/>
    <w:tmpl w:val="501CBA9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1A5D1252"/>
    <w:multiLevelType w:val="hybridMultilevel"/>
    <w:tmpl w:val="25A488E8"/>
    <w:lvl w:ilvl="0" w:tplc="9E128A3C">
      <w:start w:val="1"/>
      <w:numFmt w:val="bullet"/>
      <w:lvlText w:val=""/>
      <w:lvlJc w:val="left"/>
      <w:pPr>
        <w:ind w:left="1080" w:hanging="360"/>
      </w:pPr>
      <w:rPr>
        <w:rFonts w:ascii="Wingdings 2" w:hAnsi="Wingdings 2" w:hint="default"/>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DF56475"/>
    <w:multiLevelType w:val="hybridMultilevel"/>
    <w:tmpl w:val="582CF83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nsid w:val="213B1FB6"/>
    <w:multiLevelType w:val="hybridMultilevel"/>
    <w:tmpl w:val="8118FE1E"/>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8">
    <w:nsid w:val="2635761A"/>
    <w:multiLevelType w:val="hybridMultilevel"/>
    <w:tmpl w:val="39443F04"/>
    <w:lvl w:ilvl="0" w:tplc="F01E6DF2">
      <w:start w:val="1"/>
      <w:numFmt w:val="bullet"/>
      <w:pStyle w:val="PSCBullet1Last"/>
      <w:lvlText w:val=""/>
      <w:lvlJc w:val="left"/>
      <w:pPr>
        <w:tabs>
          <w:tab w:val="num" w:pos="360"/>
        </w:tabs>
        <w:ind w:left="360" w:hanging="360"/>
      </w:pPr>
      <w:rPr>
        <w:rFonts w:ascii="Wingdings" w:hAnsi="Wingdings" w:hint="default"/>
        <w:b w:val="0"/>
        <w:i w:val="0"/>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2BC157BC"/>
    <w:multiLevelType w:val="hybridMultilevel"/>
    <w:tmpl w:val="331E6BD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0">
    <w:nsid w:val="350F2ED9"/>
    <w:multiLevelType w:val="hybridMultilevel"/>
    <w:tmpl w:val="351E21E4"/>
    <w:lvl w:ilvl="0" w:tplc="96386B4A">
      <w:start w:val="1"/>
      <w:numFmt w:val="bullet"/>
      <w:pStyle w:val="PSCTable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3D632CDB"/>
    <w:multiLevelType w:val="multilevel"/>
    <w:tmpl w:val="FFCA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F112354"/>
    <w:multiLevelType w:val="hybridMultilevel"/>
    <w:tmpl w:val="658C2C40"/>
    <w:lvl w:ilvl="0" w:tplc="04090015">
      <w:start w:val="1"/>
      <w:numFmt w:val="upperLetter"/>
      <w:lvlText w:val="%1."/>
      <w:lvlJc w:val="left"/>
      <w:pPr>
        <w:ind w:left="360" w:hanging="360"/>
      </w:pPr>
    </w:lvl>
    <w:lvl w:ilvl="1" w:tplc="9E128A3C">
      <w:start w:val="1"/>
      <w:numFmt w:val="bullet"/>
      <w:lvlText w:val=""/>
      <w:lvlJc w:val="left"/>
      <w:pPr>
        <w:ind w:left="1080" w:hanging="360"/>
      </w:pPr>
      <w:rPr>
        <w:rFonts w:ascii="Wingdings 2" w:hAnsi="Wingdings 2" w:hint="default"/>
        <w:sz w:val="24"/>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496035DB"/>
    <w:multiLevelType w:val="hybridMultilevel"/>
    <w:tmpl w:val="97FC3BC0"/>
    <w:lvl w:ilvl="0" w:tplc="04090001">
      <w:start w:val="1"/>
      <w:numFmt w:val="bullet"/>
      <w:lvlText w:val=""/>
      <w:lvlJc w:val="left"/>
      <w:pPr>
        <w:ind w:left="6120" w:hanging="360"/>
      </w:pPr>
      <w:rPr>
        <w:rFonts w:ascii="Symbol" w:hAnsi="Symbol" w:hint="default"/>
      </w:rPr>
    </w:lvl>
    <w:lvl w:ilvl="1" w:tplc="04090003" w:tentative="1">
      <w:start w:val="1"/>
      <w:numFmt w:val="bullet"/>
      <w:lvlText w:val="o"/>
      <w:lvlJc w:val="left"/>
      <w:pPr>
        <w:ind w:left="6840" w:hanging="360"/>
      </w:pPr>
      <w:rPr>
        <w:rFonts w:ascii="Courier New" w:hAnsi="Courier New" w:cs="Courier New" w:hint="default"/>
      </w:rPr>
    </w:lvl>
    <w:lvl w:ilvl="2" w:tplc="04090005" w:tentative="1">
      <w:start w:val="1"/>
      <w:numFmt w:val="bullet"/>
      <w:lvlText w:val=""/>
      <w:lvlJc w:val="left"/>
      <w:pPr>
        <w:ind w:left="7560" w:hanging="360"/>
      </w:pPr>
      <w:rPr>
        <w:rFonts w:ascii="Wingdings" w:hAnsi="Wingdings" w:hint="default"/>
      </w:rPr>
    </w:lvl>
    <w:lvl w:ilvl="3" w:tplc="04090001" w:tentative="1">
      <w:start w:val="1"/>
      <w:numFmt w:val="bullet"/>
      <w:lvlText w:val=""/>
      <w:lvlJc w:val="left"/>
      <w:pPr>
        <w:ind w:left="8280" w:hanging="360"/>
      </w:pPr>
      <w:rPr>
        <w:rFonts w:ascii="Symbol" w:hAnsi="Symbol" w:hint="default"/>
      </w:rPr>
    </w:lvl>
    <w:lvl w:ilvl="4" w:tplc="04090003" w:tentative="1">
      <w:start w:val="1"/>
      <w:numFmt w:val="bullet"/>
      <w:lvlText w:val="o"/>
      <w:lvlJc w:val="left"/>
      <w:pPr>
        <w:ind w:left="9000" w:hanging="360"/>
      </w:pPr>
      <w:rPr>
        <w:rFonts w:ascii="Courier New" w:hAnsi="Courier New" w:cs="Courier New" w:hint="default"/>
      </w:rPr>
    </w:lvl>
    <w:lvl w:ilvl="5" w:tplc="04090005" w:tentative="1">
      <w:start w:val="1"/>
      <w:numFmt w:val="bullet"/>
      <w:lvlText w:val=""/>
      <w:lvlJc w:val="left"/>
      <w:pPr>
        <w:ind w:left="9720" w:hanging="360"/>
      </w:pPr>
      <w:rPr>
        <w:rFonts w:ascii="Wingdings" w:hAnsi="Wingdings" w:hint="default"/>
      </w:rPr>
    </w:lvl>
    <w:lvl w:ilvl="6" w:tplc="04090001" w:tentative="1">
      <w:start w:val="1"/>
      <w:numFmt w:val="bullet"/>
      <w:lvlText w:val=""/>
      <w:lvlJc w:val="left"/>
      <w:pPr>
        <w:ind w:left="10440" w:hanging="360"/>
      </w:pPr>
      <w:rPr>
        <w:rFonts w:ascii="Symbol" w:hAnsi="Symbol" w:hint="default"/>
      </w:rPr>
    </w:lvl>
    <w:lvl w:ilvl="7" w:tplc="04090003" w:tentative="1">
      <w:start w:val="1"/>
      <w:numFmt w:val="bullet"/>
      <w:lvlText w:val="o"/>
      <w:lvlJc w:val="left"/>
      <w:pPr>
        <w:ind w:left="11160" w:hanging="360"/>
      </w:pPr>
      <w:rPr>
        <w:rFonts w:ascii="Courier New" w:hAnsi="Courier New" w:cs="Courier New" w:hint="default"/>
      </w:rPr>
    </w:lvl>
    <w:lvl w:ilvl="8" w:tplc="04090005" w:tentative="1">
      <w:start w:val="1"/>
      <w:numFmt w:val="bullet"/>
      <w:lvlText w:val=""/>
      <w:lvlJc w:val="left"/>
      <w:pPr>
        <w:ind w:left="11880" w:hanging="360"/>
      </w:pPr>
      <w:rPr>
        <w:rFonts w:ascii="Wingdings" w:hAnsi="Wingdings" w:hint="default"/>
      </w:rPr>
    </w:lvl>
  </w:abstractNum>
  <w:abstractNum w:abstractNumId="14">
    <w:nsid w:val="4F0422E7"/>
    <w:multiLevelType w:val="hybridMultilevel"/>
    <w:tmpl w:val="5F30515A"/>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5">
    <w:nsid w:val="56292B21"/>
    <w:multiLevelType w:val="hybridMultilevel"/>
    <w:tmpl w:val="AAEEFFA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5CEC2483"/>
    <w:multiLevelType w:val="multilevel"/>
    <w:tmpl w:val="E6FE2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9586B38"/>
    <w:multiLevelType w:val="hybridMultilevel"/>
    <w:tmpl w:val="6B4A982E"/>
    <w:lvl w:ilvl="0" w:tplc="04090015">
      <w:start w:val="1"/>
      <w:numFmt w:val="upperLetter"/>
      <w:lvlText w:val="%1."/>
      <w:lvlJc w:val="left"/>
      <w:pPr>
        <w:ind w:left="360" w:hanging="360"/>
      </w:pPr>
    </w:lvl>
    <w:lvl w:ilvl="1" w:tplc="9E128A3C">
      <w:start w:val="1"/>
      <w:numFmt w:val="bullet"/>
      <w:pStyle w:val="PSCBullet2"/>
      <w:lvlText w:val=""/>
      <w:lvlJc w:val="left"/>
      <w:pPr>
        <w:ind w:left="1080" w:hanging="360"/>
      </w:pPr>
      <w:rPr>
        <w:rFonts w:ascii="Wingdings 2" w:hAnsi="Wingdings 2" w:hint="default"/>
        <w:sz w:val="24"/>
      </w:rPr>
    </w:lvl>
    <w:lvl w:ilvl="2" w:tplc="DD8E0DFA">
      <w:start w:val="1"/>
      <w:numFmt w:val="lowerRoman"/>
      <w:lvlText w:val="%3."/>
      <w:lvlJc w:val="right"/>
      <w:pPr>
        <w:ind w:left="1800" w:hanging="18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nsid w:val="7B8730DC"/>
    <w:multiLevelType w:val="hybridMultilevel"/>
    <w:tmpl w:val="410E245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9">
    <w:nsid w:val="7C453A44"/>
    <w:multiLevelType w:val="hybridMultilevel"/>
    <w:tmpl w:val="076C05C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7"/>
  </w:num>
  <w:num w:numId="2">
    <w:abstractNumId w:val="12"/>
  </w:num>
  <w:num w:numId="3">
    <w:abstractNumId w:val="19"/>
  </w:num>
  <w:num w:numId="4">
    <w:abstractNumId w:val="2"/>
  </w:num>
  <w:num w:numId="5">
    <w:abstractNumId w:val="3"/>
  </w:num>
  <w:num w:numId="6">
    <w:abstractNumId w:val="5"/>
  </w:num>
  <w:num w:numId="7">
    <w:abstractNumId w:val="17"/>
    <w:lvlOverride w:ilvl="0">
      <w:startOverride w:val="1"/>
    </w:lvlOverride>
  </w:num>
  <w:num w:numId="8">
    <w:abstractNumId w:val="15"/>
  </w:num>
  <w:num w:numId="9">
    <w:abstractNumId w:val="18"/>
  </w:num>
  <w:num w:numId="10">
    <w:abstractNumId w:val="7"/>
  </w:num>
  <w:num w:numId="11">
    <w:abstractNumId w:val="14"/>
  </w:num>
  <w:num w:numId="12">
    <w:abstractNumId w:val="6"/>
  </w:num>
  <w:num w:numId="13">
    <w:abstractNumId w:val="13"/>
  </w:num>
  <w:num w:numId="14">
    <w:abstractNumId w:val="9"/>
  </w:num>
  <w:num w:numId="15">
    <w:abstractNumId w:val="1"/>
  </w:num>
  <w:num w:numId="16">
    <w:abstractNumId w:val="8"/>
  </w:num>
  <w:num w:numId="17">
    <w:abstractNumId w:val="10"/>
  </w:num>
  <w:num w:numId="18">
    <w:abstractNumId w:val="0"/>
  </w:num>
  <w:num w:numId="19">
    <w:abstractNumId w:val="11"/>
  </w:num>
  <w:num w:numId="20">
    <w:abstractNumId w:val="16"/>
  </w:num>
  <w:num w:numId="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61__i" w:val="H4sIAAAAAAAEAKtWckksSQxILCpxzi/NK1GyMqwFAAEhoTITAAAA"/>
    <w:docVar w:name="__grammarly61_1" w:val="H4sIAAAAAAAEAKtWcslPLs1NzSvxTFGyUko2NEhKMzM11E00NErTNUk1SNJNNDdM1k1LNksyM0gzM09KS1LSUQpOLS7OzM8DaTGtBQCezrdMQwAAAA=="/>
  </w:docVars>
  <w:rsids>
    <w:rsidRoot w:val="00436731"/>
    <w:rsid w:val="0001200C"/>
    <w:rsid w:val="00016DE1"/>
    <w:rsid w:val="00017896"/>
    <w:rsid w:val="0002166F"/>
    <w:rsid w:val="00027D3E"/>
    <w:rsid w:val="000809AF"/>
    <w:rsid w:val="000961BD"/>
    <w:rsid w:val="000A25AA"/>
    <w:rsid w:val="000C5AFD"/>
    <w:rsid w:val="000E6F59"/>
    <w:rsid w:val="00101162"/>
    <w:rsid w:val="001067DD"/>
    <w:rsid w:val="001074AB"/>
    <w:rsid w:val="00111D1E"/>
    <w:rsid w:val="00112E4B"/>
    <w:rsid w:val="00114A68"/>
    <w:rsid w:val="00133248"/>
    <w:rsid w:val="001346FA"/>
    <w:rsid w:val="00141C12"/>
    <w:rsid w:val="00147FF8"/>
    <w:rsid w:val="001517DE"/>
    <w:rsid w:val="001811F2"/>
    <w:rsid w:val="00192C40"/>
    <w:rsid w:val="001F7515"/>
    <w:rsid w:val="0022371D"/>
    <w:rsid w:val="00224CDC"/>
    <w:rsid w:val="0022680F"/>
    <w:rsid w:val="002610D6"/>
    <w:rsid w:val="002644B3"/>
    <w:rsid w:val="00266AC2"/>
    <w:rsid w:val="00271A79"/>
    <w:rsid w:val="002722DE"/>
    <w:rsid w:val="0028744B"/>
    <w:rsid w:val="00292A9E"/>
    <w:rsid w:val="002A760F"/>
    <w:rsid w:val="002B12E8"/>
    <w:rsid w:val="002B46D8"/>
    <w:rsid w:val="002C0F94"/>
    <w:rsid w:val="002D2BD9"/>
    <w:rsid w:val="002D473D"/>
    <w:rsid w:val="002F572A"/>
    <w:rsid w:val="003420EA"/>
    <w:rsid w:val="00343AA9"/>
    <w:rsid w:val="00394DC4"/>
    <w:rsid w:val="0039599E"/>
    <w:rsid w:val="003B1D0A"/>
    <w:rsid w:val="003C01A8"/>
    <w:rsid w:val="003C0EBB"/>
    <w:rsid w:val="003C3313"/>
    <w:rsid w:val="003E1167"/>
    <w:rsid w:val="0040776E"/>
    <w:rsid w:val="0041190C"/>
    <w:rsid w:val="004161F8"/>
    <w:rsid w:val="00424E24"/>
    <w:rsid w:val="00425331"/>
    <w:rsid w:val="00436731"/>
    <w:rsid w:val="0044548D"/>
    <w:rsid w:val="00452AD9"/>
    <w:rsid w:val="00467F7F"/>
    <w:rsid w:val="0047335C"/>
    <w:rsid w:val="004826D4"/>
    <w:rsid w:val="00493049"/>
    <w:rsid w:val="004952C3"/>
    <w:rsid w:val="004A4A6B"/>
    <w:rsid w:val="004B7934"/>
    <w:rsid w:val="004C6F58"/>
    <w:rsid w:val="004D05B0"/>
    <w:rsid w:val="004F6EEC"/>
    <w:rsid w:val="005051CF"/>
    <w:rsid w:val="005055A5"/>
    <w:rsid w:val="00537EA6"/>
    <w:rsid w:val="00543AC8"/>
    <w:rsid w:val="00546D7A"/>
    <w:rsid w:val="0058102D"/>
    <w:rsid w:val="005D4E9F"/>
    <w:rsid w:val="005D7203"/>
    <w:rsid w:val="006105FC"/>
    <w:rsid w:val="0061707F"/>
    <w:rsid w:val="00653481"/>
    <w:rsid w:val="00673135"/>
    <w:rsid w:val="00680EAA"/>
    <w:rsid w:val="00684293"/>
    <w:rsid w:val="00690E52"/>
    <w:rsid w:val="00696D57"/>
    <w:rsid w:val="0069773A"/>
    <w:rsid w:val="006B7AB0"/>
    <w:rsid w:val="006C304D"/>
    <w:rsid w:val="006C4390"/>
    <w:rsid w:val="00700A15"/>
    <w:rsid w:val="00702FA9"/>
    <w:rsid w:val="00711076"/>
    <w:rsid w:val="007139CA"/>
    <w:rsid w:val="007143E6"/>
    <w:rsid w:val="0072706B"/>
    <w:rsid w:val="0074390D"/>
    <w:rsid w:val="00746773"/>
    <w:rsid w:val="00770DA3"/>
    <w:rsid w:val="007D2BBF"/>
    <w:rsid w:val="008009F1"/>
    <w:rsid w:val="00800D3C"/>
    <w:rsid w:val="00807D17"/>
    <w:rsid w:val="00810EFC"/>
    <w:rsid w:val="00811A09"/>
    <w:rsid w:val="00820207"/>
    <w:rsid w:val="0084433C"/>
    <w:rsid w:val="0084579B"/>
    <w:rsid w:val="008477AB"/>
    <w:rsid w:val="00876404"/>
    <w:rsid w:val="0088757A"/>
    <w:rsid w:val="008B0ECC"/>
    <w:rsid w:val="008B5558"/>
    <w:rsid w:val="008B6751"/>
    <w:rsid w:val="008C1F7C"/>
    <w:rsid w:val="008C2DCB"/>
    <w:rsid w:val="008F1D8F"/>
    <w:rsid w:val="008F2976"/>
    <w:rsid w:val="008F2A3F"/>
    <w:rsid w:val="008F2E32"/>
    <w:rsid w:val="00913AF0"/>
    <w:rsid w:val="00951010"/>
    <w:rsid w:val="009660FF"/>
    <w:rsid w:val="009663E7"/>
    <w:rsid w:val="00971E84"/>
    <w:rsid w:val="0097650A"/>
    <w:rsid w:val="009B2AAE"/>
    <w:rsid w:val="009C47E6"/>
    <w:rsid w:val="009E20F0"/>
    <w:rsid w:val="009E7C3E"/>
    <w:rsid w:val="00A07ADB"/>
    <w:rsid w:val="00A268FE"/>
    <w:rsid w:val="00A402DB"/>
    <w:rsid w:val="00A40824"/>
    <w:rsid w:val="00A47BA0"/>
    <w:rsid w:val="00A51D11"/>
    <w:rsid w:val="00A76010"/>
    <w:rsid w:val="00A952CB"/>
    <w:rsid w:val="00AB3BD8"/>
    <w:rsid w:val="00AB6B62"/>
    <w:rsid w:val="00AB7BD2"/>
    <w:rsid w:val="00AC455C"/>
    <w:rsid w:val="00AD7D2C"/>
    <w:rsid w:val="00AE14B8"/>
    <w:rsid w:val="00AF20B1"/>
    <w:rsid w:val="00B02F6D"/>
    <w:rsid w:val="00B03224"/>
    <w:rsid w:val="00B07376"/>
    <w:rsid w:val="00B20379"/>
    <w:rsid w:val="00B343A2"/>
    <w:rsid w:val="00B4313C"/>
    <w:rsid w:val="00B57077"/>
    <w:rsid w:val="00B63532"/>
    <w:rsid w:val="00B66945"/>
    <w:rsid w:val="00B777BD"/>
    <w:rsid w:val="00B93E37"/>
    <w:rsid w:val="00BA03CD"/>
    <w:rsid w:val="00BA5245"/>
    <w:rsid w:val="00BB42A2"/>
    <w:rsid w:val="00BC5E1D"/>
    <w:rsid w:val="00BC7CAC"/>
    <w:rsid w:val="00BD2D9B"/>
    <w:rsid w:val="00BD32C9"/>
    <w:rsid w:val="00BE5276"/>
    <w:rsid w:val="00C020B4"/>
    <w:rsid w:val="00C06371"/>
    <w:rsid w:val="00C06AB0"/>
    <w:rsid w:val="00C241A5"/>
    <w:rsid w:val="00C27261"/>
    <w:rsid w:val="00C32DC8"/>
    <w:rsid w:val="00C34FF4"/>
    <w:rsid w:val="00C8104F"/>
    <w:rsid w:val="00C95F75"/>
    <w:rsid w:val="00CD4508"/>
    <w:rsid w:val="00CE4DBF"/>
    <w:rsid w:val="00CF58DC"/>
    <w:rsid w:val="00D00ADC"/>
    <w:rsid w:val="00D34054"/>
    <w:rsid w:val="00D37FAE"/>
    <w:rsid w:val="00D44D0C"/>
    <w:rsid w:val="00D5301A"/>
    <w:rsid w:val="00D5475B"/>
    <w:rsid w:val="00D54C55"/>
    <w:rsid w:val="00D64050"/>
    <w:rsid w:val="00D67663"/>
    <w:rsid w:val="00D67A24"/>
    <w:rsid w:val="00D812B7"/>
    <w:rsid w:val="00DB5EFC"/>
    <w:rsid w:val="00DC1C08"/>
    <w:rsid w:val="00DC313F"/>
    <w:rsid w:val="00DD2ABE"/>
    <w:rsid w:val="00DD77DC"/>
    <w:rsid w:val="00DE064B"/>
    <w:rsid w:val="00DE1F43"/>
    <w:rsid w:val="00DF3A27"/>
    <w:rsid w:val="00E117BC"/>
    <w:rsid w:val="00E24663"/>
    <w:rsid w:val="00E33EDC"/>
    <w:rsid w:val="00E35154"/>
    <w:rsid w:val="00E44D8E"/>
    <w:rsid w:val="00E705B7"/>
    <w:rsid w:val="00E7362C"/>
    <w:rsid w:val="00E83468"/>
    <w:rsid w:val="00EA00FA"/>
    <w:rsid w:val="00EA0D54"/>
    <w:rsid w:val="00EA4A4A"/>
    <w:rsid w:val="00EA57C2"/>
    <w:rsid w:val="00EB3FA5"/>
    <w:rsid w:val="00ED4224"/>
    <w:rsid w:val="00EE1025"/>
    <w:rsid w:val="00EE777B"/>
    <w:rsid w:val="00EF0580"/>
    <w:rsid w:val="00EF082B"/>
    <w:rsid w:val="00EF7E72"/>
    <w:rsid w:val="00F15DD8"/>
    <w:rsid w:val="00F2758D"/>
    <w:rsid w:val="00F35E5C"/>
    <w:rsid w:val="00F42C01"/>
    <w:rsid w:val="00F60018"/>
    <w:rsid w:val="00F72E0D"/>
    <w:rsid w:val="00F73741"/>
    <w:rsid w:val="00F76673"/>
    <w:rsid w:val="00F77674"/>
    <w:rsid w:val="00FD131D"/>
    <w:rsid w:val="00FD67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1FB3C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7BD2"/>
  </w:style>
  <w:style w:type="paragraph" w:styleId="Heading1">
    <w:name w:val="heading 1"/>
    <w:basedOn w:val="Normal"/>
    <w:next w:val="Normal"/>
    <w:link w:val="Heading1Char"/>
    <w:uiPriority w:val="9"/>
    <w:qFormat/>
    <w:rsid w:val="000A25A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A25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25A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5AA"/>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0A25AA"/>
    <w:pPr>
      <w:ind w:left="720"/>
      <w:contextualSpacing/>
    </w:pPr>
  </w:style>
  <w:style w:type="paragraph" w:customStyle="1" w:styleId="PSCBullet2">
    <w:name w:val="PSC Bullet2"/>
    <w:basedOn w:val="Normal"/>
    <w:rsid w:val="00436731"/>
    <w:pPr>
      <w:numPr>
        <w:ilvl w:val="1"/>
        <w:numId w:val="1"/>
      </w:numPr>
    </w:pPr>
  </w:style>
  <w:style w:type="paragraph" w:styleId="BalloonText">
    <w:name w:val="Balloon Text"/>
    <w:basedOn w:val="Normal"/>
    <w:link w:val="BalloonTextChar"/>
    <w:uiPriority w:val="99"/>
    <w:semiHidden/>
    <w:unhideWhenUsed/>
    <w:rsid w:val="000A2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5AA"/>
    <w:rPr>
      <w:rFonts w:ascii="Tahoma" w:hAnsi="Tahoma" w:cs="Tahoma"/>
      <w:sz w:val="16"/>
      <w:szCs w:val="16"/>
    </w:rPr>
  </w:style>
  <w:style w:type="character" w:styleId="CommentReference">
    <w:name w:val="annotation reference"/>
    <w:basedOn w:val="DefaultParagraphFont"/>
    <w:uiPriority w:val="99"/>
    <w:semiHidden/>
    <w:unhideWhenUsed/>
    <w:rsid w:val="000A25AA"/>
    <w:rPr>
      <w:sz w:val="16"/>
      <w:szCs w:val="16"/>
    </w:rPr>
  </w:style>
  <w:style w:type="paragraph" w:styleId="CommentText">
    <w:name w:val="annotation text"/>
    <w:basedOn w:val="Normal"/>
    <w:link w:val="CommentTextChar"/>
    <w:uiPriority w:val="99"/>
    <w:semiHidden/>
    <w:unhideWhenUsed/>
    <w:rsid w:val="000A25AA"/>
    <w:pPr>
      <w:spacing w:line="240" w:lineRule="auto"/>
    </w:pPr>
    <w:rPr>
      <w:sz w:val="20"/>
      <w:szCs w:val="20"/>
    </w:rPr>
  </w:style>
  <w:style w:type="character" w:customStyle="1" w:styleId="CommentTextChar">
    <w:name w:val="Comment Text Char"/>
    <w:basedOn w:val="DefaultParagraphFont"/>
    <w:link w:val="CommentText"/>
    <w:uiPriority w:val="99"/>
    <w:semiHidden/>
    <w:rsid w:val="000A25AA"/>
    <w:rPr>
      <w:sz w:val="20"/>
      <w:szCs w:val="20"/>
    </w:rPr>
  </w:style>
  <w:style w:type="paragraph" w:styleId="CommentSubject">
    <w:name w:val="annotation subject"/>
    <w:basedOn w:val="CommentText"/>
    <w:next w:val="CommentText"/>
    <w:link w:val="CommentSubjectChar"/>
    <w:uiPriority w:val="99"/>
    <w:semiHidden/>
    <w:unhideWhenUsed/>
    <w:rsid w:val="000A25AA"/>
    <w:rPr>
      <w:b/>
      <w:bCs/>
    </w:rPr>
  </w:style>
  <w:style w:type="character" w:customStyle="1" w:styleId="CommentSubjectChar">
    <w:name w:val="Comment Subject Char"/>
    <w:basedOn w:val="CommentTextChar"/>
    <w:link w:val="CommentSubject"/>
    <w:uiPriority w:val="99"/>
    <w:semiHidden/>
    <w:rsid w:val="000A25AA"/>
    <w:rPr>
      <w:b/>
      <w:bCs/>
      <w:sz w:val="20"/>
      <w:szCs w:val="20"/>
    </w:rPr>
  </w:style>
  <w:style w:type="paragraph" w:styleId="Header">
    <w:name w:val="header"/>
    <w:basedOn w:val="Normal"/>
    <w:link w:val="HeaderChar"/>
    <w:uiPriority w:val="99"/>
    <w:unhideWhenUsed/>
    <w:rsid w:val="000A25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25AA"/>
  </w:style>
  <w:style w:type="paragraph" w:styleId="Footer">
    <w:name w:val="footer"/>
    <w:basedOn w:val="Normal"/>
    <w:link w:val="FooterChar"/>
    <w:uiPriority w:val="99"/>
    <w:unhideWhenUsed/>
    <w:rsid w:val="000A25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5AA"/>
  </w:style>
  <w:style w:type="table" w:styleId="TableGrid">
    <w:name w:val="Table Grid"/>
    <w:basedOn w:val="TableNormal"/>
    <w:uiPriority w:val="59"/>
    <w:rsid w:val="000A2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1">
    <w:name w:val="Body 1"/>
    <w:rsid w:val="000A25AA"/>
    <w:pPr>
      <w:spacing w:after="0" w:line="240" w:lineRule="auto"/>
    </w:pPr>
    <w:rPr>
      <w:rFonts w:ascii="Helvetica" w:eastAsia="ヒラギノ角ゴ Pro W3" w:hAnsi="Helvetica" w:cs="Times New Roman"/>
      <w:color w:val="000000"/>
      <w:sz w:val="24"/>
      <w:szCs w:val="20"/>
    </w:rPr>
  </w:style>
  <w:style w:type="character" w:customStyle="1" w:styleId="Heading2Char">
    <w:name w:val="Heading 2 Char"/>
    <w:basedOn w:val="DefaultParagraphFont"/>
    <w:link w:val="Heading2"/>
    <w:uiPriority w:val="9"/>
    <w:rsid w:val="000A25A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A25AA"/>
    <w:rPr>
      <w:rFonts w:asciiTheme="majorHAnsi" w:eastAsiaTheme="majorEastAsia" w:hAnsiTheme="majorHAnsi" w:cstheme="majorBidi"/>
      <w:color w:val="243F60" w:themeColor="accent1" w:themeShade="7F"/>
      <w:sz w:val="24"/>
      <w:szCs w:val="24"/>
    </w:rPr>
  </w:style>
  <w:style w:type="paragraph" w:customStyle="1" w:styleId="PSCBodyText">
    <w:name w:val="PSC Body Text"/>
    <w:link w:val="PSCBodyTextChar"/>
    <w:qFormat/>
    <w:rsid w:val="000A25AA"/>
    <w:pPr>
      <w:tabs>
        <w:tab w:val="left" w:pos="720"/>
      </w:tabs>
      <w:spacing w:before="60" w:after="180" w:line="240" w:lineRule="auto"/>
      <w:jc w:val="both"/>
    </w:pPr>
    <w:rPr>
      <w:rFonts w:ascii="Arial" w:eastAsia="Times New Roman" w:hAnsi="Arial" w:cs="Times New Roman"/>
      <w:color w:val="404040" w:themeColor="text1" w:themeTint="BF"/>
      <w:sz w:val="20"/>
      <w:szCs w:val="20"/>
    </w:rPr>
  </w:style>
  <w:style w:type="character" w:customStyle="1" w:styleId="PSCBodyTextChar">
    <w:name w:val="PSC Body Text Char"/>
    <w:link w:val="PSCBodyText"/>
    <w:rsid w:val="000A25AA"/>
    <w:rPr>
      <w:rFonts w:ascii="Arial" w:eastAsia="Times New Roman" w:hAnsi="Arial" w:cs="Times New Roman"/>
      <w:color w:val="404040" w:themeColor="text1" w:themeTint="BF"/>
      <w:sz w:val="20"/>
      <w:szCs w:val="20"/>
    </w:rPr>
  </w:style>
  <w:style w:type="paragraph" w:customStyle="1" w:styleId="PSCBullet1">
    <w:name w:val="PSC Bullet1"/>
    <w:basedOn w:val="PSCBodyText"/>
    <w:qFormat/>
    <w:rsid w:val="000A25AA"/>
    <w:pPr>
      <w:numPr>
        <w:numId w:val="15"/>
      </w:numPr>
      <w:tabs>
        <w:tab w:val="left" w:pos="360"/>
      </w:tabs>
      <w:overflowPunct w:val="0"/>
      <w:autoSpaceDE w:val="0"/>
      <w:autoSpaceDN w:val="0"/>
      <w:adjustRightInd w:val="0"/>
      <w:spacing w:after="0"/>
      <w:textAlignment w:val="baseline"/>
    </w:pPr>
  </w:style>
  <w:style w:type="paragraph" w:customStyle="1" w:styleId="PSCBullet1Last">
    <w:name w:val="PSC Bullet1 Last"/>
    <w:basedOn w:val="PSCBullet1"/>
    <w:next w:val="Normal"/>
    <w:rsid w:val="000A25AA"/>
    <w:pPr>
      <w:numPr>
        <w:numId w:val="16"/>
      </w:numPr>
      <w:spacing w:after="360"/>
    </w:pPr>
  </w:style>
  <w:style w:type="paragraph" w:customStyle="1" w:styleId="PSCDate">
    <w:name w:val="PSC Date"/>
    <w:basedOn w:val="Normal"/>
    <w:next w:val="Normal"/>
    <w:rsid w:val="000A25AA"/>
    <w:pPr>
      <w:spacing w:before="60" w:after="0" w:line="240" w:lineRule="auto"/>
      <w:jc w:val="right"/>
    </w:pPr>
    <w:rPr>
      <w:rFonts w:ascii="Arial" w:eastAsia="Times New Roman" w:hAnsi="Arial" w:cs="Times New Roman"/>
      <w:sz w:val="28"/>
      <w:szCs w:val="24"/>
    </w:rPr>
  </w:style>
  <w:style w:type="paragraph" w:customStyle="1" w:styleId="PSCHeading1">
    <w:name w:val="PSC Heading1"/>
    <w:next w:val="Normal"/>
    <w:qFormat/>
    <w:rsid w:val="000A25AA"/>
    <w:pPr>
      <w:pBdr>
        <w:bottom w:val="single" w:sz="6" w:space="1" w:color="7F7F7F" w:themeColor="text1" w:themeTint="80"/>
      </w:pBdr>
      <w:spacing w:after="480" w:line="240" w:lineRule="auto"/>
      <w:jc w:val="center"/>
    </w:pPr>
    <w:rPr>
      <w:rFonts w:ascii="Arial" w:eastAsia="Helvetica" w:hAnsi="Arial" w:cs="Times New Roman"/>
      <w:b/>
      <w:color w:val="78B33A"/>
      <w:sz w:val="40"/>
      <w:szCs w:val="20"/>
    </w:rPr>
  </w:style>
  <w:style w:type="paragraph" w:customStyle="1" w:styleId="PSCHeading2">
    <w:name w:val="PSC Heading2"/>
    <w:next w:val="Normal"/>
    <w:qFormat/>
    <w:rsid w:val="000A25AA"/>
    <w:pPr>
      <w:keepNext/>
      <w:spacing w:before="360" w:after="60" w:line="240" w:lineRule="auto"/>
    </w:pPr>
    <w:rPr>
      <w:rFonts w:ascii="Arial" w:eastAsia="Times New Roman" w:hAnsi="Arial" w:cs="Times New Roman"/>
      <w:b/>
      <w:color w:val="78B33A"/>
      <w:sz w:val="28"/>
      <w:szCs w:val="20"/>
    </w:rPr>
  </w:style>
  <w:style w:type="paragraph" w:customStyle="1" w:styleId="PSCHeading3">
    <w:name w:val="PSC Heading3"/>
    <w:next w:val="PSCBodyText"/>
    <w:qFormat/>
    <w:rsid w:val="000A25AA"/>
    <w:pPr>
      <w:keepNext/>
      <w:spacing w:before="360" w:after="60" w:line="240" w:lineRule="auto"/>
    </w:pPr>
    <w:rPr>
      <w:rFonts w:ascii="Arial" w:eastAsia="Times New Roman" w:hAnsi="Arial" w:cs="Times New Roman"/>
      <w:b/>
      <w:i/>
      <w:sz w:val="24"/>
      <w:szCs w:val="20"/>
    </w:rPr>
  </w:style>
  <w:style w:type="paragraph" w:customStyle="1" w:styleId="PSCTableBullet">
    <w:name w:val="PSC Table Bullet"/>
    <w:basedOn w:val="Normal"/>
    <w:qFormat/>
    <w:rsid w:val="000A25AA"/>
    <w:pPr>
      <w:numPr>
        <w:numId w:val="17"/>
      </w:numPr>
      <w:tabs>
        <w:tab w:val="clear" w:pos="720"/>
      </w:tabs>
      <w:spacing w:after="0" w:line="240" w:lineRule="auto"/>
    </w:pPr>
    <w:rPr>
      <w:rFonts w:ascii="Arial" w:hAnsi="Arial" w:cs="Arial"/>
      <w:color w:val="404040" w:themeColor="text1" w:themeTint="BF"/>
      <w:sz w:val="18"/>
      <w:szCs w:val="18"/>
    </w:rPr>
  </w:style>
  <w:style w:type="paragraph" w:customStyle="1" w:styleId="PSCTableBullet2">
    <w:name w:val="PSC Table Bullet 2"/>
    <w:basedOn w:val="PSCTableBullet"/>
    <w:qFormat/>
    <w:rsid w:val="000A25AA"/>
    <w:pPr>
      <w:numPr>
        <w:numId w:val="18"/>
      </w:numPr>
    </w:pPr>
  </w:style>
  <w:style w:type="paragraph" w:styleId="Subtitle">
    <w:name w:val="Subtitle"/>
    <w:basedOn w:val="Normal"/>
    <w:next w:val="Normal"/>
    <w:link w:val="SubtitleChar"/>
    <w:uiPriority w:val="11"/>
    <w:qFormat/>
    <w:rsid w:val="000A25A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A25AA"/>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0A25AA"/>
    <w:rPr>
      <w:i/>
      <w:iCs/>
      <w:color w:val="808080" w:themeColor="text1" w:themeTint="7F"/>
    </w:rPr>
  </w:style>
  <w:style w:type="paragraph" w:styleId="Title">
    <w:name w:val="Title"/>
    <w:basedOn w:val="Normal"/>
    <w:next w:val="Normal"/>
    <w:link w:val="TitleChar"/>
    <w:uiPriority w:val="10"/>
    <w:qFormat/>
    <w:rsid w:val="000A25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25AA"/>
    <w:rPr>
      <w:rFonts w:asciiTheme="majorHAnsi" w:eastAsiaTheme="majorEastAsia" w:hAnsiTheme="majorHAnsi" w:cstheme="majorBidi"/>
      <w:color w:val="17365D" w:themeColor="text2" w:themeShade="BF"/>
      <w:spacing w:val="5"/>
      <w:kern w:val="28"/>
      <w:sz w:val="52"/>
      <w:szCs w:val="52"/>
    </w:rPr>
  </w:style>
  <w:style w:type="paragraph" w:customStyle="1" w:styleId="PSCAgendaHeading">
    <w:name w:val="PSC Agenda Heading"/>
    <w:basedOn w:val="Normal"/>
    <w:qFormat/>
    <w:rsid w:val="00C241A5"/>
    <w:pPr>
      <w:spacing w:before="40" w:after="40" w:line="240" w:lineRule="auto"/>
      <w:jc w:val="center"/>
    </w:pPr>
    <w:rPr>
      <w:rFonts w:ascii="Arial" w:hAnsi="Arial" w:cs="Arial"/>
      <w:b/>
      <w:color w:val="FFFFFF" w:themeColor="background1"/>
      <w:sz w:val="28"/>
      <w:szCs w:val="24"/>
    </w:rPr>
  </w:style>
  <w:style w:type="character" w:customStyle="1" w:styleId="il">
    <w:name w:val="il"/>
    <w:basedOn w:val="DefaultParagraphFont"/>
    <w:rsid w:val="00BA03CD"/>
  </w:style>
  <w:style w:type="table" w:customStyle="1" w:styleId="GridTable1Light">
    <w:name w:val="Grid Table 1 Light"/>
    <w:basedOn w:val="TableNormal"/>
    <w:uiPriority w:val="46"/>
    <w:rsid w:val="00FD67F7"/>
    <w:pPr>
      <w:spacing w:after="0" w:line="240" w:lineRule="auto"/>
    </w:pPr>
    <w:rPr>
      <w:rFonts w:ascii="Times New Roman" w:hAnsi="Times New Roman" w:cs="Times New Roman"/>
      <w:sz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7BD2"/>
  </w:style>
  <w:style w:type="paragraph" w:styleId="Heading1">
    <w:name w:val="heading 1"/>
    <w:basedOn w:val="Normal"/>
    <w:next w:val="Normal"/>
    <w:link w:val="Heading1Char"/>
    <w:uiPriority w:val="9"/>
    <w:qFormat/>
    <w:rsid w:val="000A25A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A25A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A25A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5AA"/>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0A25AA"/>
    <w:pPr>
      <w:ind w:left="720"/>
      <w:contextualSpacing/>
    </w:pPr>
  </w:style>
  <w:style w:type="paragraph" w:customStyle="1" w:styleId="PSCBullet2">
    <w:name w:val="PSC Bullet2"/>
    <w:basedOn w:val="Normal"/>
    <w:rsid w:val="00436731"/>
    <w:pPr>
      <w:numPr>
        <w:ilvl w:val="1"/>
        <w:numId w:val="1"/>
      </w:numPr>
    </w:pPr>
  </w:style>
  <w:style w:type="paragraph" w:styleId="BalloonText">
    <w:name w:val="Balloon Text"/>
    <w:basedOn w:val="Normal"/>
    <w:link w:val="BalloonTextChar"/>
    <w:uiPriority w:val="99"/>
    <w:semiHidden/>
    <w:unhideWhenUsed/>
    <w:rsid w:val="000A25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25AA"/>
    <w:rPr>
      <w:rFonts w:ascii="Tahoma" w:hAnsi="Tahoma" w:cs="Tahoma"/>
      <w:sz w:val="16"/>
      <w:szCs w:val="16"/>
    </w:rPr>
  </w:style>
  <w:style w:type="character" w:styleId="CommentReference">
    <w:name w:val="annotation reference"/>
    <w:basedOn w:val="DefaultParagraphFont"/>
    <w:uiPriority w:val="99"/>
    <w:semiHidden/>
    <w:unhideWhenUsed/>
    <w:rsid w:val="000A25AA"/>
    <w:rPr>
      <w:sz w:val="16"/>
      <w:szCs w:val="16"/>
    </w:rPr>
  </w:style>
  <w:style w:type="paragraph" w:styleId="CommentText">
    <w:name w:val="annotation text"/>
    <w:basedOn w:val="Normal"/>
    <w:link w:val="CommentTextChar"/>
    <w:uiPriority w:val="99"/>
    <w:semiHidden/>
    <w:unhideWhenUsed/>
    <w:rsid w:val="000A25AA"/>
    <w:pPr>
      <w:spacing w:line="240" w:lineRule="auto"/>
    </w:pPr>
    <w:rPr>
      <w:sz w:val="20"/>
      <w:szCs w:val="20"/>
    </w:rPr>
  </w:style>
  <w:style w:type="character" w:customStyle="1" w:styleId="CommentTextChar">
    <w:name w:val="Comment Text Char"/>
    <w:basedOn w:val="DefaultParagraphFont"/>
    <w:link w:val="CommentText"/>
    <w:uiPriority w:val="99"/>
    <w:semiHidden/>
    <w:rsid w:val="000A25AA"/>
    <w:rPr>
      <w:sz w:val="20"/>
      <w:szCs w:val="20"/>
    </w:rPr>
  </w:style>
  <w:style w:type="paragraph" w:styleId="CommentSubject">
    <w:name w:val="annotation subject"/>
    <w:basedOn w:val="CommentText"/>
    <w:next w:val="CommentText"/>
    <w:link w:val="CommentSubjectChar"/>
    <w:uiPriority w:val="99"/>
    <w:semiHidden/>
    <w:unhideWhenUsed/>
    <w:rsid w:val="000A25AA"/>
    <w:rPr>
      <w:b/>
      <w:bCs/>
    </w:rPr>
  </w:style>
  <w:style w:type="character" w:customStyle="1" w:styleId="CommentSubjectChar">
    <w:name w:val="Comment Subject Char"/>
    <w:basedOn w:val="CommentTextChar"/>
    <w:link w:val="CommentSubject"/>
    <w:uiPriority w:val="99"/>
    <w:semiHidden/>
    <w:rsid w:val="000A25AA"/>
    <w:rPr>
      <w:b/>
      <w:bCs/>
      <w:sz w:val="20"/>
      <w:szCs w:val="20"/>
    </w:rPr>
  </w:style>
  <w:style w:type="paragraph" w:styleId="Header">
    <w:name w:val="header"/>
    <w:basedOn w:val="Normal"/>
    <w:link w:val="HeaderChar"/>
    <w:uiPriority w:val="99"/>
    <w:unhideWhenUsed/>
    <w:rsid w:val="000A25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25AA"/>
  </w:style>
  <w:style w:type="paragraph" w:styleId="Footer">
    <w:name w:val="footer"/>
    <w:basedOn w:val="Normal"/>
    <w:link w:val="FooterChar"/>
    <w:uiPriority w:val="99"/>
    <w:unhideWhenUsed/>
    <w:rsid w:val="000A25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25AA"/>
  </w:style>
  <w:style w:type="table" w:styleId="TableGrid">
    <w:name w:val="Table Grid"/>
    <w:basedOn w:val="TableNormal"/>
    <w:uiPriority w:val="59"/>
    <w:rsid w:val="000A2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1">
    <w:name w:val="Body 1"/>
    <w:rsid w:val="000A25AA"/>
    <w:pPr>
      <w:spacing w:after="0" w:line="240" w:lineRule="auto"/>
    </w:pPr>
    <w:rPr>
      <w:rFonts w:ascii="Helvetica" w:eastAsia="ヒラギノ角ゴ Pro W3" w:hAnsi="Helvetica" w:cs="Times New Roman"/>
      <w:color w:val="000000"/>
      <w:sz w:val="24"/>
      <w:szCs w:val="20"/>
    </w:rPr>
  </w:style>
  <w:style w:type="character" w:customStyle="1" w:styleId="Heading2Char">
    <w:name w:val="Heading 2 Char"/>
    <w:basedOn w:val="DefaultParagraphFont"/>
    <w:link w:val="Heading2"/>
    <w:uiPriority w:val="9"/>
    <w:rsid w:val="000A25A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0A25AA"/>
    <w:rPr>
      <w:rFonts w:asciiTheme="majorHAnsi" w:eastAsiaTheme="majorEastAsia" w:hAnsiTheme="majorHAnsi" w:cstheme="majorBidi"/>
      <w:color w:val="243F60" w:themeColor="accent1" w:themeShade="7F"/>
      <w:sz w:val="24"/>
      <w:szCs w:val="24"/>
    </w:rPr>
  </w:style>
  <w:style w:type="paragraph" w:customStyle="1" w:styleId="PSCBodyText">
    <w:name w:val="PSC Body Text"/>
    <w:link w:val="PSCBodyTextChar"/>
    <w:qFormat/>
    <w:rsid w:val="000A25AA"/>
    <w:pPr>
      <w:tabs>
        <w:tab w:val="left" w:pos="720"/>
      </w:tabs>
      <w:spacing w:before="60" w:after="180" w:line="240" w:lineRule="auto"/>
      <w:jc w:val="both"/>
    </w:pPr>
    <w:rPr>
      <w:rFonts w:ascii="Arial" w:eastAsia="Times New Roman" w:hAnsi="Arial" w:cs="Times New Roman"/>
      <w:color w:val="404040" w:themeColor="text1" w:themeTint="BF"/>
      <w:sz w:val="20"/>
      <w:szCs w:val="20"/>
    </w:rPr>
  </w:style>
  <w:style w:type="character" w:customStyle="1" w:styleId="PSCBodyTextChar">
    <w:name w:val="PSC Body Text Char"/>
    <w:link w:val="PSCBodyText"/>
    <w:rsid w:val="000A25AA"/>
    <w:rPr>
      <w:rFonts w:ascii="Arial" w:eastAsia="Times New Roman" w:hAnsi="Arial" w:cs="Times New Roman"/>
      <w:color w:val="404040" w:themeColor="text1" w:themeTint="BF"/>
      <w:sz w:val="20"/>
      <w:szCs w:val="20"/>
    </w:rPr>
  </w:style>
  <w:style w:type="paragraph" w:customStyle="1" w:styleId="PSCBullet1">
    <w:name w:val="PSC Bullet1"/>
    <w:basedOn w:val="PSCBodyText"/>
    <w:qFormat/>
    <w:rsid w:val="000A25AA"/>
    <w:pPr>
      <w:numPr>
        <w:numId w:val="15"/>
      </w:numPr>
      <w:tabs>
        <w:tab w:val="left" w:pos="360"/>
      </w:tabs>
      <w:overflowPunct w:val="0"/>
      <w:autoSpaceDE w:val="0"/>
      <w:autoSpaceDN w:val="0"/>
      <w:adjustRightInd w:val="0"/>
      <w:spacing w:after="0"/>
      <w:textAlignment w:val="baseline"/>
    </w:pPr>
  </w:style>
  <w:style w:type="paragraph" w:customStyle="1" w:styleId="PSCBullet1Last">
    <w:name w:val="PSC Bullet1 Last"/>
    <w:basedOn w:val="PSCBullet1"/>
    <w:next w:val="Normal"/>
    <w:rsid w:val="000A25AA"/>
    <w:pPr>
      <w:numPr>
        <w:numId w:val="16"/>
      </w:numPr>
      <w:spacing w:after="360"/>
    </w:pPr>
  </w:style>
  <w:style w:type="paragraph" w:customStyle="1" w:styleId="PSCDate">
    <w:name w:val="PSC Date"/>
    <w:basedOn w:val="Normal"/>
    <w:next w:val="Normal"/>
    <w:rsid w:val="000A25AA"/>
    <w:pPr>
      <w:spacing w:before="60" w:after="0" w:line="240" w:lineRule="auto"/>
      <w:jc w:val="right"/>
    </w:pPr>
    <w:rPr>
      <w:rFonts w:ascii="Arial" w:eastAsia="Times New Roman" w:hAnsi="Arial" w:cs="Times New Roman"/>
      <w:sz w:val="28"/>
      <w:szCs w:val="24"/>
    </w:rPr>
  </w:style>
  <w:style w:type="paragraph" w:customStyle="1" w:styleId="PSCHeading1">
    <w:name w:val="PSC Heading1"/>
    <w:next w:val="Normal"/>
    <w:qFormat/>
    <w:rsid w:val="000A25AA"/>
    <w:pPr>
      <w:pBdr>
        <w:bottom w:val="single" w:sz="6" w:space="1" w:color="7F7F7F" w:themeColor="text1" w:themeTint="80"/>
      </w:pBdr>
      <w:spacing w:after="480" w:line="240" w:lineRule="auto"/>
      <w:jc w:val="center"/>
    </w:pPr>
    <w:rPr>
      <w:rFonts w:ascii="Arial" w:eastAsia="Helvetica" w:hAnsi="Arial" w:cs="Times New Roman"/>
      <w:b/>
      <w:color w:val="78B33A"/>
      <w:sz w:val="40"/>
      <w:szCs w:val="20"/>
    </w:rPr>
  </w:style>
  <w:style w:type="paragraph" w:customStyle="1" w:styleId="PSCHeading2">
    <w:name w:val="PSC Heading2"/>
    <w:next w:val="Normal"/>
    <w:qFormat/>
    <w:rsid w:val="000A25AA"/>
    <w:pPr>
      <w:keepNext/>
      <w:spacing w:before="360" w:after="60" w:line="240" w:lineRule="auto"/>
    </w:pPr>
    <w:rPr>
      <w:rFonts w:ascii="Arial" w:eastAsia="Times New Roman" w:hAnsi="Arial" w:cs="Times New Roman"/>
      <w:b/>
      <w:color w:val="78B33A"/>
      <w:sz w:val="28"/>
      <w:szCs w:val="20"/>
    </w:rPr>
  </w:style>
  <w:style w:type="paragraph" w:customStyle="1" w:styleId="PSCHeading3">
    <w:name w:val="PSC Heading3"/>
    <w:next w:val="PSCBodyText"/>
    <w:qFormat/>
    <w:rsid w:val="000A25AA"/>
    <w:pPr>
      <w:keepNext/>
      <w:spacing w:before="360" w:after="60" w:line="240" w:lineRule="auto"/>
    </w:pPr>
    <w:rPr>
      <w:rFonts w:ascii="Arial" w:eastAsia="Times New Roman" w:hAnsi="Arial" w:cs="Times New Roman"/>
      <w:b/>
      <w:i/>
      <w:sz w:val="24"/>
      <w:szCs w:val="20"/>
    </w:rPr>
  </w:style>
  <w:style w:type="paragraph" w:customStyle="1" w:styleId="PSCTableBullet">
    <w:name w:val="PSC Table Bullet"/>
    <w:basedOn w:val="Normal"/>
    <w:qFormat/>
    <w:rsid w:val="000A25AA"/>
    <w:pPr>
      <w:numPr>
        <w:numId w:val="17"/>
      </w:numPr>
      <w:tabs>
        <w:tab w:val="clear" w:pos="720"/>
      </w:tabs>
      <w:spacing w:after="0" w:line="240" w:lineRule="auto"/>
    </w:pPr>
    <w:rPr>
      <w:rFonts w:ascii="Arial" w:hAnsi="Arial" w:cs="Arial"/>
      <w:color w:val="404040" w:themeColor="text1" w:themeTint="BF"/>
      <w:sz w:val="18"/>
      <w:szCs w:val="18"/>
    </w:rPr>
  </w:style>
  <w:style w:type="paragraph" w:customStyle="1" w:styleId="PSCTableBullet2">
    <w:name w:val="PSC Table Bullet 2"/>
    <w:basedOn w:val="PSCTableBullet"/>
    <w:qFormat/>
    <w:rsid w:val="000A25AA"/>
    <w:pPr>
      <w:numPr>
        <w:numId w:val="18"/>
      </w:numPr>
    </w:pPr>
  </w:style>
  <w:style w:type="paragraph" w:styleId="Subtitle">
    <w:name w:val="Subtitle"/>
    <w:basedOn w:val="Normal"/>
    <w:next w:val="Normal"/>
    <w:link w:val="SubtitleChar"/>
    <w:uiPriority w:val="11"/>
    <w:qFormat/>
    <w:rsid w:val="000A25AA"/>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A25AA"/>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qFormat/>
    <w:rsid w:val="000A25AA"/>
    <w:rPr>
      <w:i/>
      <w:iCs/>
      <w:color w:val="808080" w:themeColor="text1" w:themeTint="7F"/>
    </w:rPr>
  </w:style>
  <w:style w:type="paragraph" w:styleId="Title">
    <w:name w:val="Title"/>
    <w:basedOn w:val="Normal"/>
    <w:next w:val="Normal"/>
    <w:link w:val="TitleChar"/>
    <w:uiPriority w:val="10"/>
    <w:qFormat/>
    <w:rsid w:val="000A25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A25AA"/>
    <w:rPr>
      <w:rFonts w:asciiTheme="majorHAnsi" w:eastAsiaTheme="majorEastAsia" w:hAnsiTheme="majorHAnsi" w:cstheme="majorBidi"/>
      <w:color w:val="17365D" w:themeColor="text2" w:themeShade="BF"/>
      <w:spacing w:val="5"/>
      <w:kern w:val="28"/>
      <w:sz w:val="52"/>
      <w:szCs w:val="52"/>
    </w:rPr>
  </w:style>
  <w:style w:type="paragraph" w:customStyle="1" w:styleId="PSCAgendaHeading">
    <w:name w:val="PSC Agenda Heading"/>
    <w:basedOn w:val="Normal"/>
    <w:qFormat/>
    <w:rsid w:val="00C241A5"/>
    <w:pPr>
      <w:spacing w:before="40" w:after="40" w:line="240" w:lineRule="auto"/>
      <w:jc w:val="center"/>
    </w:pPr>
    <w:rPr>
      <w:rFonts w:ascii="Arial" w:hAnsi="Arial" w:cs="Arial"/>
      <w:b/>
      <w:color w:val="FFFFFF" w:themeColor="background1"/>
      <w:sz w:val="28"/>
      <w:szCs w:val="24"/>
    </w:rPr>
  </w:style>
  <w:style w:type="character" w:customStyle="1" w:styleId="il">
    <w:name w:val="il"/>
    <w:basedOn w:val="DefaultParagraphFont"/>
    <w:rsid w:val="00BA03CD"/>
  </w:style>
  <w:style w:type="table" w:customStyle="1" w:styleId="GridTable1Light">
    <w:name w:val="Grid Table 1 Light"/>
    <w:basedOn w:val="TableNormal"/>
    <w:uiPriority w:val="46"/>
    <w:rsid w:val="00FD67F7"/>
    <w:pPr>
      <w:spacing w:after="0" w:line="240" w:lineRule="auto"/>
    </w:pPr>
    <w:rPr>
      <w:rFonts w:ascii="Times New Roman" w:hAnsi="Times New Roman" w:cs="Times New Roman"/>
      <w:sz w:val="24"/>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685276">
      <w:bodyDiv w:val="1"/>
      <w:marLeft w:val="0"/>
      <w:marRight w:val="0"/>
      <w:marTop w:val="0"/>
      <w:marBottom w:val="0"/>
      <w:divBdr>
        <w:top w:val="none" w:sz="0" w:space="0" w:color="auto"/>
        <w:left w:val="none" w:sz="0" w:space="0" w:color="auto"/>
        <w:bottom w:val="none" w:sz="0" w:space="0" w:color="auto"/>
        <w:right w:val="none" w:sz="0" w:space="0" w:color="auto"/>
      </w:divBdr>
      <w:divsChild>
        <w:div w:id="242300799">
          <w:marLeft w:val="0"/>
          <w:marRight w:val="0"/>
          <w:marTop w:val="0"/>
          <w:marBottom w:val="0"/>
          <w:divBdr>
            <w:top w:val="none" w:sz="0" w:space="0" w:color="auto"/>
            <w:left w:val="none" w:sz="0" w:space="0" w:color="auto"/>
            <w:bottom w:val="none" w:sz="0" w:space="0" w:color="auto"/>
            <w:right w:val="none" w:sz="0" w:space="0" w:color="auto"/>
          </w:divBdr>
        </w:div>
        <w:div w:id="581449526">
          <w:marLeft w:val="0"/>
          <w:marRight w:val="0"/>
          <w:marTop w:val="0"/>
          <w:marBottom w:val="0"/>
          <w:divBdr>
            <w:top w:val="none" w:sz="0" w:space="0" w:color="auto"/>
            <w:left w:val="none" w:sz="0" w:space="0" w:color="auto"/>
            <w:bottom w:val="none" w:sz="0" w:space="0" w:color="auto"/>
            <w:right w:val="none" w:sz="0" w:space="0" w:color="auto"/>
          </w:divBdr>
        </w:div>
        <w:div w:id="1006593161">
          <w:marLeft w:val="0"/>
          <w:marRight w:val="0"/>
          <w:marTop w:val="0"/>
          <w:marBottom w:val="0"/>
          <w:divBdr>
            <w:top w:val="none" w:sz="0" w:space="0" w:color="auto"/>
            <w:left w:val="none" w:sz="0" w:space="0" w:color="auto"/>
            <w:bottom w:val="none" w:sz="0" w:space="0" w:color="auto"/>
            <w:right w:val="none" w:sz="0" w:space="0" w:color="auto"/>
          </w:divBdr>
        </w:div>
        <w:div w:id="2025090412">
          <w:marLeft w:val="0"/>
          <w:marRight w:val="0"/>
          <w:marTop w:val="0"/>
          <w:marBottom w:val="0"/>
          <w:divBdr>
            <w:top w:val="none" w:sz="0" w:space="0" w:color="auto"/>
            <w:left w:val="none" w:sz="0" w:space="0" w:color="auto"/>
            <w:bottom w:val="none" w:sz="0" w:space="0" w:color="auto"/>
            <w:right w:val="none" w:sz="0" w:space="0" w:color="auto"/>
          </w:divBdr>
        </w:div>
        <w:div w:id="1993632562">
          <w:marLeft w:val="0"/>
          <w:marRight w:val="0"/>
          <w:marTop w:val="0"/>
          <w:marBottom w:val="0"/>
          <w:divBdr>
            <w:top w:val="none" w:sz="0" w:space="0" w:color="auto"/>
            <w:left w:val="none" w:sz="0" w:space="0" w:color="auto"/>
            <w:bottom w:val="none" w:sz="0" w:space="0" w:color="auto"/>
            <w:right w:val="none" w:sz="0" w:space="0" w:color="auto"/>
          </w:divBdr>
        </w:div>
        <w:div w:id="1970624238">
          <w:marLeft w:val="0"/>
          <w:marRight w:val="0"/>
          <w:marTop w:val="0"/>
          <w:marBottom w:val="0"/>
          <w:divBdr>
            <w:top w:val="none" w:sz="0" w:space="0" w:color="auto"/>
            <w:left w:val="none" w:sz="0" w:space="0" w:color="auto"/>
            <w:bottom w:val="none" w:sz="0" w:space="0" w:color="auto"/>
            <w:right w:val="none" w:sz="0" w:space="0" w:color="auto"/>
          </w:divBdr>
        </w:div>
        <w:div w:id="315958057">
          <w:marLeft w:val="0"/>
          <w:marRight w:val="0"/>
          <w:marTop w:val="0"/>
          <w:marBottom w:val="0"/>
          <w:divBdr>
            <w:top w:val="none" w:sz="0" w:space="0" w:color="auto"/>
            <w:left w:val="none" w:sz="0" w:space="0" w:color="auto"/>
            <w:bottom w:val="none" w:sz="0" w:space="0" w:color="auto"/>
            <w:right w:val="none" w:sz="0" w:space="0" w:color="auto"/>
          </w:divBdr>
        </w:div>
        <w:div w:id="1941796670">
          <w:marLeft w:val="0"/>
          <w:marRight w:val="0"/>
          <w:marTop w:val="0"/>
          <w:marBottom w:val="0"/>
          <w:divBdr>
            <w:top w:val="none" w:sz="0" w:space="0" w:color="auto"/>
            <w:left w:val="none" w:sz="0" w:space="0" w:color="auto"/>
            <w:bottom w:val="none" w:sz="0" w:space="0" w:color="auto"/>
            <w:right w:val="none" w:sz="0" w:space="0" w:color="auto"/>
          </w:divBdr>
        </w:div>
        <w:div w:id="1133208522">
          <w:marLeft w:val="0"/>
          <w:marRight w:val="0"/>
          <w:marTop w:val="0"/>
          <w:marBottom w:val="0"/>
          <w:divBdr>
            <w:top w:val="none" w:sz="0" w:space="0" w:color="auto"/>
            <w:left w:val="none" w:sz="0" w:space="0" w:color="auto"/>
            <w:bottom w:val="none" w:sz="0" w:space="0" w:color="auto"/>
            <w:right w:val="none" w:sz="0" w:space="0" w:color="auto"/>
          </w:divBdr>
        </w:div>
        <w:div w:id="1587493563">
          <w:marLeft w:val="0"/>
          <w:marRight w:val="0"/>
          <w:marTop w:val="0"/>
          <w:marBottom w:val="0"/>
          <w:divBdr>
            <w:top w:val="none" w:sz="0" w:space="0" w:color="auto"/>
            <w:left w:val="none" w:sz="0" w:space="0" w:color="auto"/>
            <w:bottom w:val="none" w:sz="0" w:space="0" w:color="auto"/>
            <w:right w:val="none" w:sz="0" w:space="0" w:color="auto"/>
          </w:divBdr>
        </w:div>
        <w:div w:id="984360103">
          <w:marLeft w:val="0"/>
          <w:marRight w:val="0"/>
          <w:marTop w:val="0"/>
          <w:marBottom w:val="0"/>
          <w:divBdr>
            <w:top w:val="none" w:sz="0" w:space="0" w:color="auto"/>
            <w:left w:val="none" w:sz="0" w:space="0" w:color="auto"/>
            <w:bottom w:val="none" w:sz="0" w:space="0" w:color="auto"/>
            <w:right w:val="none" w:sz="0" w:space="0" w:color="auto"/>
          </w:divBdr>
        </w:div>
        <w:div w:id="591860651">
          <w:marLeft w:val="0"/>
          <w:marRight w:val="0"/>
          <w:marTop w:val="0"/>
          <w:marBottom w:val="0"/>
          <w:divBdr>
            <w:top w:val="none" w:sz="0" w:space="0" w:color="auto"/>
            <w:left w:val="none" w:sz="0" w:space="0" w:color="auto"/>
            <w:bottom w:val="none" w:sz="0" w:space="0" w:color="auto"/>
            <w:right w:val="none" w:sz="0" w:space="0" w:color="auto"/>
          </w:divBdr>
        </w:div>
      </w:divsChild>
    </w:div>
    <w:div w:id="452795812">
      <w:bodyDiv w:val="1"/>
      <w:marLeft w:val="0"/>
      <w:marRight w:val="0"/>
      <w:marTop w:val="0"/>
      <w:marBottom w:val="0"/>
      <w:divBdr>
        <w:top w:val="none" w:sz="0" w:space="0" w:color="auto"/>
        <w:left w:val="none" w:sz="0" w:space="0" w:color="auto"/>
        <w:bottom w:val="none" w:sz="0" w:space="0" w:color="auto"/>
        <w:right w:val="none" w:sz="0" w:space="0" w:color="auto"/>
      </w:divBdr>
      <w:divsChild>
        <w:div w:id="1158421084">
          <w:marLeft w:val="0"/>
          <w:marRight w:val="0"/>
          <w:marTop w:val="0"/>
          <w:marBottom w:val="0"/>
          <w:divBdr>
            <w:top w:val="none" w:sz="0" w:space="0" w:color="auto"/>
            <w:left w:val="none" w:sz="0" w:space="0" w:color="auto"/>
            <w:bottom w:val="none" w:sz="0" w:space="0" w:color="auto"/>
            <w:right w:val="none" w:sz="0" w:space="0" w:color="auto"/>
          </w:divBdr>
        </w:div>
        <w:div w:id="5182563">
          <w:marLeft w:val="0"/>
          <w:marRight w:val="0"/>
          <w:marTop w:val="0"/>
          <w:marBottom w:val="0"/>
          <w:divBdr>
            <w:top w:val="none" w:sz="0" w:space="0" w:color="auto"/>
            <w:left w:val="none" w:sz="0" w:space="0" w:color="auto"/>
            <w:bottom w:val="none" w:sz="0" w:space="0" w:color="auto"/>
            <w:right w:val="none" w:sz="0" w:space="0" w:color="auto"/>
          </w:divBdr>
        </w:div>
      </w:divsChild>
    </w:div>
    <w:div w:id="641155681">
      <w:bodyDiv w:val="1"/>
      <w:marLeft w:val="0"/>
      <w:marRight w:val="0"/>
      <w:marTop w:val="0"/>
      <w:marBottom w:val="0"/>
      <w:divBdr>
        <w:top w:val="none" w:sz="0" w:space="0" w:color="auto"/>
        <w:left w:val="none" w:sz="0" w:space="0" w:color="auto"/>
        <w:bottom w:val="none" w:sz="0" w:space="0" w:color="auto"/>
        <w:right w:val="none" w:sz="0" w:space="0" w:color="auto"/>
      </w:divBdr>
      <w:divsChild>
        <w:div w:id="1093403803">
          <w:marLeft w:val="0"/>
          <w:marRight w:val="0"/>
          <w:marTop w:val="0"/>
          <w:marBottom w:val="0"/>
          <w:divBdr>
            <w:top w:val="none" w:sz="0" w:space="0" w:color="auto"/>
            <w:left w:val="none" w:sz="0" w:space="0" w:color="auto"/>
            <w:bottom w:val="none" w:sz="0" w:space="0" w:color="auto"/>
            <w:right w:val="none" w:sz="0" w:space="0" w:color="auto"/>
          </w:divBdr>
        </w:div>
        <w:div w:id="1140851993">
          <w:marLeft w:val="0"/>
          <w:marRight w:val="0"/>
          <w:marTop w:val="0"/>
          <w:marBottom w:val="0"/>
          <w:divBdr>
            <w:top w:val="none" w:sz="0" w:space="0" w:color="auto"/>
            <w:left w:val="none" w:sz="0" w:space="0" w:color="auto"/>
            <w:bottom w:val="none" w:sz="0" w:space="0" w:color="auto"/>
            <w:right w:val="none" w:sz="0" w:space="0" w:color="auto"/>
          </w:divBdr>
        </w:div>
      </w:divsChild>
    </w:div>
    <w:div w:id="798449413">
      <w:bodyDiv w:val="1"/>
      <w:marLeft w:val="0"/>
      <w:marRight w:val="0"/>
      <w:marTop w:val="0"/>
      <w:marBottom w:val="0"/>
      <w:divBdr>
        <w:top w:val="none" w:sz="0" w:space="0" w:color="auto"/>
        <w:left w:val="none" w:sz="0" w:space="0" w:color="auto"/>
        <w:bottom w:val="none" w:sz="0" w:space="0" w:color="auto"/>
        <w:right w:val="none" w:sz="0" w:space="0" w:color="auto"/>
      </w:divBdr>
    </w:div>
    <w:div w:id="1077556426">
      <w:bodyDiv w:val="1"/>
      <w:marLeft w:val="0"/>
      <w:marRight w:val="0"/>
      <w:marTop w:val="0"/>
      <w:marBottom w:val="0"/>
      <w:divBdr>
        <w:top w:val="none" w:sz="0" w:space="0" w:color="auto"/>
        <w:left w:val="none" w:sz="0" w:space="0" w:color="auto"/>
        <w:bottom w:val="none" w:sz="0" w:space="0" w:color="auto"/>
        <w:right w:val="none" w:sz="0" w:space="0" w:color="auto"/>
      </w:divBdr>
      <w:divsChild>
        <w:div w:id="19818421">
          <w:marLeft w:val="0"/>
          <w:marRight w:val="0"/>
          <w:marTop w:val="0"/>
          <w:marBottom w:val="0"/>
          <w:divBdr>
            <w:top w:val="none" w:sz="0" w:space="0" w:color="auto"/>
            <w:left w:val="none" w:sz="0" w:space="0" w:color="auto"/>
            <w:bottom w:val="none" w:sz="0" w:space="0" w:color="auto"/>
            <w:right w:val="none" w:sz="0" w:space="0" w:color="auto"/>
          </w:divBdr>
        </w:div>
      </w:divsChild>
    </w:div>
    <w:div w:id="1204056670">
      <w:bodyDiv w:val="1"/>
      <w:marLeft w:val="0"/>
      <w:marRight w:val="0"/>
      <w:marTop w:val="0"/>
      <w:marBottom w:val="0"/>
      <w:divBdr>
        <w:top w:val="none" w:sz="0" w:space="0" w:color="auto"/>
        <w:left w:val="none" w:sz="0" w:space="0" w:color="auto"/>
        <w:bottom w:val="none" w:sz="0" w:space="0" w:color="auto"/>
        <w:right w:val="none" w:sz="0" w:space="0" w:color="auto"/>
      </w:divBdr>
      <w:divsChild>
        <w:div w:id="1473786001">
          <w:marLeft w:val="0"/>
          <w:marRight w:val="0"/>
          <w:marTop w:val="0"/>
          <w:marBottom w:val="0"/>
          <w:divBdr>
            <w:top w:val="none" w:sz="0" w:space="0" w:color="auto"/>
            <w:left w:val="none" w:sz="0" w:space="0" w:color="auto"/>
            <w:bottom w:val="none" w:sz="0" w:space="0" w:color="auto"/>
            <w:right w:val="none" w:sz="0" w:space="0" w:color="auto"/>
          </w:divBdr>
        </w:div>
        <w:div w:id="1314067509">
          <w:marLeft w:val="0"/>
          <w:marRight w:val="0"/>
          <w:marTop w:val="0"/>
          <w:marBottom w:val="0"/>
          <w:divBdr>
            <w:top w:val="none" w:sz="0" w:space="0" w:color="auto"/>
            <w:left w:val="none" w:sz="0" w:space="0" w:color="auto"/>
            <w:bottom w:val="none" w:sz="0" w:space="0" w:color="auto"/>
            <w:right w:val="none" w:sz="0" w:space="0" w:color="auto"/>
          </w:divBdr>
        </w:div>
      </w:divsChild>
    </w:div>
    <w:div w:id="1446730176">
      <w:bodyDiv w:val="1"/>
      <w:marLeft w:val="0"/>
      <w:marRight w:val="0"/>
      <w:marTop w:val="0"/>
      <w:marBottom w:val="0"/>
      <w:divBdr>
        <w:top w:val="none" w:sz="0" w:space="0" w:color="auto"/>
        <w:left w:val="none" w:sz="0" w:space="0" w:color="auto"/>
        <w:bottom w:val="none" w:sz="0" w:space="0" w:color="auto"/>
        <w:right w:val="none" w:sz="0" w:space="0" w:color="auto"/>
      </w:divBdr>
    </w:div>
    <w:div w:id="1464932372">
      <w:bodyDiv w:val="1"/>
      <w:marLeft w:val="0"/>
      <w:marRight w:val="0"/>
      <w:marTop w:val="0"/>
      <w:marBottom w:val="0"/>
      <w:divBdr>
        <w:top w:val="none" w:sz="0" w:space="0" w:color="auto"/>
        <w:left w:val="none" w:sz="0" w:space="0" w:color="auto"/>
        <w:bottom w:val="none" w:sz="0" w:space="0" w:color="auto"/>
        <w:right w:val="none" w:sz="0" w:space="0" w:color="auto"/>
      </w:divBdr>
      <w:divsChild>
        <w:div w:id="533159644">
          <w:marLeft w:val="0"/>
          <w:marRight w:val="0"/>
          <w:marTop w:val="0"/>
          <w:marBottom w:val="0"/>
          <w:divBdr>
            <w:top w:val="none" w:sz="0" w:space="0" w:color="auto"/>
            <w:left w:val="none" w:sz="0" w:space="0" w:color="auto"/>
            <w:bottom w:val="none" w:sz="0" w:space="0" w:color="auto"/>
            <w:right w:val="none" w:sz="0" w:space="0" w:color="auto"/>
          </w:divBdr>
        </w:div>
        <w:div w:id="925068902">
          <w:marLeft w:val="0"/>
          <w:marRight w:val="0"/>
          <w:marTop w:val="0"/>
          <w:marBottom w:val="0"/>
          <w:divBdr>
            <w:top w:val="none" w:sz="0" w:space="0" w:color="auto"/>
            <w:left w:val="none" w:sz="0" w:space="0" w:color="auto"/>
            <w:bottom w:val="none" w:sz="0" w:space="0" w:color="auto"/>
            <w:right w:val="none" w:sz="0" w:space="0" w:color="auto"/>
          </w:divBdr>
        </w:div>
      </w:divsChild>
    </w:div>
    <w:div w:id="1674259721">
      <w:bodyDiv w:val="1"/>
      <w:marLeft w:val="0"/>
      <w:marRight w:val="0"/>
      <w:marTop w:val="0"/>
      <w:marBottom w:val="0"/>
      <w:divBdr>
        <w:top w:val="none" w:sz="0" w:space="0" w:color="auto"/>
        <w:left w:val="none" w:sz="0" w:space="0" w:color="auto"/>
        <w:bottom w:val="none" w:sz="0" w:space="0" w:color="auto"/>
        <w:right w:val="none" w:sz="0" w:space="0" w:color="auto"/>
      </w:divBdr>
    </w:div>
    <w:div w:id="1990792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02EF5F825D1954393A62382D007EDE5" ma:contentTypeVersion="0" ma:contentTypeDescription="Create a new document." ma:contentTypeScope="" ma:versionID="6a813e858d79f41a905e65bc36bc6b01">
  <xsd:schema xmlns:xsd="http://www.w3.org/2001/XMLSchema" xmlns:xs="http://www.w3.org/2001/XMLSchema" xmlns:p="http://schemas.microsoft.com/office/2006/metadata/properties" targetNamespace="http://schemas.microsoft.com/office/2006/metadata/properties" ma:root="true" ma:fieldsID="6694d819ad15601d074eedc6a305143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73C7B1F-5C97-42A0-8ACB-FC3B1739605E}"/>
</file>

<file path=customXml/itemProps2.xml><?xml version="1.0" encoding="utf-8"?>
<ds:datastoreItem xmlns:ds="http://schemas.openxmlformats.org/officeDocument/2006/customXml" ds:itemID="{2EA56F21-53E1-4750-8919-7AEBEDEAE0D3}"/>
</file>

<file path=customXml/itemProps3.xml><?xml version="1.0" encoding="utf-8"?>
<ds:datastoreItem xmlns:ds="http://schemas.openxmlformats.org/officeDocument/2006/customXml" ds:itemID="{A83DC593-B550-4F20-BCF0-48B415989EF8}"/>
</file>

<file path=customXml/itemProps4.xml><?xml version="1.0" encoding="utf-8"?>
<ds:datastoreItem xmlns:ds="http://schemas.openxmlformats.org/officeDocument/2006/customXml" ds:itemID="{9425004A-0F49-4F63-81E7-2206769B4CDB}"/>
</file>

<file path=docProps/app.xml><?xml version="1.0" encoding="utf-8"?>
<Properties xmlns="http://schemas.openxmlformats.org/officeDocument/2006/extended-properties" xmlns:vt="http://schemas.openxmlformats.org/officeDocument/2006/docPropsVTypes">
  <Template>Normal</Template>
  <TotalTime>1</TotalTime>
  <Pages>3</Pages>
  <Words>840</Words>
  <Characters>4794</Characters>
  <Application>Microsoft Office Word</Application>
  <DocSecurity>4</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5623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Shanna Draheim</dc:creator>
  <cp:lastModifiedBy>STACIE M. TELLO</cp:lastModifiedBy>
  <cp:revision>2</cp:revision>
  <cp:lastPrinted>2016-02-15T14:58:00Z</cp:lastPrinted>
  <dcterms:created xsi:type="dcterms:W3CDTF">2016-02-19T22:58:00Z</dcterms:created>
  <dcterms:modified xsi:type="dcterms:W3CDTF">2016-02-19T22:58:00Z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0x010100602EF5F825D1954393A62382D007EDE5</vt:lpwstr>
  </property>
</Properties>
</file>