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rFonts w:ascii="Arial" w:hAnsi="Arial" w:cs="Arial"/>
          <w:b w:val="0"/>
          <w:i w:val="0"/>
          <w:color w:val="1F2430"/>
          <w:sz w:val="25"/>
        </w:rPr>
      </w:r>
    </w:p>
    <w:tbl>
      <w:tblPr>
        <w:tblW w:type="dxa" w:w="9936"/>
        <w:jc w:val="center"/>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380" w:type="dxa"/>
              <w:left w:w="200" w:type="dxa"/>
              <w:bottom w:w="340" w:type="dxa"/>
              <w:right w:w="200" w:type="dxa"/>
            </w:tcMar>
          </w:tcPr>
          <w:p>
            <w:pPr>
              <w:spacing w:after="60" w:before="0"/>
              <w:jc w:val="center"/>
            </w:pPr>
            <w:r/>
            <w:r>
              <w:rPr>
                <w:rFonts w:ascii="Arial" w:hAnsi="Arial" w:cs="Arial"/>
                <w:b/>
                <w:i w:val="0"/>
                <w:color w:val="F08A24"/>
                <w:sz w:val="18"/>
              </w:rPr>
              <w:t>369ai</w:t>
            </w:r>
          </w:p>
          <w:p>
            <w:pPr>
              <w:spacing w:after="280" w:before="0"/>
              <w:jc w:val="center"/>
            </w:pPr>
            <w:r>
              <w:rPr>
                <w:rFonts w:ascii="Arial" w:hAnsi="Arial" w:cs="Arial"/>
                <w:b/>
                <w:i w:val="0"/>
                <w:color w:val="A9B0DC"/>
                <w:sz w:val="15"/>
              </w:rPr>
              <w:t>H R S U I T E F O R O D O O 1 9</w:t>
            </w:r>
          </w:p>
          <w:p>
            <w:pPr>
              <w:spacing w:after="120" w:before="0"/>
              <w:jc w:val="center"/>
            </w:pPr>
            <w:r>
              <w:rPr>
                <w:rFonts w:ascii="Arial" w:hAnsi="Arial" w:cs="Arial"/>
                <w:b/>
                <w:i w:val="0"/>
                <w:color w:val="FFFFFF"/>
                <w:sz w:val="48"/>
              </w:rPr>
              <w:t>HR LEAVE REQUEST</w:t>
            </w:r>
          </w:p>
          <w:p>
            <w:pPr>
              <w:spacing w:after="0" w:before="0"/>
              <w:jc w:val="center"/>
            </w:pPr>
            <w:r>
              <w:rPr>
                <w:rFonts w:ascii="Arial" w:hAnsi="Arial" w:cs="Arial"/>
                <w:b w:val="0"/>
                <w:i w:val="0"/>
                <w:color w:val="C3C9E5"/>
                <w:sz w:val="22"/>
              </w:rPr>
              <w:t>HR Step-by-Step Guide</w:t>
            </w:r>
          </w:p>
        </w:tc>
      </w:tr>
    </w:tbl>
    <w:p>
      <w:pPr>
        <w:spacing w:after="0" w:before="0" w:line="240" w:lineRule="auto"/>
      </w:pPr>
      <w:r>
        <w:rPr>
          <w:rFonts w:ascii="Arial" w:hAnsi="Arial" w:cs="Arial"/>
          <w:b w:val="0"/>
          <w:i w:val="0"/>
          <w:color w:val="1F2430"/>
          <w:sz w:val="18"/>
        </w:rPr>
      </w:r>
    </w:p>
    <w:p>
      <w:pPr>
        <w:spacing w:after="120" w:before="0" w:line="293" w:lineRule="auto"/>
        <w:ind w:left="720" w:right="720"/>
        <w:jc w:val="center"/>
      </w:pPr>
      <w:r>
        <w:rPr>
          <w:rFonts w:ascii="Arial" w:hAnsi="Arial" w:cs="Arial"/>
          <w:b w:val="0"/>
          <w:i/>
          <w:color w:val="1E2A78"/>
          <w:sz w:val="22"/>
        </w:rPr>
        <w:t>Leave requests with manager approval, a paid-leave quota and automatic unpaid deductions.</w:t>
      </w:r>
    </w:p>
    <w:p>
      <w:pPr>
        <w:spacing w:after="120" w:before="0" w:line="293" w:lineRule="auto"/>
        <w:ind w:left="720" w:right="720"/>
        <w:jc w:val="center"/>
      </w:pPr>
      <w:r>
        <w:rPr>
          <w:rFonts w:ascii="Arial" w:hAnsi="Arial" w:cs="Arial"/>
          <w:b w:val="0"/>
          <w:i/>
          <w:color w:val="5A6070"/>
          <w:sz w:val="20"/>
        </w:rPr>
        <w:t>A simple guide to setting the leave policy, raising a request, approving it and reading the balance.</w:t>
      </w:r>
    </w:p>
    <w:p>
      <w:pPr>
        <w:spacing w:after="280" w:before="0" w:line="293" w:lineRule="auto"/>
        <w:jc w:val="center"/>
      </w:pPr>
      <w:r>
        <w:rPr>
          <w:rFonts w:ascii="Arial" w:hAnsi="Arial" w:cs="Arial"/>
          <w:b w:val="0"/>
          <w:i w:val="0"/>
          <w:color w:val="888B91"/>
          <w:sz w:val="17"/>
        </w:rPr>
        <w:t>Module Version 19.0.1.1.0 · Odoo 19 · Human Resources</w:t>
      </w:r>
    </w:p>
    <w:p>
      <w:pPr>
        <w:keepNext/>
        <w:spacing w:after="120" w:before="240" w:line="293" w:lineRule="auto"/>
      </w:pPr>
      <w:r>
        <w:rPr>
          <w:rFonts w:ascii="Arial" w:hAnsi="Arial" w:cs="Arial"/>
          <w:b/>
          <w:i w:val="0"/>
          <w:color w:val="1E2A78"/>
          <w:sz w:val="28"/>
        </w:rPr>
        <w:t>About This Module</w:t>
      </w:r>
    </w:p>
    <w:p>
      <w:pPr>
        <w:spacing w:after="140" w:before="0" w:line="293" w:lineRule="auto"/>
      </w:pPr>
      <w:r>
        <w:rPr>
          <w:rFonts w:ascii="Arial" w:hAnsi="Arial" w:cs="Arial"/>
          <w:b w:val="0"/>
          <w:i w:val="0"/>
          <w:color w:val="1F2430"/>
          <w:sz w:val="21"/>
        </w:rPr>
        <w:t>HR Leave Request gives every employee a simple way to ask for time off and gives managers a clear way to approve it. Beyond a yes/no, the module understands your paid-leave policy: it tracks how much paid leave each person has left, splits a request into paid and unpaid days when the quota runs out, and works out the salary deduction for the unpaid part automatically.</w:t>
      </w:r>
    </w:p>
    <w:p>
      <w:pPr>
        <w:spacing w:after="140" w:before="0" w:line="293" w:lineRule="auto"/>
      </w:pPr>
      <w:r>
        <w:rPr>
          <w:rFonts w:ascii="Arial" w:hAnsi="Arial" w:cs="Arial"/>
          <w:b w:val="0"/>
          <w:i w:val="0"/>
          <w:color w:val="1F2430"/>
          <w:sz w:val="21"/>
        </w:rPr>
        <w:t>This guide follows a request end to end: configure the policy once, raise a request, approve or reject it, and read the balance and reports.</w:t>
      </w:r>
    </w:p>
    <w:p>
      <w:pPr>
        <w:keepNext/>
        <w:spacing w:after="120" w:before="240" w:line="293" w:lineRule="auto"/>
      </w:pPr>
      <w:r>
        <w:rPr>
          <w:rFonts w:ascii="Arial" w:hAnsi="Arial" w:cs="Arial"/>
          <w:b/>
          <w:i w:val="0"/>
          <w:color w:val="1E2A78"/>
          <w:sz w:val="28"/>
        </w:rPr>
        <w:t>What the Module Gives You at a Glance</w:t>
      </w:r>
    </w:p>
    <w:p>
      <w:pPr>
        <w:pStyle w:val="ListBullet"/>
        <w:spacing w:after="60" w:line="288" w:lineRule="auto"/>
        <w:ind w:left="432"/>
      </w:pPr>
      <w:r>
        <w:rPr>
          <w:rFonts w:ascii="Arial" w:hAnsi="Arial" w:cs="Arial"/>
          <w:b/>
          <w:i w:val="0"/>
          <w:color w:val="1F2430"/>
          <w:sz w:val="20"/>
        </w:rPr>
        <w:t>Simple requests</w:t>
      </w:r>
      <w:r>
        <w:rPr>
          <w:rFonts w:ascii="Arial" w:hAnsi="Arial" w:cs="Arial"/>
          <w:b w:val="0"/>
          <w:i w:val="0"/>
          <w:color w:val="1F2430"/>
          <w:sz w:val="20"/>
        </w:rPr>
        <w:t xml:space="preserve"> — from date, optional to date, half-day option and a reason.</w:t>
      </w:r>
    </w:p>
    <w:p>
      <w:pPr>
        <w:pStyle w:val="ListBullet"/>
        <w:spacing w:after="60" w:line="288" w:lineRule="auto"/>
        <w:ind w:left="432"/>
      </w:pPr>
      <w:r>
        <w:rPr>
          <w:rFonts w:ascii="Arial" w:hAnsi="Arial" w:cs="Arial"/>
          <w:b/>
          <w:i w:val="0"/>
          <w:color w:val="1F2430"/>
          <w:sz w:val="20"/>
        </w:rPr>
        <w:t>Six leave types</w:t>
      </w:r>
      <w:r>
        <w:rPr>
          <w:rFonts w:ascii="Arial" w:hAnsi="Arial" w:cs="Arial"/>
          <w:b w:val="0"/>
          <w:i w:val="0"/>
          <w:color w:val="1F2430"/>
          <w:sz w:val="20"/>
        </w:rPr>
        <w:t xml:space="preserve"> — Sick, Casual, Annual, Personal, Emergency and Other.</w:t>
      </w:r>
    </w:p>
    <w:p>
      <w:pPr>
        <w:pStyle w:val="ListBullet"/>
        <w:spacing w:after="60" w:line="288" w:lineRule="auto"/>
        <w:ind w:left="432"/>
      </w:pPr>
      <w:r>
        <w:rPr>
          <w:rFonts w:ascii="Arial" w:hAnsi="Arial" w:cs="Arial"/>
          <w:b/>
          <w:i w:val="0"/>
          <w:color w:val="1F2430"/>
          <w:sz w:val="20"/>
        </w:rPr>
        <w:t>A clear lifecycle</w:t>
      </w:r>
      <w:r>
        <w:rPr>
          <w:rFonts w:ascii="Arial" w:hAnsi="Arial" w:cs="Arial"/>
          <w:b w:val="0"/>
          <w:i w:val="0"/>
          <w:color w:val="1F2430"/>
          <w:sz w:val="20"/>
        </w:rPr>
        <w:t xml:space="preserve"> — Draft, Pending Approval, Approved, Rejected and Cancelled.</w:t>
      </w:r>
    </w:p>
    <w:p>
      <w:pPr>
        <w:pStyle w:val="ListBullet"/>
        <w:spacing w:after="60" w:line="288" w:lineRule="auto"/>
        <w:ind w:left="432"/>
      </w:pPr>
      <w:r>
        <w:rPr>
          <w:rFonts w:ascii="Arial" w:hAnsi="Arial" w:cs="Arial"/>
          <w:b/>
          <w:i w:val="0"/>
          <w:color w:val="1F2430"/>
          <w:sz w:val="20"/>
        </w:rPr>
        <w:t>Paid-leave quota</w:t>
      </w:r>
      <w:r>
        <w:rPr>
          <w:rFonts w:ascii="Arial" w:hAnsi="Arial" w:cs="Arial"/>
          <w:b w:val="0"/>
          <w:i w:val="0"/>
          <w:color w:val="1F2430"/>
          <w:sz w:val="20"/>
        </w:rPr>
        <w:t xml:space="preserve"> — configurable per year and per month.</w:t>
      </w:r>
    </w:p>
    <w:p>
      <w:pPr>
        <w:pStyle w:val="ListBullet"/>
        <w:spacing w:after="60" w:line="288" w:lineRule="auto"/>
        <w:ind w:left="432"/>
      </w:pPr>
      <w:r>
        <w:rPr>
          <w:rFonts w:ascii="Arial" w:hAnsi="Arial" w:cs="Arial"/>
          <w:b/>
          <w:i w:val="0"/>
          <w:color w:val="1F2430"/>
          <w:sz w:val="20"/>
        </w:rPr>
        <w:t>Automatic paid/unpaid split</w:t>
      </w:r>
      <w:r>
        <w:rPr>
          <w:rFonts w:ascii="Arial" w:hAnsi="Arial" w:cs="Arial"/>
          <w:b w:val="0"/>
          <w:i w:val="0"/>
          <w:color w:val="1F2430"/>
          <w:sz w:val="20"/>
        </w:rPr>
        <w:t xml:space="preserve"> — when the quota is exceeded.</w:t>
      </w:r>
    </w:p>
    <w:p>
      <w:pPr>
        <w:pStyle w:val="ListBullet"/>
        <w:spacing w:after="60" w:line="288" w:lineRule="auto"/>
        <w:ind w:left="432"/>
      </w:pPr>
      <w:r>
        <w:rPr>
          <w:rFonts w:ascii="Arial" w:hAnsi="Arial" w:cs="Arial"/>
          <w:b/>
          <w:i w:val="0"/>
          <w:color w:val="1F2430"/>
          <w:sz w:val="20"/>
        </w:rPr>
        <w:t>Automatic deductions</w:t>
      </w:r>
      <w:r>
        <w:rPr>
          <w:rFonts w:ascii="Arial" w:hAnsi="Arial" w:cs="Arial"/>
          <w:b w:val="0"/>
          <w:i w:val="0"/>
          <w:color w:val="1F2430"/>
          <w:sz w:val="20"/>
        </w:rPr>
        <w:t xml:space="preserve"> — salary deduction for unpaid days.</w:t>
      </w:r>
    </w:p>
    <w:p>
      <w:pPr>
        <w:pStyle w:val="ListBullet"/>
        <w:spacing w:after="60" w:line="288" w:lineRule="auto"/>
        <w:ind w:left="432"/>
      </w:pPr>
      <w:r>
        <w:rPr>
          <w:rFonts w:ascii="Arial" w:hAnsi="Arial" w:cs="Arial"/>
          <w:b/>
          <w:i w:val="0"/>
          <w:color w:val="1F2430"/>
          <w:sz w:val="20"/>
        </w:rPr>
        <w:t>Per-employee balance</w:t>
      </w:r>
      <w:r>
        <w:rPr>
          <w:rFonts w:ascii="Arial" w:hAnsi="Arial" w:cs="Arial"/>
          <w:b w:val="0"/>
          <w:i w:val="0"/>
          <w:color w:val="1F2430"/>
          <w:sz w:val="20"/>
        </w:rPr>
        <w:t xml:space="preserve"> — used and remaining at a glance.</w:t>
      </w:r>
    </w:p>
    <w:p>
      <w:pPr>
        <w:pStyle w:val="ListBullet"/>
        <w:spacing w:after="60" w:line="288" w:lineRule="auto"/>
        <w:ind w:left="432"/>
      </w:pPr>
      <w:r>
        <w:rPr>
          <w:rFonts w:ascii="Arial" w:hAnsi="Arial" w:cs="Arial"/>
          <w:b/>
          <w:i w:val="0"/>
          <w:color w:val="1F2430"/>
          <w:sz w:val="20"/>
        </w:rPr>
        <w:t>Overlap protection</w:t>
      </w:r>
      <w:r>
        <w:rPr>
          <w:rFonts w:ascii="Arial" w:hAnsi="Arial" w:cs="Arial"/>
          <w:b w:val="0"/>
          <w:i w:val="0"/>
          <w:color w:val="1F2430"/>
          <w:sz w:val="20"/>
        </w:rPr>
        <w:t xml:space="preserve"> — two requests cannot cover the same dates.</w:t>
      </w:r>
    </w:p>
    <w:p>
      <w:pPr>
        <w:pStyle w:val="ListBullet"/>
        <w:spacing w:after="60" w:line="288" w:lineRule="auto"/>
        <w:ind w:left="432"/>
      </w:pPr>
      <w:r>
        <w:rPr>
          <w:rFonts w:ascii="Arial" w:hAnsi="Arial" w:cs="Arial"/>
          <w:b/>
          <w:i w:val="0"/>
          <w:color w:val="1F2430"/>
          <w:sz w:val="20"/>
        </w:rPr>
        <w:t>Carry-forward</w:t>
      </w:r>
      <w:r>
        <w:rPr>
          <w:rFonts w:ascii="Arial" w:hAnsi="Arial" w:cs="Arial"/>
          <w:b w:val="0"/>
          <w:i w:val="0"/>
          <w:color w:val="1F2430"/>
          <w:sz w:val="20"/>
        </w:rPr>
        <w:t xml:space="preserve"> — optional carry-over of unused paid leave to next year.</w:t>
      </w:r>
    </w:p>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Who this is for: Employees who raise requests, Managers who approve them, and HR Administrators who set the company leave policy and quotas.</w:t>
      </w:r>
    </w:p>
    <w:p>
      <w:pPr>
        <w:spacing w:after="0" w:before="0" w:line="240" w:lineRule="auto"/>
      </w:pPr>
      <w:r>
        <w:rPr>
          <w:rFonts w:ascii="Arial" w:hAnsi="Arial" w:cs="Arial"/>
          <w:b w:val="0"/>
          <w:i w:val="0"/>
          <w:color w:val="1F2430"/>
          <w:sz w:val="14"/>
        </w:rPr>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180" w:type="dxa"/>
              <w:left w:w="160" w:type="dxa"/>
              <w:bottom w:w="180" w:type="dxa"/>
              <w:right w:w="160" w:type="dxa"/>
            </w:tcMar>
          </w:tcPr>
          <w:p>
            <w:pPr>
              <w:keepNext/>
              <w:spacing w:after="0"/>
              <w:jc w:val="center"/>
            </w:pPr>
            <w:r>
              <w:rPr>
                <w:rFonts w:ascii="Arial" w:hAnsi="Arial" w:cs="Arial"/>
                <w:b/>
                <w:i w:val="0"/>
                <w:color w:val="FFFFFF"/>
                <w:sz w:val="32"/>
              </w:rPr>
              <w:t>PART 1 FINDING LEAVE REQUESTS</w:t>
            </w:r>
          </w:p>
        </w:tc>
      </w:tr>
    </w:tbl>
    <w:p>
      <w:pPr>
        <w:spacing w:after="0" w:before="0" w:line="240" w:lineRule="auto"/>
      </w:pPr>
      <w:r>
        <w:rPr>
          <w:rFonts w:ascii="Arial" w:hAnsi="Arial" w:cs="Arial"/>
          <w:b w:val="0"/>
          <w:i w:val="0"/>
          <w:color w:val="1F2430"/>
          <w:sz w:val="10"/>
        </w:rPr>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1</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Open the Leave Requests menu</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Everything lives under Attendances → Leave Requests. Employees use My Leave Requests; managers also see All Leave Requests and the Approved Leaves Report. The policy sits under Configuration → Leave Policy.</w:t>
      </w:r>
    </w:p>
    <w:p>
      <w:pPr>
        <w:keepNext/>
        <w:spacing w:before="120" w:after="60"/>
        <w:jc w:val="center"/>
      </w:pPr>
      <w:r>
        <w:drawing>
          <wp:inline xmlns:a="http://schemas.openxmlformats.org/drawingml/2006/main" xmlns:pic="http://schemas.openxmlformats.org/drawingml/2006/picture">
            <wp:extent cx="5760720" cy="816953"/>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760720" cy="816953"/>
                    </a:xfrm>
                    <a:prstGeom prst="rect"/>
                  </pic:spPr>
                </pic:pic>
              </a:graphicData>
            </a:graphic>
          </wp:inline>
        </w:drawing>
      </w:r>
    </w:p>
    <w:p>
      <w:pPr>
        <w:spacing w:after="200"/>
        <w:jc w:val="center"/>
      </w:pPr>
      <w:r>
        <w:rPr>
          <w:rFonts w:ascii="Arial" w:hAnsi="Arial" w:cs="Arial"/>
          <w:b w:val="0"/>
          <w:i/>
          <w:color w:val="888B91"/>
          <w:sz w:val="17"/>
        </w:rPr>
        <w:t>The Leave Requests menu under Attendances, with the Configuration → Leave Policy entry.</w:t>
      </w:r>
    </w:p>
    <w:p>
      <w:pPr>
        <w:spacing w:after="0" w:before="0" w:line="240" w:lineRule="auto"/>
      </w:pPr>
      <w:r>
        <w:rPr>
          <w:rFonts w:ascii="Arial" w:hAnsi="Arial" w:cs="Arial"/>
          <w:b w:val="0"/>
          <w:i w:val="0"/>
          <w:color w:val="1F2430"/>
          <w:sz w:val="14"/>
        </w:rPr>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180" w:type="dxa"/>
              <w:left w:w="160" w:type="dxa"/>
              <w:bottom w:w="180" w:type="dxa"/>
              <w:right w:w="160" w:type="dxa"/>
            </w:tcMar>
          </w:tcPr>
          <w:p>
            <w:pPr>
              <w:keepNext/>
              <w:spacing w:after="0"/>
              <w:jc w:val="center"/>
            </w:pPr>
            <w:r>
              <w:rPr>
                <w:rFonts w:ascii="Arial" w:hAnsi="Arial" w:cs="Arial"/>
                <w:b/>
                <w:i w:val="0"/>
                <w:color w:val="FFFFFF"/>
                <w:sz w:val="32"/>
              </w:rPr>
              <w:t>PART 2 CONFIGURING THE LEAVE POLICY</w:t>
            </w:r>
          </w:p>
        </w:tc>
      </w:tr>
    </w:tbl>
    <w:p>
      <w:pPr>
        <w:spacing w:after="0" w:before="0" w:line="240" w:lineRule="auto"/>
      </w:pPr>
      <w:r>
        <w:rPr>
          <w:rFonts w:ascii="Arial" w:hAnsi="Arial" w:cs="Arial"/>
          <w:b w:val="0"/>
          <w:i w:val="0"/>
          <w:color w:val="1F2430"/>
          <w:sz w:val="10"/>
        </w:rPr>
      </w:r>
    </w:p>
    <w:p>
      <w:pPr>
        <w:spacing w:after="140" w:before="0" w:line="293" w:lineRule="auto"/>
      </w:pPr>
      <w:r>
        <w:rPr>
          <w:rFonts w:ascii="Arial" w:hAnsi="Arial" w:cs="Arial"/>
          <w:b w:val="0"/>
          <w:i w:val="0"/>
          <w:color w:val="1F2430"/>
          <w:sz w:val="21"/>
        </w:rPr>
        <w:t>The policy is set once per company and drives every calculation that follows.</w:t>
      </w:r>
    </w:p>
    <w:p>
      <w:pPr>
        <w:keepNext/>
        <w:spacing w:before="120" w:after="60"/>
        <w:jc w:val="center"/>
      </w:pPr>
      <w:r>
        <w:drawing>
          <wp:inline xmlns:a="http://schemas.openxmlformats.org/drawingml/2006/main" xmlns:pic="http://schemas.openxmlformats.org/drawingml/2006/picture">
            <wp:extent cx="5760720" cy="1173081"/>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760720" cy="1173081"/>
                    </a:xfrm>
                    <a:prstGeom prst="rect"/>
                  </pic:spPr>
                </pic:pic>
              </a:graphicData>
            </a:graphic>
          </wp:inline>
        </w:drawing>
      </w:r>
    </w:p>
    <w:p>
      <w:pPr>
        <w:spacing w:after="200"/>
        <w:jc w:val="center"/>
      </w:pPr>
      <w:r>
        <w:rPr>
          <w:rFonts w:ascii="Arial" w:hAnsi="Arial" w:cs="Arial"/>
          <w:b w:val="0"/>
          <w:i/>
          <w:color w:val="888B91"/>
          <w:sz w:val="17"/>
        </w:rPr>
        <w:t>Configuration → Leave Policy lists the leave policy held for each company.</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2</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Set the paid-leave settings</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Open Configuration → Leave Policy. Turn on Enable Paid Leave and set Paid Leave Days Per Year and Paid Leave Days Per Month. These define how much leave is paid before deductions begin.</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3</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Set the unpaid / deduction settings</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Turn on Enable Unpaid Leave Deduction so that days beyond the quota are deducted. The deduction uses the employee's monthly wage divided by the working days in the month; a half day is half of that daily rate.</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4</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Set carry-forward (optional)</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Enable Allow Carry Forward and set Max Carry Forward Days if unused paid leave should roll over to next year.</w:t>
      </w:r>
    </w:p>
    <w:p>
      <w:pPr>
        <w:keepNext/>
        <w:spacing w:before="120" w:after="60"/>
        <w:jc w:val="center"/>
      </w:pPr>
      <w:r>
        <w:drawing>
          <wp:inline xmlns:a="http://schemas.openxmlformats.org/drawingml/2006/main" xmlns:pic="http://schemas.openxmlformats.org/drawingml/2006/picture">
            <wp:extent cx="5760720" cy="2525947"/>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760720" cy="2525947"/>
                    </a:xfrm>
                    <a:prstGeom prst="rect"/>
                  </pic:spPr>
                </pic:pic>
              </a:graphicData>
            </a:graphic>
          </wp:inline>
        </w:drawing>
      </w:r>
    </w:p>
    <w:p>
      <w:pPr>
        <w:spacing w:after="200"/>
        <w:jc w:val="center"/>
      </w:pPr>
      <w:r>
        <w:rPr>
          <w:rFonts w:ascii="Arial" w:hAnsi="Arial" w:cs="Arial"/>
          <w:b w:val="0"/>
          <w:i/>
          <w:color w:val="888B91"/>
          <w:sz w:val="17"/>
        </w:rPr>
        <w:t>The Leave Policy form — paid-leave settings, unpaid-deduction settings and how the deduction is worked out.</w:t>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single" w:sz="24" w:space="0" w:color="2F6DF0"/>
              <w:bottom w:val="nil"/>
              <w:right w:val="nil"/>
            </w:tcBorders>
            <w:shd w:val="clear" w:color="auto" w:fill="F1F4FB"/>
            <w:tcMar>
              <w:top w:w="110" w:type="dxa"/>
              <w:left w:w="170" w:type="dxa"/>
              <w:bottom w:w="110" w:type="dxa"/>
              <w:right w:w="150" w:type="dxa"/>
            </w:tcMar>
          </w:tcPr>
          <w:p>
            <w:pPr>
              <w:spacing w:after="0" w:line="288" w:lineRule="auto"/>
            </w:pPr>
            <w:r>
              <w:rPr>
                <w:rFonts w:ascii="Arial" w:hAnsi="Arial" w:cs="Arial"/>
                <w:b/>
                <w:i w:val="0"/>
                <w:color w:val="1F2430"/>
                <w:sz w:val="19"/>
              </w:rPr>
              <w:t>NOTE</w:t>
            </w:r>
            <w:r>
              <w:rPr>
                <w:rFonts w:ascii="Arial" w:hAnsi="Arial" w:cs="Arial"/>
                <w:b w:val="0"/>
                <w:i w:val="0"/>
                <w:color w:val="1F2430"/>
                <w:sz w:val="19"/>
              </w:rPr>
              <w:t xml:space="preserve"> Paid days are limited by the smaller of the yearly and monthly remaining quota. Anything above that becomes unpaid and is deducted automatically.</w:t>
            </w:r>
          </w:p>
        </w:tc>
      </w:tr>
    </w:tbl>
    <w:p>
      <w:pPr>
        <w:spacing w:after="0" w:before="0" w:line="240" w:lineRule="auto"/>
      </w:pPr>
      <w:r>
        <w:rPr>
          <w:rFonts w:ascii="Arial" w:hAnsi="Arial" w:cs="Arial"/>
          <w:b w:val="0"/>
          <w:i w:val="0"/>
          <w:color w:val="1F2430"/>
          <w:sz w:val="10"/>
        </w:rPr>
      </w:r>
    </w:p>
    <w:p>
      <w:pPr>
        <w:spacing w:after="0" w:before="0" w:line="240" w:lineRule="auto"/>
      </w:pPr>
      <w:r>
        <w:rPr>
          <w:rFonts w:ascii="Arial" w:hAnsi="Arial" w:cs="Arial"/>
          <w:b w:val="0"/>
          <w:i w:val="0"/>
          <w:color w:val="1F2430"/>
          <w:sz w:val="14"/>
        </w:rPr>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180" w:type="dxa"/>
              <w:left w:w="160" w:type="dxa"/>
              <w:bottom w:w="180" w:type="dxa"/>
              <w:right w:w="160" w:type="dxa"/>
            </w:tcMar>
          </w:tcPr>
          <w:p>
            <w:pPr>
              <w:keepNext/>
              <w:spacing w:after="0"/>
              <w:jc w:val="center"/>
            </w:pPr>
            <w:r>
              <w:rPr>
                <w:rFonts w:ascii="Arial" w:hAnsi="Arial" w:cs="Arial"/>
                <w:b/>
                <w:i w:val="0"/>
                <w:color w:val="FFFFFF"/>
                <w:sz w:val="32"/>
              </w:rPr>
              <w:t>PART 3 RAISING A LEAVE REQUEST</w:t>
            </w:r>
          </w:p>
        </w:tc>
      </w:tr>
    </w:tbl>
    <w:p>
      <w:pPr>
        <w:spacing w:after="0" w:before="0" w:line="240" w:lineRule="auto"/>
      </w:pPr>
      <w:r>
        <w:rPr>
          <w:rFonts w:ascii="Arial" w:hAnsi="Arial" w:cs="Arial"/>
          <w:b w:val="0"/>
          <w:i w:val="0"/>
          <w:color w:val="1F2430"/>
          <w:sz w:val="10"/>
        </w:rPr>
      </w:r>
    </w:p>
    <w:p>
      <w:pPr>
        <w:spacing w:after="140" w:before="0" w:line="293" w:lineRule="auto"/>
      </w:pPr>
      <w:r>
        <w:rPr>
          <w:rFonts w:ascii="Arial" w:hAnsi="Arial" w:cs="Arial"/>
          <w:b w:val="0"/>
          <w:i w:val="0"/>
          <w:color w:val="1F2430"/>
          <w:sz w:val="21"/>
        </w:rPr>
        <w:t>This part is for employees. Open Attendances → Leave Requests → My Leave Requests.</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5</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Fill in the request</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Click New and complete the form: confirm your Employee, choose a Leave Type (Casual is the default), set the From Date (required) and, for more than one day, a To Date. Tick Half Day for a half-day request, and add a Reason.</w:t>
      </w:r>
    </w:p>
    <w:tbl>
      <w:tblPr>
        <w:tblW w:type="dxa" w:w="9936"/>
        <w:tblLook w:firstColumn="1" w:firstRow="1" w:lastColumn="0" w:lastRow="0" w:noHBand="0" w:noVBand="1" w:val="04A0"/>
        <w:tblLayout w:type="fixed"/>
      </w:tblPr>
      <w:tblGrid>
        <w:gridCol w:w="3312"/>
        <w:gridCol w:w="6624"/>
      </w:tblGrid>
      <w:tr>
        <w:trPr>
          <w:cantSplit/>
        </w:trPr>
        <w:tc>
          <w:tcPr>
            <w:tcW w:type="dxa" w:w="3312"/>
            <w:tcBorders>
              <w:top w:val="nil"/>
              <w:left w:val="nil"/>
              <w:bottom w:val="single" w:sz="4" w:space="0" w:color="1E2A78"/>
              <w:right w:val="nil"/>
            </w:tcBorders>
            <w:shd w:val="clear" w:color="auto" w:fill="1E2A78"/>
            <w:tcMar>
              <w:top w:w="90" w:type="dxa"/>
              <w:left w:w="120" w:type="dxa"/>
              <w:bottom w:w="90" w:type="dxa"/>
              <w:right w:w="120" w:type="dxa"/>
            </w:tcMar>
          </w:tcPr>
          <w:p>
            <w:pPr>
              <w:spacing w:after="0"/>
            </w:pPr>
            <w:r>
              <w:rPr>
                <w:rFonts w:ascii="Arial" w:hAnsi="Arial" w:cs="Arial"/>
                <w:b/>
                <w:i w:val="0"/>
                <w:color w:val="FFFFFF"/>
                <w:sz w:val="18"/>
              </w:rPr>
              <w:t>Leave type</w:t>
            </w:r>
          </w:p>
        </w:tc>
        <w:tc>
          <w:tcPr>
            <w:tcW w:type="dxa" w:w="6624"/>
            <w:tcBorders>
              <w:top w:val="nil"/>
              <w:left w:val="nil"/>
              <w:bottom w:val="single" w:sz="4" w:space="0" w:color="1E2A78"/>
              <w:right w:val="nil"/>
            </w:tcBorders>
            <w:shd w:val="clear" w:color="auto" w:fill="1E2A78"/>
            <w:tcMar>
              <w:top w:w="90" w:type="dxa"/>
              <w:left w:w="120" w:type="dxa"/>
              <w:bottom w:w="90" w:type="dxa"/>
              <w:right w:w="120" w:type="dxa"/>
            </w:tcMar>
          </w:tcPr>
          <w:p>
            <w:pPr>
              <w:spacing w:after="0"/>
            </w:pPr>
            <w:r>
              <w:rPr>
                <w:rFonts w:ascii="Arial" w:hAnsi="Arial" w:cs="Arial"/>
                <w:b/>
                <w:i w:val="0"/>
                <w:color w:val="FFFFFF"/>
                <w:sz w:val="18"/>
              </w:rPr>
              <w:t>Typical use</w:t>
            </w:r>
          </w:p>
        </w:tc>
      </w:tr>
      <w:tr>
        <w:trPr>
          <w:cantSplit/>
        </w:trPr>
        <w:tc>
          <w:tcPr>
            <w:tcW w:type="dxa" w:w="3312"/>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Sick Leave</w:t>
            </w:r>
          </w:p>
        </w:tc>
        <w:tc>
          <w:tcPr>
            <w:tcW w:type="dxa" w:w="6624"/>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Illness or medical appointments.</w:t>
            </w:r>
          </w:p>
        </w:tc>
      </w:tr>
      <w:tr>
        <w:trPr>
          <w:cantSplit/>
        </w:trPr>
        <w:tc>
          <w:tcPr>
            <w:tcW w:type="dxa" w:w="3312"/>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Casual Leave</w:t>
            </w:r>
          </w:p>
        </w:tc>
        <w:tc>
          <w:tcPr>
            <w:tcW w:type="dxa" w:w="6624"/>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Short, planned personal time off (the default).</w:t>
            </w:r>
          </w:p>
        </w:tc>
      </w:tr>
      <w:tr>
        <w:trPr>
          <w:cantSplit/>
        </w:trPr>
        <w:tc>
          <w:tcPr>
            <w:tcW w:type="dxa" w:w="3312"/>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Annual Leave</w:t>
            </w:r>
          </w:p>
        </w:tc>
        <w:tc>
          <w:tcPr>
            <w:tcW w:type="dxa" w:w="6624"/>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Planned holiday / vacation.</w:t>
            </w:r>
          </w:p>
        </w:tc>
      </w:tr>
      <w:tr>
        <w:trPr>
          <w:cantSplit/>
        </w:trPr>
        <w:tc>
          <w:tcPr>
            <w:tcW w:type="dxa" w:w="3312"/>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Personal Leave</w:t>
            </w:r>
          </w:p>
        </w:tc>
        <w:tc>
          <w:tcPr>
            <w:tcW w:type="dxa" w:w="6624"/>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Personal matters not covered above.</w:t>
            </w:r>
          </w:p>
        </w:tc>
      </w:tr>
      <w:tr>
        <w:trPr>
          <w:cantSplit/>
        </w:trPr>
        <w:tc>
          <w:tcPr>
            <w:tcW w:type="dxa" w:w="3312"/>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Emergency Leave</w:t>
            </w:r>
          </w:p>
        </w:tc>
        <w:tc>
          <w:tcPr>
            <w:tcW w:type="dxa" w:w="6624"/>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Urgent, unforeseen situations.</w:t>
            </w:r>
          </w:p>
        </w:tc>
      </w:tr>
      <w:tr>
        <w:trPr>
          <w:cantSplit/>
        </w:trPr>
        <w:tc>
          <w:tcPr>
            <w:tcW w:type="dxa" w:w="3312"/>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Other</w:t>
            </w:r>
          </w:p>
        </w:tc>
        <w:tc>
          <w:tcPr>
            <w:tcW w:type="dxa" w:w="6624"/>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Anything that does not fit the categories above.</w:t>
            </w:r>
          </w:p>
        </w:tc>
      </w:tr>
    </w:tbl>
    <w:p>
      <w:pPr>
        <w:spacing w:after="0" w:before="0" w:line="240" w:lineRule="auto"/>
      </w:pPr>
      <w:r>
        <w:rPr>
          <w:rFonts w:ascii="Arial" w:hAnsi="Arial" w:cs="Arial"/>
          <w:b w:val="0"/>
          <w:i w:val="0"/>
          <w:color w:val="1F2430"/>
          <w:sz w:val="14"/>
        </w:rPr>
      </w:r>
    </w:p>
    <w:p>
      <w:pPr>
        <w:spacing w:after="140" w:before="0" w:line="293" w:lineRule="auto"/>
      </w:pPr>
      <w:r>
        <w:rPr>
          <w:rFonts w:ascii="Arial" w:hAnsi="Arial" w:cs="Arial"/>
          <w:b w:val="0"/>
          <w:i w:val="0"/>
          <w:color w:val="1F2430"/>
          <w:sz w:val="21"/>
        </w:rPr>
        <w:t>As you fill the dates the form shows Number of Days, and once saved it splits them into Paid Days and Unpaid Days with the matching Deduction Amount.</w:t>
      </w:r>
    </w:p>
    <w:p>
      <w:pPr>
        <w:keepNext/>
        <w:spacing w:before="120" w:after="60"/>
        <w:jc w:val="center"/>
      </w:pPr>
      <w:r>
        <w:drawing>
          <wp:inline xmlns:a="http://schemas.openxmlformats.org/drawingml/2006/main" xmlns:pic="http://schemas.openxmlformats.org/drawingml/2006/picture">
            <wp:extent cx="5760720" cy="2601034"/>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760720" cy="2601034"/>
                    </a:xfrm>
                    <a:prstGeom prst="rect"/>
                  </pic:spPr>
                </pic:pic>
              </a:graphicData>
            </a:graphic>
          </wp:inline>
        </w:drawing>
      </w:r>
    </w:p>
    <w:p>
      <w:pPr>
        <w:spacing w:after="200"/>
        <w:jc w:val="center"/>
      </w:pPr>
      <w:r>
        <w:rPr>
          <w:rFonts w:ascii="Arial" w:hAnsi="Arial" w:cs="Arial"/>
          <w:b w:val="0"/>
          <w:i/>
          <w:color w:val="888B91"/>
          <w:sz w:val="17"/>
        </w:rPr>
        <w:t>A new leave request in Draft, showing the number of days and the paid / unpaid split.</w:t>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6</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Submit for approval</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Click Submit for Approval. The request moves from Draft to Pending Approval and waits for a manager. You can Cancel a request, and a rejected or cancelled one can be reset to Draft and resubmitted.</w:t>
      </w:r>
    </w:p>
    <w:p>
      <w:pPr>
        <w:keepNext/>
        <w:spacing w:before="120" w:after="60"/>
        <w:jc w:val="center"/>
      </w:pPr>
      <w:r>
        <w:drawing>
          <wp:inline xmlns:a="http://schemas.openxmlformats.org/drawingml/2006/main" xmlns:pic="http://schemas.openxmlformats.org/drawingml/2006/picture">
            <wp:extent cx="5760720" cy="2589020"/>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760720" cy="2589020"/>
                    </a:xfrm>
                    <a:prstGeom prst="rect"/>
                  </pic:spPr>
                </pic:pic>
              </a:graphicData>
            </a:graphic>
          </wp:inline>
        </w:drawing>
      </w:r>
    </w:p>
    <w:p>
      <w:pPr>
        <w:spacing w:after="200"/>
        <w:jc w:val="center"/>
      </w:pPr>
      <w:r>
        <w:rPr>
          <w:rFonts w:ascii="Arial" w:hAnsi="Arial" w:cs="Arial"/>
          <w:b w:val="0"/>
          <w:i/>
          <w:color w:val="888B91"/>
          <w:sz w:val="17"/>
        </w:rPr>
        <w:t>A completed request ready to Submit for Approval (a half-day Sick Leave example).</w:t>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single" w:sz="24" w:space="0" w:color="F08A24"/>
              <w:bottom w:val="nil"/>
              <w:right w:val="nil"/>
            </w:tcBorders>
            <w:shd w:val="clear" w:color="auto" w:fill="F1F4FB"/>
            <w:tcMar>
              <w:top w:w="110" w:type="dxa"/>
              <w:left w:w="170" w:type="dxa"/>
              <w:bottom w:w="110" w:type="dxa"/>
              <w:right w:w="150" w:type="dxa"/>
            </w:tcMar>
          </w:tcPr>
          <w:p>
            <w:pPr>
              <w:spacing w:after="0" w:line="288" w:lineRule="auto"/>
            </w:pPr>
            <w:r>
              <w:rPr>
                <w:rFonts w:ascii="Arial" w:hAnsi="Arial" w:cs="Arial"/>
                <w:b/>
                <w:i w:val="0"/>
                <w:color w:val="1F2430"/>
                <w:sz w:val="19"/>
              </w:rPr>
              <w:t>IMPORTANT</w:t>
            </w:r>
            <w:r>
              <w:rPr>
                <w:rFonts w:ascii="Arial" w:hAnsi="Arial" w:cs="Arial"/>
                <w:b w:val="0"/>
                <w:i w:val="0"/>
                <w:color w:val="1F2430"/>
                <w:sz w:val="19"/>
              </w:rPr>
              <w:t xml:space="preserve"> Requests cannot overlap. If your dates clash with an existing non-rejected request, the system blocks it and tells you which request it conflicts with.</w:t>
            </w:r>
          </w:p>
        </w:tc>
      </w:tr>
    </w:tbl>
    <w:p>
      <w:pPr>
        <w:spacing w:after="0" w:before="0" w:line="240" w:lineRule="auto"/>
      </w:pPr>
      <w:r>
        <w:rPr>
          <w:rFonts w:ascii="Arial" w:hAnsi="Arial" w:cs="Arial"/>
          <w:b w:val="0"/>
          <w:i w:val="0"/>
          <w:color w:val="1F2430"/>
          <w:sz w:val="10"/>
        </w:rPr>
      </w:r>
    </w:p>
    <w:p>
      <w:pPr>
        <w:spacing w:after="0" w:before="0" w:line="240" w:lineRule="auto"/>
      </w:pPr>
      <w:r>
        <w:rPr>
          <w:rFonts w:ascii="Arial" w:hAnsi="Arial" w:cs="Arial"/>
          <w:b w:val="0"/>
          <w:i w:val="0"/>
          <w:color w:val="1F2430"/>
          <w:sz w:val="14"/>
        </w:rPr>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180" w:type="dxa"/>
              <w:left w:w="160" w:type="dxa"/>
              <w:bottom w:w="180" w:type="dxa"/>
              <w:right w:w="160" w:type="dxa"/>
            </w:tcMar>
          </w:tcPr>
          <w:p>
            <w:pPr>
              <w:keepNext/>
              <w:spacing w:after="0"/>
              <w:jc w:val="center"/>
            </w:pPr>
            <w:r>
              <w:rPr>
                <w:rFonts w:ascii="Arial" w:hAnsi="Arial" w:cs="Arial"/>
                <w:b/>
                <w:i w:val="0"/>
                <w:color w:val="FFFFFF"/>
                <w:sz w:val="32"/>
              </w:rPr>
              <w:t>PART 4 APPROVING REQUESTS</w:t>
            </w:r>
          </w:p>
        </w:tc>
      </w:tr>
    </w:tbl>
    <w:p>
      <w:pPr>
        <w:spacing w:after="0" w:before="0" w:line="240" w:lineRule="auto"/>
      </w:pPr>
      <w:r>
        <w:rPr>
          <w:rFonts w:ascii="Arial" w:hAnsi="Arial" w:cs="Arial"/>
          <w:b w:val="0"/>
          <w:i w:val="0"/>
          <w:color w:val="1F2430"/>
          <w:sz w:val="10"/>
        </w:rPr>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7</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Review and decide (manager)</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Open All Leave Requests — it opens pre-filtered to Pending. Open a request, check the dates, type, paid/unpaid split and reason, then click Approve or Reject. Rejecting lets you add a Rejection Reason that the employee will see.</w:t>
      </w:r>
    </w:p>
    <w:p>
      <w:pPr>
        <w:keepNext/>
        <w:spacing w:before="120" w:after="60"/>
        <w:jc w:val="center"/>
      </w:pPr>
      <w:r>
        <w:drawing>
          <wp:inline xmlns:a="http://schemas.openxmlformats.org/drawingml/2006/main" xmlns:pic="http://schemas.openxmlformats.org/drawingml/2006/picture">
            <wp:extent cx="5760720" cy="735858"/>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5760720" cy="735858"/>
                    </a:xfrm>
                    <a:prstGeom prst="rect"/>
                  </pic:spPr>
                </pic:pic>
              </a:graphicData>
            </a:graphic>
          </wp:inline>
        </w:drawing>
      </w:r>
    </w:p>
    <w:p>
      <w:pPr>
        <w:spacing w:after="200"/>
        <w:jc w:val="center"/>
      </w:pPr>
      <w:r>
        <w:rPr>
          <w:rFonts w:ascii="Arial" w:hAnsi="Arial" w:cs="Arial"/>
          <w:b w:val="0"/>
          <w:i/>
          <w:color w:val="888B91"/>
          <w:sz w:val="17"/>
        </w:rPr>
        <w:t>All Leave Requests, pre-filtered to Pending and waiting on a manager.</w:t>
      </w:r>
    </w:p>
    <w:tbl>
      <w:tblPr>
        <w:tblW w:type="dxa" w:w="9936"/>
        <w:tblLook w:firstColumn="1" w:firstRow="1" w:lastColumn="0" w:lastRow="0" w:noHBand="0" w:noVBand="1" w:val="04A0"/>
        <w:tblLayout w:type="fixed"/>
      </w:tblPr>
      <w:tblGrid>
        <w:gridCol w:w="2509"/>
        <w:gridCol w:w="4114"/>
        <w:gridCol w:w="3312"/>
      </w:tblGrid>
      <w:tr>
        <w:trPr>
          <w:cantSplit/>
        </w:trPr>
        <w:tc>
          <w:tcPr>
            <w:tcW w:type="dxa" w:w="2509"/>
            <w:tcBorders>
              <w:top w:val="nil"/>
              <w:left w:val="nil"/>
              <w:bottom w:val="single" w:sz="4" w:space="0" w:color="1E2A78"/>
              <w:right w:val="nil"/>
            </w:tcBorders>
            <w:shd w:val="clear" w:color="auto" w:fill="1E2A78"/>
            <w:tcMar>
              <w:top w:w="90" w:type="dxa"/>
              <w:left w:w="120" w:type="dxa"/>
              <w:bottom w:w="90" w:type="dxa"/>
              <w:right w:w="120" w:type="dxa"/>
            </w:tcMar>
          </w:tcPr>
          <w:p>
            <w:pPr>
              <w:spacing w:after="0"/>
            </w:pPr>
            <w:r>
              <w:rPr>
                <w:rFonts w:ascii="Arial" w:hAnsi="Arial" w:cs="Arial"/>
                <w:b/>
                <w:i w:val="0"/>
                <w:color w:val="FFFFFF"/>
                <w:sz w:val="18"/>
              </w:rPr>
              <w:t>State</w:t>
            </w:r>
          </w:p>
        </w:tc>
        <w:tc>
          <w:tcPr>
            <w:tcW w:type="dxa" w:w="4115"/>
            <w:tcBorders>
              <w:top w:val="nil"/>
              <w:left w:val="nil"/>
              <w:bottom w:val="single" w:sz="4" w:space="0" w:color="1E2A78"/>
              <w:right w:val="nil"/>
            </w:tcBorders>
            <w:shd w:val="clear" w:color="auto" w:fill="1E2A78"/>
            <w:tcMar>
              <w:top w:w="90" w:type="dxa"/>
              <w:left w:w="120" w:type="dxa"/>
              <w:bottom w:w="90" w:type="dxa"/>
              <w:right w:w="120" w:type="dxa"/>
            </w:tcMar>
          </w:tcPr>
          <w:p>
            <w:pPr>
              <w:spacing w:after="0"/>
            </w:pPr>
            <w:r>
              <w:rPr>
                <w:rFonts w:ascii="Arial" w:hAnsi="Arial" w:cs="Arial"/>
                <w:b/>
                <w:i w:val="0"/>
                <w:color w:val="FFFFFF"/>
                <w:sz w:val="18"/>
              </w:rPr>
              <w:t>Meaning</w:t>
            </w:r>
          </w:p>
        </w:tc>
        <w:tc>
          <w:tcPr>
            <w:tcW w:type="dxa" w:w="3312"/>
            <w:tcBorders>
              <w:top w:val="nil"/>
              <w:left w:val="nil"/>
              <w:bottom w:val="single" w:sz="4" w:space="0" w:color="1E2A78"/>
              <w:right w:val="nil"/>
            </w:tcBorders>
            <w:shd w:val="clear" w:color="auto" w:fill="1E2A78"/>
            <w:tcMar>
              <w:top w:w="90" w:type="dxa"/>
              <w:left w:w="120" w:type="dxa"/>
              <w:bottom w:w="90" w:type="dxa"/>
              <w:right w:w="120" w:type="dxa"/>
            </w:tcMar>
          </w:tcPr>
          <w:p>
            <w:pPr>
              <w:spacing w:after="0"/>
            </w:pPr>
            <w:r>
              <w:rPr>
                <w:rFonts w:ascii="Arial" w:hAnsi="Arial" w:cs="Arial"/>
                <w:b/>
                <w:i w:val="0"/>
                <w:color w:val="FFFFFF"/>
                <w:sz w:val="18"/>
              </w:rPr>
              <w:t>Who acts / button</w:t>
            </w:r>
          </w:p>
        </w:tc>
      </w:tr>
      <w:tr>
        <w:trPr>
          <w:cantSplit/>
        </w:trPr>
        <w:tc>
          <w:tcPr>
            <w:tcW w:type="dxa" w:w="2509"/>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Draft</w:t>
            </w:r>
          </w:p>
        </w:tc>
        <w:tc>
          <w:tcPr>
            <w:tcW w:type="dxa" w:w="4115"/>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Being prepared.</w:t>
            </w:r>
          </w:p>
        </w:tc>
        <w:tc>
          <w:tcPr>
            <w:tcW w:type="dxa" w:w="3312"/>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Employee — Submit for Approval</w:t>
            </w:r>
          </w:p>
        </w:tc>
      </w:tr>
      <w:tr>
        <w:trPr>
          <w:cantSplit/>
        </w:trPr>
        <w:tc>
          <w:tcPr>
            <w:tcW w:type="dxa" w:w="2509"/>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Pending Approval</w:t>
            </w:r>
          </w:p>
        </w:tc>
        <w:tc>
          <w:tcPr>
            <w:tcW w:type="dxa" w:w="4115"/>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Waiting on a manager.</w:t>
            </w:r>
          </w:p>
        </w:tc>
        <w:tc>
          <w:tcPr>
            <w:tcW w:type="dxa" w:w="3312"/>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Manager — Approve / Reject</w:t>
            </w:r>
          </w:p>
        </w:tc>
      </w:tr>
      <w:tr>
        <w:trPr>
          <w:cantSplit/>
        </w:trPr>
        <w:tc>
          <w:tcPr>
            <w:tcW w:type="dxa" w:w="2509"/>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Approved</w:t>
            </w:r>
          </w:p>
        </w:tc>
        <w:tc>
          <w:tcPr>
            <w:tcW w:type="dxa" w:w="4115"/>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Granted; paid/unpaid split fixed.</w:t>
            </w:r>
          </w:p>
        </w:tc>
        <w:tc>
          <w:tcPr>
            <w:tcW w:type="dxa" w:w="3312"/>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Employee — Cancel (if needed)</w:t>
            </w:r>
          </w:p>
        </w:tc>
      </w:tr>
      <w:tr>
        <w:trPr>
          <w:cantSplit/>
        </w:trPr>
        <w:tc>
          <w:tcPr>
            <w:tcW w:type="dxa" w:w="2509"/>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Rejected</w:t>
            </w:r>
          </w:p>
        </w:tc>
        <w:tc>
          <w:tcPr>
            <w:tcW w:type="dxa" w:w="4115"/>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Declined, with a reason.</w:t>
            </w:r>
          </w:p>
        </w:tc>
        <w:tc>
          <w:tcPr>
            <w:tcW w:type="dxa" w:w="3312"/>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Employee — Reset to Draft</w:t>
            </w:r>
          </w:p>
        </w:tc>
      </w:tr>
      <w:tr>
        <w:trPr>
          <w:cantSplit/>
        </w:trPr>
        <w:tc>
          <w:tcPr>
            <w:tcW w:type="dxa" w:w="2509"/>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Cancelled</w:t>
            </w:r>
          </w:p>
        </w:tc>
        <w:tc>
          <w:tcPr>
            <w:tcW w:type="dxa" w:w="4115"/>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Withdrawn.</w:t>
            </w:r>
          </w:p>
        </w:tc>
        <w:tc>
          <w:tcPr>
            <w:tcW w:type="dxa" w:w="3312"/>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Employee — Reset to Draft</w:t>
            </w:r>
          </w:p>
        </w:tc>
      </w:tr>
    </w:tbl>
    <w:p>
      <w:pPr>
        <w:spacing w:after="0" w:before="0" w:line="240" w:lineRule="auto"/>
      </w:pPr>
      <w:r>
        <w:rPr>
          <w:rFonts w:ascii="Arial" w:hAnsi="Arial" w:cs="Arial"/>
          <w:b w:val="0"/>
          <w:i w:val="0"/>
          <w:color w:val="1F2430"/>
          <w:sz w:val="14"/>
        </w:rPr>
      </w:r>
    </w:p>
    <w:p>
      <w:pPr>
        <w:spacing w:after="0" w:before="0" w:line="240" w:lineRule="auto"/>
      </w:pPr>
      <w:r>
        <w:rPr>
          <w:rFonts w:ascii="Arial" w:hAnsi="Arial" w:cs="Arial"/>
          <w:b w:val="0"/>
          <w:i w:val="0"/>
          <w:color w:val="1F2430"/>
          <w:sz w:val="14"/>
        </w:rPr>
      </w:r>
    </w:p>
    <w:tbl>
      <w:tblPr>
        <w:tblW w:type="dxa" w:w="9936"/>
        <w:tblLook w:firstColumn="1" w:firstRow="1" w:lastColumn="0" w:lastRow="0" w:noHBand="0" w:noVBand="1" w:val="04A0"/>
        <w:tblLayout w:type="fixed"/>
      </w:tblPr>
      <w:tblGrid>
        <w:gridCol w:w="9936"/>
      </w:tblGrid>
      <w:tr>
        <w:trPr>
          <w:cantSplit/>
        </w:trPr>
        <w:tc>
          <w:tcPr>
            <w:tcW w:type="dxa" w:w="9936"/>
            <w:tcBorders>
              <w:top w:val="nil"/>
              <w:left w:val="nil"/>
              <w:bottom w:val="nil"/>
              <w:right w:val="nil"/>
            </w:tcBorders>
            <w:shd w:val="clear" w:color="auto" w:fill="1E2A78"/>
            <w:tcMar>
              <w:top w:w="180" w:type="dxa"/>
              <w:left w:w="160" w:type="dxa"/>
              <w:bottom w:w="180" w:type="dxa"/>
              <w:right w:w="160" w:type="dxa"/>
            </w:tcMar>
          </w:tcPr>
          <w:p>
            <w:pPr>
              <w:keepNext/>
              <w:spacing w:after="0"/>
              <w:jc w:val="center"/>
            </w:pPr>
            <w:r>
              <w:rPr>
                <w:rFonts w:ascii="Arial" w:hAnsi="Arial" w:cs="Arial"/>
                <w:b/>
                <w:i w:val="0"/>
                <w:color w:val="FFFFFF"/>
                <w:sz w:val="32"/>
              </w:rPr>
              <w:t>PART 5 BALANCE &amp; REPORTING</w:t>
            </w:r>
          </w:p>
        </w:tc>
      </w:tr>
    </w:tbl>
    <w:p>
      <w:pPr>
        <w:spacing w:after="0" w:before="0" w:line="240" w:lineRule="auto"/>
      </w:pPr>
      <w:r>
        <w:rPr>
          <w:rFonts w:ascii="Arial" w:hAnsi="Arial" w:cs="Arial"/>
          <w:b w:val="0"/>
          <w:i w:val="0"/>
          <w:color w:val="1F2430"/>
          <w:sz w:val="10"/>
        </w:rPr>
      </w:r>
    </w:p>
    <w:tbl>
      <w:tblPr>
        <w:tblW w:type="dxa" w:w="9936"/>
        <w:tblLook w:firstColumn="1" w:firstRow="1" w:lastColumn="0" w:lastRow="0" w:noHBand="0" w:noVBand="1" w:val="04A0"/>
        <w:tblBorders>
          <w:top w:val="nil"/>
          <w:left w:val="nil"/>
          <w:bottom w:val="nil"/>
          <w:right w:val="nil"/>
          <w:insideH w:val="nil"/>
          <w:insideV w:val="nil"/>
        </w:tblBorders>
        <w:tblLayout w:type="fixed"/>
      </w:tblPr>
      <w:tblGrid>
        <w:gridCol w:w="475"/>
        <w:gridCol w:w="9460"/>
      </w:tblGrid>
      <w:tr>
        <w:trPr>
          <w:cantSplit/>
        </w:trPr>
        <w:tc>
          <w:tcPr>
            <w:tcW w:type="dxa" w:w="461"/>
            <w:tcBorders>
              <w:top w:val="nil"/>
              <w:left w:val="nil"/>
              <w:bottom w:val="nil"/>
              <w:right w:val="nil"/>
            </w:tcBorders>
            <w:shd w:val="clear" w:color="auto" w:fill="F08A24"/>
            <w:tcMar>
              <w:top w:w="40" w:type="dxa"/>
              <w:left w:w="0" w:type="dxa"/>
              <w:bottom w:w="40" w:type="dxa"/>
              <w:right w:w="0" w:type="dxa"/>
            </w:tcMar>
          </w:tcPr>
          <w:p>
            <w:pPr>
              <w:keepNext/>
              <w:spacing w:after="0"/>
              <w:jc w:val="center"/>
            </w:pPr>
            <w:r>
              <w:rPr>
                <w:rFonts w:ascii="Arial" w:hAnsi="Arial" w:cs="Arial"/>
                <w:b/>
                <w:i w:val="0"/>
                <w:color w:val="FFFFFF"/>
                <w:sz w:val="24"/>
              </w:rPr>
              <w:t>8</w:t>
            </w:r>
          </w:p>
        </w:tc>
        <w:tc>
          <w:tcPr>
            <w:tcW w:type="dxa" w:w="9475"/>
            <w:tcBorders>
              <w:top w:val="nil"/>
              <w:left w:val="nil"/>
              <w:bottom w:val="nil"/>
              <w:right w:val="nil"/>
            </w:tcBorders>
            <w:tcMar>
              <w:top w:w="40" w:type="dxa"/>
              <w:left w:w="140" w:type="dxa"/>
              <w:bottom w:w="40" w:type="dxa"/>
              <w:right w:w="0" w:type="dxa"/>
            </w:tcMar>
          </w:tcPr>
          <w:p>
            <w:pPr>
              <w:keepNext/>
              <w:spacing w:after="0"/>
            </w:pPr>
            <w:r>
              <w:rPr>
                <w:rFonts w:ascii="Arial" w:hAnsi="Arial" w:cs="Arial"/>
                <w:b/>
                <w:i w:val="0"/>
                <w:color w:val="1E2A78"/>
                <w:sz w:val="26"/>
              </w:rPr>
              <w:t>Read the balance and reports</w:t>
            </w:r>
          </w:p>
        </w:tc>
      </w:tr>
    </w:tbl>
    <w:p>
      <w:pPr>
        <w:spacing w:after="0" w:before="0" w:line="240" w:lineRule="auto"/>
      </w:pPr>
      <w:r>
        <w:rPr>
          <w:rFonts w:ascii="Arial" w:hAnsi="Arial" w:cs="Arial"/>
          <w:b w:val="0"/>
          <w:i w:val="0"/>
          <w:color w:val="1F2430"/>
          <w:sz w:val="7"/>
        </w:rPr>
      </w:r>
    </w:p>
    <w:p>
      <w:pPr>
        <w:spacing w:after="140" w:before="0" w:line="293" w:lineRule="auto"/>
      </w:pPr>
      <w:r>
        <w:rPr>
          <w:rFonts w:ascii="Arial" w:hAnsi="Arial" w:cs="Arial"/>
          <w:b w:val="0"/>
          <w:i w:val="0"/>
          <w:color w:val="1F2430"/>
          <w:sz w:val="21"/>
        </w:rPr>
        <w:t>My Leave Requests lists your requests colour-coded by status (green approved, orange pending, red rejected, grey cancelled) with the paid, unpaid and deduction figures. Managers use the Approved Leaves Report, grouped by employee, for payroll and the leave calendar.</w:t>
      </w:r>
    </w:p>
    <w:p>
      <w:pPr>
        <w:keepNext/>
        <w:spacing w:before="120" w:after="60"/>
        <w:jc w:val="center"/>
      </w:pPr>
      <w:r>
        <w:drawing>
          <wp:inline xmlns:a="http://schemas.openxmlformats.org/drawingml/2006/main" xmlns:pic="http://schemas.openxmlformats.org/drawingml/2006/picture">
            <wp:extent cx="5760720" cy="1477724"/>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760720" cy="1477724"/>
                    </a:xfrm>
                    <a:prstGeom prst="rect"/>
                  </pic:spPr>
                </pic:pic>
              </a:graphicData>
            </a:graphic>
          </wp:inline>
        </w:drawing>
      </w:r>
    </w:p>
    <w:p>
      <w:pPr>
        <w:spacing w:after="200"/>
        <w:jc w:val="center"/>
      </w:pPr>
      <w:r>
        <w:rPr>
          <w:rFonts w:ascii="Arial" w:hAnsi="Arial" w:cs="Arial"/>
          <w:b w:val="0"/>
          <w:i/>
          <w:color w:val="888B91"/>
          <w:sz w:val="17"/>
        </w:rPr>
        <w:t>Requests are colour-coded by status, with the paid, unpaid and deduction figures.</w:t>
      </w:r>
    </w:p>
    <w:p>
      <w:pPr>
        <w:keepNext/>
        <w:spacing w:before="120" w:after="60"/>
        <w:jc w:val="center"/>
      </w:pPr>
      <w:r>
        <w:drawing>
          <wp:inline xmlns:a="http://schemas.openxmlformats.org/drawingml/2006/main" xmlns:pic="http://schemas.openxmlformats.org/drawingml/2006/picture">
            <wp:extent cx="5760720" cy="1710449"/>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5760720" cy="1710449"/>
                    </a:xfrm>
                    <a:prstGeom prst="rect"/>
                  </pic:spPr>
                </pic:pic>
              </a:graphicData>
            </a:graphic>
          </wp:inline>
        </w:drawing>
      </w:r>
    </w:p>
    <w:p>
      <w:pPr>
        <w:spacing w:after="200"/>
        <w:jc w:val="center"/>
      </w:pPr>
      <w:r>
        <w:rPr>
          <w:rFonts w:ascii="Arial" w:hAnsi="Arial" w:cs="Arial"/>
          <w:b w:val="0"/>
          <w:i/>
          <w:color w:val="888B91"/>
          <w:sz w:val="17"/>
        </w:rPr>
        <w:t>The Approved Leaves Report, grouped by employee, for payroll.</w:t>
      </w:r>
    </w:p>
    <w:p>
      <w:pPr>
        <w:keepNext/>
        <w:spacing w:after="120" w:before="240" w:line="293" w:lineRule="auto"/>
      </w:pPr>
      <w:r>
        <w:rPr>
          <w:rFonts w:ascii="Arial" w:hAnsi="Arial" w:cs="Arial"/>
          <w:b/>
          <w:i w:val="0"/>
          <w:color w:val="1E2A78"/>
          <w:sz w:val="28"/>
        </w:rPr>
        <w:t>Quick Reference — Buttons &amp; Menus</w:t>
      </w:r>
    </w:p>
    <w:tbl>
      <w:tblPr>
        <w:tblW w:type="dxa" w:w="9936"/>
        <w:tblLook w:firstColumn="1" w:firstRow="1" w:lastColumn="0" w:lastRow="0" w:noHBand="0" w:noVBand="1" w:val="04A0"/>
        <w:tblLayout w:type="fixed"/>
      </w:tblPr>
      <w:tblGrid>
        <w:gridCol w:w="4114"/>
        <w:gridCol w:w="5821"/>
      </w:tblGrid>
      <w:tr>
        <w:trPr>
          <w:cantSplit/>
        </w:trPr>
        <w:tc>
          <w:tcPr>
            <w:tcW w:type="dxa" w:w="4115"/>
            <w:tcBorders>
              <w:top w:val="nil"/>
              <w:left w:val="nil"/>
              <w:bottom w:val="single" w:sz="4" w:space="0" w:color="1E2A78"/>
              <w:right w:val="nil"/>
            </w:tcBorders>
            <w:shd w:val="clear" w:color="auto" w:fill="1E2A78"/>
            <w:tcMar>
              <w:top w:w="90" w:type="dxa"/>
              <w:left w:w="120" w:type="dxa"/>
              <w:bottom w:w="90" w:type="dxa"/>
              <w:right w:w="120" w:type="dxa"/>
            </w:tcMar>
          </w:tcPr>
          <w:p>
            <w:pPr>
              <w:spacing w:after="0"/>
            </w:pPr>
            <w:r>
              <w:rPr>
                <w:rFonts w:ascii="Arial" w:hAnsi="Arial" w:cs="Arial"/>
                <w:b/>
                <w:i w:val="0"/>
                <w:color w:val="FFFFFF"/>
                <w:sz w:val="18"/>
              </w:rPr>
              <w:t>Where</w:t>
            </w:r>
          </w:p>
        </w:tc>
        <w:tc>
          <w:tcPr>
            <w:tcW w:type="dxa" w:w="5821"/>
            <w:tcBorders>
              <w:top w:val="nil"/>
              <w:left w:val="nil"/>
              <w:bottom w:val="single" w:sz="4" w:space="0" w:color="1E2A78"/>
              <w:right w:val="nil"/>
            </w:tcBorders>
            <w:shd w:val="clear" w:color="auto" w:fill="1E2A78"/>
            <w:tcMar>
              <w:top w:w="90" w:type="dxa"/>
              <w:left w:w="120" w:type="dxa"/>
              <w:bottom w:w="90" w:type="dxa"/>
              <w:right w:w="120" w:type="dxa"/>
            </w:tcMar>
          </w:tcPr>
          <w:p>
            <w:pPr>
              <w:spacing w:after="0"/>
            </w:pPr>
            <w:r>
              <w:rPr>
                <w:rFonts w:ascii="Arial" w:hAnsi="Arial" w:cs="Arial"/>
                <w:b/>
                <w:i w:val="0"/>
                <w:color w:val="FFFFFF"/>
                <w:sz w:val="18"/>
              </w:rPr>
              <w:t>What it does</w:t>
            </w:r>
          </w:p>
        </w:tc>
      </w:tr>
      <w:tr>
        <w:trPr>
          <w:cantSplit/>
        </w:trPr>
        <w:tc>
          <w:tcPr>
            <w:tcW w:type="dxa" w:w="4115"/>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Leave Policy</w:t>
            </w:r>
          </w:p>
        </w:tc>
        <w:tc>
          <w:tcPr>
            <w:tcW w:type="dxa" w:w="5821"/>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Set paid quota, unpaid deduction and carry-forward (admin).</w:t>
            </w:r>
          </w:p>
        </w:tc>
      </w:tr>
      <w:tr>
        <w:trPr>
          <w:cantSplit/>
        </w:trPr>
        <w:tc>
          <w:tcPr>
            <w:tcW w:type="dxa" w:w="4115"/>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My Leave Requests</w:t>
            </w:r>
          </w:p>
        </w:tc>
        <w:tc>
          <w:tcPr>
            <w:tcW w:type="dxa" w:w="5821"/>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Raise and track your own requests.</w:t>
            </w:r>
          </w:p>
        </w:tc>
      </w:tr>
      <w:tr>
        <w:trPr>
          <w:cantSplit/>
        </w:trPr>
        <w:tc>
          <w:tcPr>
            <w:tcW w:type="dxa" w:w="4115"/>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Submit for Approval</w:t>
            </w:r>
          </w:p>
        </w:tc>
        <w:tc>
          <w:tcPr>
            <w:tcW w:type="dxa" w:w="5821"/>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Send a draft request to your manager.</w:t>
            </w:r>
          </w:p>
        </w:tc>
      </w:tr>
      <w:tr>
        <w:trPr>
          <w:cantSplit/>
        </w:trPr>
        <w:tc>
          <w:tcPr>
            <w:tcW w:type="dxa" w:w="4115"/>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Approve / Reject</w:t>
            </w:r>
          </w:p>
        </w:tc>
        <w:tc>
          <w:tcPr>
            <w:tcW w:type="dxa" w:w="5821"/>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Manager decision on a pending request.</w:t>
            </w:r>
          </w:p>
        </w:tc>
      </w:tr>
      <w:tr>
        <w:trPr>
          <w:cantSplit/>
        </w:trPr>
        <w:tc>
          <w:tcPr>
            <w:tcW w:type="dxa" w:w="4115"/>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Cancel / Reset to Draft</w:t>
            </w:r>
          </w:p>
        </w:tc>
        <w:tc>
          <w:tcPr>
            <w:tcW w:type="dxa" w:w="5821"/>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Withdraw a request, or reopen a rejected/cancelled one.</w:t>
            </w:r>
          </w:p>
        </w:tc>
      </w:tr>
      <w:tr>
        <w:trPr>
          <w:cantSplit/>
        </w:trPr>
        <w:tc>
          <w:tcPr>
            <w:tcW w:type="dxa" w:w="4115"/>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i w:val="0"/>
                <w:color w:val="1F2430"/>
                <w:sz w:val="18"/>
              </w:rPr>
              <w:t>All Leave Requests</w:t>
            </w:r>
          </w:p>
        </w:tc>
        <w:tc>
          <w:tcPr>
            <w:tcW w:type="dxa" w:w="5821"/>
            <w:tcBorders>
              <w:top w:val="nil"/>
              <w:left w:val="nil"/>
              <w:bottom w:val="single" w:sz="4" w:space="0" w:color="D7DEEF"/>
              <w:right w:val="nil"/>
            </w:tcBorders>
            <w:shd w:val="clear" w:color="auto" w:fill="F1F4FB"/>
            <w:tcMar>
              <w:top w:w="80" w:type="dxa"/>
              <w:left w:w="120" w:type="dxa"/>
              <w:bottom w:w="80" w:type="dxa"/>
              <w:right w:w="120" w:type="dxa"/>
            </w:tcMar>
          </w:tcPr>
          <w:p>
            <w:pPr>
              <w:spacing w:after="0" w:line="276" w:lineRule="auto"/>
            </w:pPr>
            <w:r>
              <w:rPr>
                <w:rFonts w:ascii="Arial" w:hAnsi="Arial" w:cs="Arial"/>
                <w:b w:val="0"/>
                <w:i w:val="0"/>
                <w:color w:val="1F2430"/>
                <w:sz w:val="18"/>
              </w:rPr>
              <w:t>Manager queue, pre-filtered to pending.</w:t>
            </w:r>
          </w:p>
        </w:tc>
      </w:tr>
      <w:tr>
        <w:trPr>
          <w:cantSplit/>
        </w:trPr>
        <w:tc>
          <w:tcPr>
            <w:tcW w:type="dxa" w:w="4115"/>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i w:val="0"/>
                <w:color w:val="1F2430"/>
                <w:sz w:val="18"/>
              </w:rPr>
              <w:t>Approved Leaves Report</w:t>
            </w:r>
          </w:p>
        </w:tc>
        <w:tc>
          <w:tcPr>
            <w:tcW w:type="dxa" w:w="5821"/>
            <w:tcBorders>
              <w:top w:val="nil"/>
              <w:left w:val="nil"/>
              <w:bottom w:val="single" w:sz="4" w:space="0" w:color="D7DEEF"/>
              <w:right w:val="nil"/>
            </w:tcBorders>
            <w:tcMar>
              <w:top w:w="80" w:type="dxa"/>
              <w:left w:w="120" w:type="dxa"/>
              <w:bottom w:w="80" w:type="dxa"/>
              <w:right w:w="120" w:type="dxa"/>
            </w:tcMar>
          </w:tcPr>
          <w:p>
            <w:pPr>
              <w:spacing w:after="0" w:line="276" w:lineRule="auto"/>
            </w:pPr>
            <w:r>
              <w:rPr>
                <w:rFonts w:ascii="Arial" w:hAnsi="Arial" w:cs="Arial"/>
                <w:b w:val="0"/>
                <w:i w:val="0"/>
                <w:color w:val="1F2430"/>
                <w:sz w:val="18"/>
              </w:rPr>
              <w:t>Approved leave grouped by employee for payroll.</w:t>
            </w:r>
          </w:p>
        </w:tc>
      </w:tr>
    </w:tbl>
    <w:p>
      <w:pPr>
        <w:spacing w:after="0" w:before="0" w:line="240" w:lineRule="auto"/>
      </w:pPr>
      <w:r>
        <w:rPr>
          <w:rFonts w:ascii="Arial" w:hAnsi="Arial" w:cs="Arial"/>
          <w:b w:val="0"/>
          <w:i w:val="0"/>
          <w:color w:val="1F2430"/>
          <w:sz w:val="14"/>
        </w:rPr>
      </w:r>
    </w:p>
    <w:p>
      <w:pPr>
        <w:keepNext/>
        <w:spacing w:after="120" w:before="240" w:line="293" w:lineRule="auto"/>
      </w:pPr>
      <w:r>
        <w:rPr>
          <w:rFonts w:ascii="Arial" w:hAnsi="Arial" w:cs="Arial"/>
          <w:b/>
          <w:i w:val="0"/>
          <w:color w:val="1E2A78"/>
          <w:sz w:val="28"/>
        </w:rPr>
        <w:t>Things to Remember</w:t>
      </w:r>
    </w:p>
    <w:p>
      <w:pPr>
        <w:pStyle w:val="ListBullet"/>
        <w:spacing w:after="60" w:line="288" w:lineRule="auto"/>
        <w:ind w:left="432"/>
      </w:pPr>
      <w:r>
        <w:rPr>
          <w:rFonts w:ascii="Arial" w:hAnsi="Arial" w:cs="Arial"/>
          <w:b w:val="0"/>
          <w:i w:val="0"/>
          <w:color w:val="1F2430"/>
          <w:sz w:val="20"/>
        </w:rPr>
        <w:t>Set the Leave Policy first — the paid/unpaid split and deductions depend on it.</w:t>
      </w:r>
    </w:p>
    <w:p>
      <w:pPr>
        <w:pStyle w:val="ListBullet"/>
        <w:spacing w:after="60" w:line="288" w:lineRule="auto"/>
        <w:ind w:left="432"/>
      </w:pPr>
      <w:r>
        <w:rPr>
          <w:rFonts w:ascii="Arial" w:hAnsi="Arial" w:cs="Arial"/>
          <w:b w:val="0"/>
          <w:i w:val="0"/>
          <w:color w:val="1F2430"/>
          <w:sz w:val="20"/>
        </w:rPr>
        <w:t>From Date is required; add a To Date for multi-day leave, or tick Half Day for half a day.</w:t>
      </w:r>
    </w:p>
    <w:p>
      <w:pPr>
        <w:pStyle w:val="ListBullet"/>
        <w:spacing w:after="60" w:line="288" w:lineRule="auto"/>
        <w:ind w:left="432"/>
      </w:pPr>
      <w:r>
        <w:rPr>
          <w:rFonts w:ascii="Arial" w:hAnsi="Arial" w:cs="Arial"/>
          <w:b w:val="0"/>
          <w:i w:val="0"/>
          <w:color w:val="1F2430"/>
          <w:sz w:val="20"/>
        </w:rPr>
        <w:t>Paid days follow your remaining yearly and monthly quota; the rest is unpaid and deducted.</w:t>
      </w:r>
    </w:p>
    <w:p>
      <w:pPr>
        <w:pStyle w:val="ListBullet"/>
        <w:spacing w:after="60" w:line="288" w:lineRule="auto"/>
        <w:ind w:left="432"/>
      </w:pPr>
      <w:r>
        <w:rPr>
          <w:rFonts w:ascii="Arial" w:hAnsi="Arial" w:cs="Arial"/>
          <w:b w:val="0"/>
          <w:i w:val="0"/>
          <w:color w:val="1F2430"/>
          <w:sz w:val="20"/>
        </w:rPr>
        <w:t>Requests cannot overlap an existing non-rejected request.</w:t>
      </w:r>
    </w:p>
    <w:p>
      <w:pPr>
        <w:pStyle w:val="ListBullet"/>
        <w:spacing w:after="60" w:line="288" w:lineRule="auto"/>
        <w:ind w:left="432"/>
      </w:pPr>
      <w:r>
        <w:rPr>
          <w:rFonts w:ascii="Arial" w:hAnsi="Arial" w:cs="Arial"/>
          <w:b w:val="0"/>
          <w:i w:val="0"/>
          <w:color w:val="1F2430"/>
          <w:sz w:val="20"/>
        </w:rPr>
        <w:t>Managers work from All Leave Requests (pending); Approved Leaves Report feeds payroll.</w:t>
      </w:r>
    </w:p>
    <w:p>
      <w:pPr>
        <w:spacing w:after="0" w:before="0" w:line="240" w:lineRule="auto"/>
      </w:pPr>
      <w:r>
        <w:rPr>
          <w:rFonts w:ascii="Arial" w:hAnsi="Arial" w:cs="Arial"/>
          <w:b w:val="0"/>
          <w:i w:val="0"/>
          <w:color w:val="1F2430"/>
          <w:sz w:val="7"/>
        </w:rPr>
      </w:r>
    </w:p>
    <w:p>
      <w:pPr>
        <w:spacing w:after="140" w:before="280" w:line="293" w:lineRule="auto"/>
        <w:jc w:val="center"/>
      </w:pPr>
      <w:r>
        <w:rPr>
          <w:rFonts w:ascii="Arial" w:hAnsi="Arial" w:cs="Arial"/>
          <w:b w:val="0"/>
          <w:i/>
          <w:color w:val="888B91"/>
          <w:sz w:val="19"/>
        </w:rPr>
        <w:t>— End of Guide —</w:t>
      </w:r>
    </w:p>
    <w:p>
      <w:pPr>
        <w:spacing w:after="140" w:before="0" w:line="293" w:lineRule="auto"/>
        <w:jc w:val="center"/>
      </w:pPr>
      <w:r>
        <w:rPr>
          <w:rFonts w:ascii="Arial" w:hAnsi="Arial" w:cs="Arial"/>
          <w:b w:val="0"/>
          <w:i w:val="0"/>
          <w:color w:val="A0A4AD"/>
          <w:sz w:val="16"/>
        </w:rPr>
        <w:t>369ai.Biz | HR Leave Request — HR Guide</w:t>
      </w:r>
    </w:p>
    <w:sectPr w:rsidR="00FC693F" w:rsidRPr="0006063C" w:rsidSect="00034616">
      <w:headerReference w:type="default" r:id="rId9"/>
      <w:footerReference w:type="default" r:id="rId10"/>
      <w:pgSz w:w="11906" w:h="16838"/>
      <w:pgMar w:top="850" w:right="907" w:bottom="850" w:left="907"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7DEEF"/>
      </w:pBdr>
      <w:tabs>
        <w:tab w:pos="9936" w:val="right"/>
      </w:tabs>
      <w:spacing w:before="40"/>
    </w:pPr>
    <w:r>
      <w:rPr>
        <w:rFonts w:ascii="Arial" w:hAnsi="Arial" w:cs="Arial"/>
        <w:b w:val="0"/>
        <w:i w:val="0"/>
        <w:color w:val="888B91"/>
        <w:sz w:val="16"/>
      </w:rPr>
      <w:t>369ai  –  HR Leave Request</w:t>
      <w:tab/>
    </w:r>
    <w:r>
      <w:rPr>
        <w:rFonts w:ascii="Arial" w:hAnsi="Arial" w:cs="Arial"/>
        <w:b w:val="0"/>
        <w:i w:val="0"/>
        <w:color w:val="888B91"/>
        <w:sz w:val="16"/>
      </w:rPr>
      <w:t xml:space="preserve">Page </w:t>
    </w:r>
    <w:r>
      <w:rPr>
        <w:rFonts w:ascii="Arial" w:hAnsi="Arial" w:cs="Arial"/>
        <w:b w:val="0"/>
        <w:i w:val="0"/>
        <w:color w:val="888B91"/>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0" w:color="F08A24"/>
      </w:pBdr>
      <w:shd w:val="clear" w:color="auto" w:fill="1E2A78"/>
      <w:spacing w:after="0" w:before="0"/>
    </w:pPr>
    <w:r>
      <w:rPr>
        <w:rFonts w:ascii="Arial" w:hAnsi="Arial" w:cs="Arial"/>
        <w:b w:val="0"/>
        <w:i w:val="0"/>
        <w:color w:val="FFFFFF"/>
        <w:sz w:val="8"/>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4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936" w:val="right"/>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