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Music Store Data Analysis - Insights and Visuals</w:t>
      </w:r>
    </w:p>
    <w:p>
      <w:r>
        <w:br/>
        <w:t>This document visually presents key insights derived from the analysis.</w:t>
        <w:br/>
        <w:t>The following charts summarize the top-performing artists, countries, and sales trends.</w:t>
        <w:br/>
      </w:r>
    </w:p>
    <w:p>
      <w:r>
        <w:drawing>
          <wp:inline xmlns:a="http://schemas.openxmlformats.org/drawingml/2006/main" xmlns:pic="http://schemas.openxmlformats.org/drawingml/2006/picture">
            <wp:extent cx="64008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artists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Top 5 Artists by Revenue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by_count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Revenue Contribution by Country</w:t>
      </w:r>
    </w:p>
    <w:p>
      <w:r>
        <w:br/>
        <w:t>INSIGHTS SUMMARY</w:t>
        <w:br/>
        <w:t>----------------</w:t>
        <w:br/>
        <w:t>1. Ed Sheeran, Adele, and Drake are the top revenue-generating artists.</w:t>
        <w:br/>
        <w:t>2. The United States contributes nearly half of global sales revenue.</w:t>
        <w:br/>
        <w:t>3. Sales show a strong seasonal trend, peaking in November and December.</w:t>
        <w:br/>
        <w:t>4. Average Unit Price across artists remains consistent near $8.50.</w:t>
        <w:br/>
        <w:t>5. Countries like Germany and Australia show emerging sales growth.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