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exx6e1cdjnl" w:id="0"/>
      <w:bookmarkEnd w:id="0"/>
      <w:r w:rsidDel="00000000" w:rsidR="00000000" w:rsidRPr="00000000">
        <w:rPr>
          <w:rtl w:val="0"/>
        </w:rPr>
        <w:t xml:space="preserve">Dear IBM Investor:</w:t>
      </w:r>
    </w:p>
    <w:p w:rsidR="00000000" w:rsidDel="00000000" w:rsidP="00000000" w:rsidRDefault="00000000" w:rsidRPr="00000000" w14:paraId="00000002">
      <w:pPr>
        <w:rPr/>
      </w:pPr>
      <w:r w:rsidDel="00000000" w:rsidR="00000000" w:rsidRPr="00000000">
        <w:rPr>
          <w:rtl w:val="0"/>
        </w:rPr>
        <w:t xml:space="preserve">IBM’s strategy is built on two technology foundations: hybrid cloud and AI. Together, they unlock the full value of enterprise data and enable businesses to operate with greater intelligence, agility, and scale. We have repositioned IBM as a software-led, fully integrated platform company—combining technology, consulting, and infrastructure. And we’re investing in the platforms that will define the next era of computing, including quantum. As this report demonstrates, that strategy is generating strong returns for our clients and shareholders.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2025 was the year business leaders stopped speculating about what AI could do and started asking what it would deliver. IBM answered by deploying enterprise AI that improves the economics of real work—boosting productivity, increasing innovation, strengthening competitive advantage, and fueling growth. IBM’s technology and expertise are helping thousands of clients become smarter businesses by embedding AI into their core systems, workflows, and processes. And we are applying this approach inside our own company.</w:t>
      </w:r>
    </w:p>
    <w:p w:rsidR="00000000" w:rsidDel="00000000" w:rsidP="00000000" w:rsidRDefault="00000000" w:rsidRPr="00000000" w14:paraId="00000005">
      <w:pPr>
        <w:pStyle w:val="Heading1"/>
        <w:rPr/>
      </w:pPr>
      <w:bookmarkStart w:colFirst="0" w:colLast="0" w:name="_2i9m1d8sfnsw" w:id="1"/>
      <w:bookmarkEnd w:id="1"/>
      <w:r w:rsidDel="00000000" w:rsidR="00000000" w:rsidRPr="00000000">
        <w:rPr>
          <w:rtl w:val="0"/>
        </w:rPr>
        <w:t xml:space="preserve">II    IBM 2025 Annual Report    1</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