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IBM 2025 Annual Report</w:t>
      </w:r>
    </w:p>
    <w:p w:rsidR="00000000" w:rsidDel="00000000" w:rsidP="00000000" w:rsidRDefault="00000000" w:rsidRPr="00000000" w14:paraId="00000002">
      <w:pPr>
        <w:pStyle w:val="Heading1"/>
        <w:rPr/>
      </w:pPr>
      <w:bookmarkStart w:colFirst="0" w:colLast="0" w:name="_g9zoaesxjs8h" w:id="0"/>
      <w:bookmarkEnd w:id="0"/>
      <w:r w:rsidDel="00000000" w:rsidR="00000000" w:rsidRPr="00000000">
        <w:rPr>
          <w:rtl w:val="0"/>
        </w:rPr>
        <w:t xml:space="preserve">Financial Overview</w:t>
      </w:r>
    </w:p>
    <w:p w:rsidR="00000000" w:rsidDel="00000000" w:rsidP="00000000" w:rsidRDefault="00000000" w:rsidRPr="00000000" w14:paraId="00000003">
      <w:pPr>
        <w:rPr/>
      </w:pPr>
      <w:r w:rsidDel="00000000" w:rsidR="00000000" w:rsidRPr="00000000">
        <w:rPr>
          <w:rtl w:val="0"/>
        </w:rPr>
        <w:t xml:space="preserve">For the year, IBM generated $67.5 billion in revenue, up 6% at constant currency. We delivered $14.7 billion in free cash flow—our highest in over a decade and our highest free cash flow margin in reported history. Our generative AI book of business now stands at more than $12.5 billion since inception to date. Software revenue grew 9% at constant currency. This was our highest annual growth rate in history, and software now represents approximately 45% of IBM’s total revenue. Consulting revenue was flat at constant currency, reflecting consistent demand for AI-enabled workflow transformation. Infrastructure revenue grew 10% at constant currency, led by strength in mission-critical platforms like the new z17.</w:t>
      </w:r>
    </w:p>
    <w:p w:rsidR="00000000" w:rsidDel="00000000" w:rsidP="00000000" w:rsidRDefault="00000000" w:rsidRPr="00000000" w14:paraId="00000004">
      <w:pPr>
        <w:pStyle w:val="Heading1"/>
        <w:rPr/>
      </w:pPr>
      <w:bookmarkStart w:colFirst="0" w:colLast="0" w:name="_sk0b43f93gtl" w:id="1"/>
      <w:bookmarkEnd w:id="1"/>
      <w:r w:rsidDel="00000000" w:rsidR="00000000" w:rsidRPr="00000000">
        <w:rPr>
          <w:rtl w:val="0"/>
        </w:rPr>
        <w:t xml:space="preserve">Operating Performance</w:t>
      </w:r>
    </w:p>
    <w:p w:rsidR="00000000" w:rsidDel="00000000" w:rsidP="00000000" w:rsidRDefault="00000000" w:rsidRPr="00000000" w14:paraId="00000005">
      <w:pPr>
        <w:rPr/>
      </w:pPr>
      <w:r w:rsidDel="00000000" w:rsidR="00000000" w:rsidRPr="00000000">
        <w:rPr>
          <w:rtl w:val="0"/>
        </w:rPr>
        <w:t xml:space="preserve">These results reflect the strength of IBM’s strategy as a software-led company built on four core platforms: hybrid cloud, AI, infrastructure with IBM Z, and an emerging platform around quantum computing. Our push for greater productivity is also driven by a cultural transformation that fosters growth and performance by emphasizing speed, risk tolerance, and talent. The most successful businesses convert new technology into operating leverage. This was true of the internet, it was true of hybrid cloud, and it is true of AI. AI is redefining business economics by making possible what was previously too complex, too slow, or too costly. Enterprises that integrate AI into real workflows, at scale, and with clear economic returns will win. That is the promise of creating a smarter business. And that is the future IBM is delivering for our clients and our shareholders. I invite you to continue this smarter business journey with us.</w:t>
      </w:r>
    </w:p>
    <w:p w:rsidR="00000000" w:rsidDel="00000000" w:rsidP="00000000" w:rsidRDefault="00000000" w:rsidRPr="00000000" w14:paraId="00000006">
      <w:pPr>
        <w:pStyle w:val="Heading1"/>
        <w:rPr/>
      </w:pPr>
      <w:bookmarkStart w:colFirst="0" w:colLast="0" w:name="_uu1o3pfgnrff" w:id="2"/>
      <w:bookmarkEnd w:id="2"/>
      <w:r w:rsidDel="00000000" w:rsidR="00000000" w:rsidRPr="00000000">
        <w:rPr>
          <w:rtl w:val="0"/>
        </w:rPr>
        <w:t xml:space="preserve">Revenue Growth</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Revenue growth¹</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Free cash flow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 in billions)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$14.7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$12.7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$11.2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Consulting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Flat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10%</w:t>
            </w:r>
          </w:p>
        </w:tc>
      </w:tr>
    </w:tbl>
    <w:p w:rsidR="00000000" w:rsidDel="00000000" w:rsidP="00000000" w:rsidRDefault="00000000" w:rsidRPr="00000000" w14:paraId="00000017">
      <w:pPr>
        <w:pStyle w:val="Heading1"/>
        <w:rPr/>
      </w:pPr>
      <w:bookmarkStart w:colFirst="0" w:colLast="0" w:name="_tcpys4otloxc" w:id="3"/>
      <w:bookmarkEnd w:id="3"/>
      <w:r w:rsidDel="00000000" w:rsidR="00000000" w:rsidRPr="00000000">
        <w:rPr>
          <w:rtl w:val="0"/>
        </w:rPr>
        <w:t xml:space="preserve">Operating Pre-tax Income Margin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FY2023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FY2024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FY2025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Operating pre-tax income margin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17%</w:t>
            </w:r>
          </w:p>
        </w:tc>
      </w:tr>
    </w:tbl>
    <w:p w:rsidR="00000000" w:rsidDel="00000000" w:rsidP="00000000" w:rsidRDefault="00000000" w:rsidRPr="00000000" w14:paraId="00000020">
      <w:pPr>
        <w:pStyle w:val="Heading1"/>
        <w:rPr/>
      </w:pPr>
      <w:bookmarkStart w:colFirst="0" w:colLast="0" w:name="_fcjxa345qfh9" w:id="4"/>
      <w:bookmarkEnd w:id="4"/>
      <w:r w:rsidDel="00000000" w:rsidR="00000000" w:rsidRPr="00000000">
        <w:rPr>
          <w:rtl w:val="0"/>
        </w:rPr>
        <w:t xml:space="preserve">Shareholder Return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One-Year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Shareholder return²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160</w:t>
            </w:r>
          </w:p>
        </w:tc>
      </w:tr>
    </w:tbl>
    <w:p w:rsidR="00000000" w:rsidDel="00000000" w:rsidP="00000000" w:rsidRDefault="00000000" w:rsidRPr="00000000" w14:paraId="00000025">
      <w:pPr>
        <w:pStyle w:val="Heading1"/>
        <w:rPr/>
      </w:pPr>
      <w:bookmarkStart w:colFirst="0" w:colLast="0" w:name="_rhqilttm59zo" w:id="5"/>
      <w:bookmarkEnd w:id="5"/>
      <w:r w:rsidDel="00000000" w:rsidR="00000000" w:rsidRPr="00000000">
        <w:rPr>
          <w:rtl w:val="0"/>
        </w:rPr>
        <w:t xml:space="preserve">Investment in R&amp;D</w:t>
      </w:r>
    </w:p>
    <w:p w:rsidR="00000000" w:rsidDel="00000000" w:rsidP="00000000" w:rsidRDefault="00000000" w:rsidRPr="00000000" w14:paraId="00000026">
      <w:pPr>
        <w:rPr/>
      </w:pPr>
      <w:r w:rsidDel="00000000" w:rsidR="00000000" w:rsidRPr="00000000">
        <w:rPr>
          <w:rtl w:val="0"/>
        </w:rPr>
        <w:t xml:space="preserve">IBM invested over $8.3 billion in R&amp;D in 2025—not just in product development, but also in breakthrough science, including quantum computing. As hybrid cloud and AI scale intelligence today, quantum will soon work alongside those technologies to solve problems once considered impossible. We believe quantum technology today is comparable to where GPUs were in 2015: early, imperfect, but potentially transformative. As quantum computers swiftly advance from science to engineering, IBM is building the hardware, software, and ecosystem to make them a reality.</w:t>
      </w:r>
    </w:p>
    <w:p w:rsidR="00000000" w:rsidDel="00000000" w:rsidP="00000000" w:rsidRDefault="00000000" w:rsidRPr="00000000" w14:paraId="00000027">
      <w:pPr>
        <w:pStyle w:val="Heading1"/>
        <w:rPr/>
      </w:pPr>
      <w:bookmarkStart w:colFirst="0" w:colLast="0" w:name="_cuz0uiqd7zt7" w:id="6"/>
      <w:bookmarkEnd w:id="6"/>
      <w:r w:rsidDel="00000000" w:rsidR="00000000" w:rsidRPr="00000000">
        <w:rPr>
          <w:rtl w:val="0"/>
        </w:rPr>
        <w:t xml:space="preserve">Client Engagement</w:t>
      </w:r>
    </w:p>
    <w:p w:rsidR="00000000" w:rsidDel="00000000" w:rsidP="00000000" w:rsidRDefault="00000000" w:rsidRPr="00000000" w14:paraId="00000028">
      <w:pPr>
        <w:rPr/>
      </w:pPr>
      <w:r w:rsidDel="00000000" w:rsidR="00000000" w:rsidRPr="00000000">
        <w:rPr>
          <w:rtl w:val="0"/>
        </w:rPr>
        <w:t xml:space="preserve">We are bringing smarter business to life for a broader set of clients through an AI-first sales engine and an open, partner-led ecosystem. IBM is also becoming a smarter business itself. Our Client Zero approach uses IBM’s own technology and expertise to make internal improvements first, then scale those solutions for clients. AI-driven automation has contributed to new innovations and productivity gains.</w:t>
      </w:r>
    </w:p>
    <w:p w:rsidR="00000000" w:rsidDel="00000000" w:rsidP="00000000" w:rsidRDefault="00000000" w:rsidRPr="00000000" w14:paraId="00000029">
      <w:pPr>
        <w:pStyle w:val="Heading1"/>
        <w:rPr/>
      </w:pPr>
      <w:bookmarkStart w:colFirst="0" w:colLast="0" w:name="_vvs0x6y5l1j1" w:id="7"/>
      <w:bookmarkEnd w:id="7"/>
      <w:r w:rsidDel="00000000" w:rsidR="00000000" w:rsidRPr="00000000">
        <w:rPr>
          <w:rtl w:val="0"/>
        </w:rPr>
        <w:t xml:space="preserve">Future Outlook</w:t>
      </w:r>
    </w:p>
    <w:p w:rsidR="00000000" w:rsidDel="00000000" w:rsidP="00000000" w:rsidRDefault="00000000" w:rsidRPr="00000000" w14:paraId="0000002A">
      <w:pPr>
        <w:rPr/>
      </w:pPr>
      <w:r w:rsidDel="00000000" w:rsidR="00000000" w:rsidRPr="00000000">
        <w:rPr>
          <w:rtl w:val="0"/>
        </w:rPr>
        <w:t xml:space="preserve">The result is a flywheel effect, where revenue in one area pulls through revenue in others. Today, more than 80% of our revenue comes from clients who transact across these three business segments. That is the future IBM is delivering for our clients and our shareholders.</w:t>
      </w:r>
    </w:p>
    <w:p w:rsidR="00000000" w:rsidDel="00000000" w:rsidP="00000000" w:rsidRDefault="00000000" w:rsidRPr="00000000" w14:paraId="0000002B">
      <w:pPr>
        <w:pStyle w:val="Heading1"/>
        <w:rPr/>
      </w:pPr>
      <w:bookmarkStart w:colFirst="0" w:colLast="0" w:name="_qfbblrudwam0" w:id="8"/>
      <w:bookmarkEnd w:id="8"/>
      <w:r w:rsidDel="00000000" w:rsidR="00000000" w:rsidRPr="00000000">
        <w:rPr>
          <w:rtl w:val="0"/>
        </w:rPr>
        <w:t xml:space="preserve">Footnotes</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YoY revenue growth rates at constant currency. Highest annual software year-to-year growth rate in history comparison includes FY2022 year-to-year software growth rate excluding Kyndryl contribution of ~6pts.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Fiscal year ending December 31. Generative AI book of business is calculated as inception to date Software transactional revenue, plus new SaaS Annual Contract Value and Consulting signings related to specific offerings. For more information regarding generative AI book of business, refer to Exhibit 99.2 of the Form 8-K submitted with the SEC on January 28, 2026.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Arvind Krishna</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Chairman, President and Chief Executive Officer</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