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fill="0B1930"/>
            <w:tcMar>
              <w:top w:w="450" w:type="dxa"/>
              <w:start w:w="380" w:type="dxa"/>
              <w:bottom w:w="450" w:type="dxa"/>
              <w:end w:w="380" w:type="dxa"/>
            </w:tcMar>
          </w:tcPr>
          <w:p>
            <w:r>
              <w:rPr>
                <w:rFonts w:ascii="Aptos" w:hAnsi="Aptos"/>
                <w:b/>
                <w:color w:val="FFFFFF"/>
                <w:sz w:val="32"/>
              </w:rPr>
              <w:t>NEXORA</w:t>
            </w:r>
          </w:p>
          <w:p>
            <w:r>
              <w:rPr>
                <w:rFonts w:ascii="Aptos Display" w:hAnsi="Aptos Display"/>
                <w:b/>
                <w:color w:val="FFFFFF"/>
                <w:sz w:val="68"/>
              </w:rPr>
              <w:t>Enterprise Decision</w:t>
              <w:br/>
              <w:t>Intelligence Platform</w:t>
            </w:r>
          </w:p>
          <w:p>
            <w:pPr>
              <w:spacing w:before="200"/>
            </w:pPr>
            <w:r>
              <w:rPr>
                <w:rFonts w:ascii="Aptos" w:hAnsi="Aptos"/>
                <w:b w:val="0"/>
                <w:color w:val="BFDBFE"/>
                <w:sz w:val="30"/>
              </w:rPr>
              <w:t>Turn fragmented technology evidence into accountable executive action.</w:t>
            </w:r>
          </w:p>
        </w:tc>
      </w:tr>
    </w:tbl>
    <w:p/>
    <w:p>
      <w:pPr>
        <w:spacing w:after="280"/>
      </w:pPr>
      <w:r>
        <w:rPr>
          <w:rFonts w:ascii="Aptos Display" w:hAnsi="Aptos Display"/>
          <w:b/>
          <w:color w:val="0B1930"/>
          <w:sz w:val="46"/>
        </w:rPr>
        <w:t>One decision context. Every critical technology question.</w:t>
      </w:r>
    </w:p>
    <w:p>
      <w:pPr>
        <w:spacing w:after="180" w:line="276" w:lineRule="auto"/>
      </w:pPr>
      <w:r>
        <w:rPr>
          <w:rFonts w:ascii="Aptos" w:hAnsi="Aptos"/>
          <w:b w:val="0"/>
          <w:color w:val="475569"/>
          <w:sz w:val="24"/>
        </w:rPr>
        <w:t>Nexora connects technology, finance, architecture, operations, risk, governance, and AI without replacing the systems that already run your enterprise.</w:t>
      </w:r>
    </w:p>
    <w:tbl>
      <w:tblPr>
        <w:tblW w:type="auto" w:w="0"/>
        <w:tblLayout w:type="fixed"/>
        <w:tblLook w:firstColumn="1" w:firstRow="1" w:lastColumn="0" w:lastRow="0" w:noHBand="0" w:noVBand="1" w:val="04A0"/>
      </w:tblPr>
      <w:tblGrid>
        <w:gridCol w:w="3360"/>
        <w:gridCol w:w="3360"/>
        <w:gridCol w:w="3360"/>
      </w:tblGrid>
      <w:tr>
        <w:tc>
          <w:tcPr>
            <w:tcW w:type="dxa" w:w="3096"/>
            <w:vAlign w:val="top"/>
            <w:tcMar>
              <w:top w:w="220" w:type="dxa"/>
              <w:start w:w="220" w:type="dxa"/>
              <w:bottom w:w="220" w:type="dxa"/>
              <w:end w:w="220" w:type="dxa"/>
            </w:tcMar>
            <w:shd w:fill="F1F5F9"/>
          </w:tcPr>
          <w:p>
            <w:r>
              <w:rPr>
                <w:rFonts w:ascii="Aptos" w:hAnsi="Aptos"/>
                <w:b/>
                <w:color w:val="2563EB"/>
                <w:sz w:val="40"/>
              </w:rPr>
              <w:t>01</w:t>
            </w:r>
          </w:p>
          <w:p>
            <w:r>
              <w:rPr>
                <w:rFonts w:ascii="Aptos" w:hAnsi="Aptos"/>
                <w:b/>
                <w:color w:val="0B1930"/>
                <w:sz w:val="24"/>
              </w:rPr>
              <w:t>See what changed</w:t>
            </w:r>
          </w:p>
          <w:p>
            <w:pPr>
              <w:spacing w:line="252" w:lineRule="auto"/>
            </w:pPr>
            <w:r>
              <w:rPr>
                <w:rFonts w:ascii="Aptos" w:hAnsi="Aptos"/>
                <w:b w:val="0"/>
                <w:color w:val="475569"/>
                <w:sz w:val="19"/>
              </w:rPr>
              <w:t>Unify certified signals across spend, services, applications, vendors, and risk.</w:t>
            </w:r>
          </w:p>
        </w:tc>
        <w:tc>
          <w:tcPr>
            <w:tcW w:type="dxa" w:w="3096"/>
            <w:vAlign w:val="top"/>
            <w:tcMar>
              <w:top w:w="220" w:type="dxa"/>
              <w:start w:w="220" w:type="dxa"/>
              <w:bottom w:w="220" w:type="dxa"/>
              <w:end w:w="220" w:type="dxa"/>
            </w:tcMar>
            <w:shd w:fill="F1F5F9"/>
          </w:tcPr>
          <w:p>
            <w:r>
              <w:rPr>
                <w:rFonts w:ascii="Aptos" w:hAnsi="Aptos"/>
                <w:b/>
                <w:color w:val="2563EB"/>
                <w:sz w:val="40"/>
              </w:rPr>
              <w:t>02</w:t>
            </w:r>
          </w:p>
          <w:p>
            <w:r>
              <w:rPr>
                <w:rFonts w:ascii="Aptos" w:hAnsi="Aptos"/>
                <w:b/>
                <w:color w:val="0B1930"/>
                <w:sz w:val="24"/>
              </w:rPr>
              <w:t>Understand why</w:t>
            </w:r>
          </w:p>
          <w:p>
            <w:pPr>
              <w:spacing w:line="252" w:lineRule="auto"/>
            </w:pPr>
            <w:r>
              <w:rPr>
                <w:rFonts w:ascii="Aptos" w:hAnsi="Aptos"/>
                <w:b w:val="0"/>
                <w:color w:val="475569"/>
                <w:sz w:val="19"/>
              </w:rPr>
              <w:t>Trace every narrative, KPI, and recommendation to evidence, freshness, and confidence.</w:t>
            </w:r>
          </w:p>
        </w:tc>
        <w:tc>
          <w:tcPr>
            <w:tcW w:type="dxa" w:w="3096"/>
            <w:vAlign w:val="top"/>
            <w:tcMar>
              <w:top w:w="220" w:type="dxa"/>
              <w:start w:w="220" w:type="dxa"/>
              <w:bottom w:w="220" w:type="dxa"/>
              <w:end w:w="220" w:type="dxa"/>
            </w:tcMar>
            <w:shd w:fill="F1F5F9"/>
          </w:tcPr>
          <w:p>
            <w:r>
              <w:rPr>
                <w:rFonts w:ascii="Aptos" w:hAnsi="Aptos"/>
                <w:b/>
                <w:color w:val="2563EB"/>
                <w:sz w:val="40"/>
              </w:rPr>
              <w:t>03</w:t>
            </w:r>
          </w:p>
          <w:p>
            <w:r>
              <w:rPr>
                <w:rFonts w:ascii="Aptos" w:hAnsi="Aptos"/>
                <w:b/>
                <w:color w:val="0B1930"/>
                <w:sz w:val="24"/>
              </w:rPr>
              <w:t>Decide with control</w:t>
            </w:r>
          </w:p>
          <w:p>
            <w:pPr>
              <w:spacing w:line="252" w:lineRule="auto"/>
            </w:pPr>
            <w:r>
              <w:rPr>
                <w:rFonts w:ascii="Aptos" w:hAnsi="Aptos"/>
                <w:b w:val="0"/>
                <w:color w:val="475569"/>
                <w:sz w:val="19"/>
              </w:rPr>
              <w:t>Compare options, preserve human authority, and verify outcomes through governed workflows.</w:t>
            </w:r>
          </w:p>
        </w:tc>
      </w:tr>
    </w:tbl>
    <w:p>
      <w:r>
        <w:br w:type="page"/>
      </w:r>
    </w:p>
    <w:p>
      <w:pPr>
        <w:spacing w:after="160"/>
      </w:pPr>
      <w:r>
        <w:rPr>
          <w:rFonts w:ascii="Aptos" w:hAnsi="Aptos"/>
          <w:b/>
          <w:color w:val="2563EB"/>
          <w:sz w:val="18"/>
        </w:rPr>
        <w:t>THE EXECUTIVE PROBLEM</w:t>
      </w:r>
    </w:p>
    <w:p>
      <w:pPr>
        <w:spacing w:after="280"/>
      </w:pPr>
      <w:r>
        <w:rPr>
          <w:rFonts w:ascii="Aptos Display" w:hAnsi="Aptos Display"/>
          <w:b/>
          <w:color w:val="0B1930"/>
          <w:sz w:val="60"/>
        </w:rPr>
        <w:t>Technology decisions are still assembled by hand.</w:t>
      </w:r>
    </w:p>
    <w:p>
      <w:pPr>
        <w:spacing w:after="180" w:line="276" w:lineRule="auto"/>
      </w:pPr>
      <w:r>
        <w:rPr>
          <w:rFonts w:ascii="Aptos" w:hAnsi="Aptos"/>
          <w:b w:val="0"/>
          <w:color w:val="475569"/>
          <w:sz w:val="24"/>
        </w:rPr>
        <w:t>Critical answers live across cloud consoles, CMDBs, architecture repositories, finance tools, SaaS platforms, service management systems, and spreadsheets. The result is slower decisions, disputed numbers, unclear ownership, and recommendations that cannot be defended.</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fill="E2E8F0"/>
            <w:tcMar>
              <w:top w:w="150" w:type="dxa"/>
              <w:start w:w="80" w:type="dxa"/>
              <w:bottom w:w="150" w:type="dxa"/>
              <w:end w:w="80" w:type="dxa"/>
            </w:tcMar>
          </w:tcPr>
          <w:p>
            <w:pPr>
              <w:jc w:val="center"/>
            </w:pPr>
            <w:r>
              <w:rPr>
                <w:rFonts w:ascii="Aptos" w:hAnsi="Aptos"/>
                <w:b/>
                <w:color w:val="0B1930"/>
                <w:sz w:val="17"/>
              </w:rPr>
              <w:t>Technology</w:t>
            </w:r>
          </w:p>
        </w:tc>
        <w:tc>
          <w:tcPr>
            <w:tcW w:type="dxa" w:w="1680"/>
            <w:shd w:fill="E2E8F0"/>
            <w:tcMar>
              <w:top w:w="150" w:type="dxa"/>
              <w:start w:w="80" w:type="dxa"/>
              <w:bottom w:w="150" w:type="dxa"/>
              <w:end w:w="80" w:type="dxa"/>
            </w:tcMar>
          </w:tcPr>
          <w:p>
            <w:pPr>
              <w:jc w:val="center"/>
            </w:pPr>
            <w:r>
              <w:rPr>
                <w:rFonts w:ascii="Aptos" w:hAnsi="Aptos"/>
                <w:b/>
                <w:color w:val="0B1930"/>
                <w:sz w:val="17"/>
              </w:rPr>
              <w:t>Finance</w:t>
            </w:r>
          </w:p>
        </w:tc>
        <w:tc>
          <w:tcPr>
            <w:tcW w:type="dxa" w:w="1680"/>
            <w:shd w:fill="E2E8F0"/>
            <w:tcMar>
              <w:top w:w="150" w:type="dxa"/>
              <w:start w:w="80" w:type="dxa"/>
              <w:bottom w:w="150" w:type="dxa"/>
              <w:end w:w="80" w:type="dxa"/>
            </w:tcMar>
          </w:tcPr>
          <w:p>
            <w:pPr>
              <w:jc w:val="center"/>
            </w:pPr>
            <w:r>
              <w:rPr>
                <w:rFonts w:ascii="Aptos" w:hAnsi="Aptos"/>
                <w:b/>
                <w:color w:val="0B1930"/>
                <w:sz w:val="17"/>
              </w:rPr>
              <w:t>Architecture</w:t>
            </w:r>
          </w:p>
        </w:tc>
        <w:tc>
          <w:tcPr>
            <w:tcW w:type="dxa" w:w="1680"/>
            <w:shd w:fill="E2E8F0"/>
            <w:tcMar>
              <w:top w:w="150" w:type="dxa"/>
              <w:start w:w="80" w:type="dxa"/>
              <w:bottom w:w="150" w:type="dxa"/>
              <w:end w:w="80" w:type="dxa"/>
            </w:tcMar>
          </w:tcPr>
          <w:p>
            <w:pPr>
              <w:jc w:val="center"/>
            </w:pPr>
            <w:r>
              <w:rPr>
                <w:rFonts w:ascii="Aptos" w:hAnsi="Aptos"/>
                <w:b/>
                <w:color w:val="0B1930"/>
                <w:sz w:val="17"/>
              </w:rPr>
              <w:t>Operations</w:t>
            </w:r>
          </w:p>
        </w:tc>
        <w:tc>
          <w:tcPr>
            <w:tcW w:type="dxa" w:w="1680"/>
            <w:shd w:fill="E2E8F0"/>
            <w:tcMar>
              <w:top w:w="150" w:type="dxa"/>
              <w:start w:w="80" w:type="dxa"/>
              <w:bottom w:w="150" w:type="dxa"/>
              <w:end w:w="80" w:type="dxa"/>
            </w:tcMar>
          </w:tcPr>
          <w:p>
            <w:pPr>
              <w:jc w:val="center"/>
            </w:pPr>
            <w:r>
              <w:rPr>
                <w:rFonts w:ascii="Aptos" w:hAnsi="Aptos"/>
                <w:b/>
                <w:color w:val="0B1930"/>
                <w:sz w:val="17"/>
              </w:rPr>
              <w:t>Risk</w:t>
            </w:r>
          </w:p>
        </w:tc>
        <w:tc>
          <w:tcPr>
            <w:tcW w:type="dxa" w:w="1680"/>
            <w:shd w:fill="E2E8F0"/>
            <w:tcMar>
              <w:top w:w="150" w:type="dxa"/>
              <w:start w:w="80" w:type="dxa"/>
              <w:bottom w:w="150" w:type="dxa"/>
              <w:end w:w="80" w:type="dxa"/>
            </w:tcMar>
          </w:tcPr>
          <w:p>
            <w:pPr>
              <w:jc w:val="center"/>
            </w:pPr>
            <w:r>
              <w:rPr>
                <w:rFonts w:ascii="Aptos" w:hAnsi="Aptos"/>
                <w:b/>
                <w:color w:val="0B1930"/>
                <w:sz w:val="17"/>
              </w:rPr>
              <w:t>Governance</w:t>
            </w:r>
          </w:p>
        </w:tc>
      </w:tr>
      <w:tr>
        <w:tc>
          <w:tcPr>
            <w:tcW w:type="dxa" w:w="10080"/>
            <w:gridSpan w:val="6"/>
            <w:shd w:fill="2563EB"/>
            <w:tcMar>
              <w:top w:w="230" w:type="dxa"/>
              <w:start w:w="180" w:type="dxa"/>
              <w:bottom w:w="230" w:type="dxa"/>
              <w:end w:w="180" w:type="dxa"/>
            </w:tcMar>
          </w:tcPr>
          <w:p>
            <w:pPr>
              <w:jc w:val="center"/>
            </w:pPr>
            <w:r>
              <w:rPr>
                <w:rFonts w:ascii="Aptos" w:hAnsi="Aptos"/>
                <w:b/>
                <w:color w:val="FFFFFF"/>
                <w:sz w:val="20"/>
              </w:rPr>
              <w:t>NEXORA  →  EVIDENCE  →  EXPLANATION  →  RECOMMENDATION  →  HUMAN DECISION  →  VERIFIED OUTCOME</w:t>
            </w:r>
          </w:p>
        </w:tc>
      </w:tr>
    </w:tbl>
    <w:p/>
    <w:p>
      <w:pPr>
        <w:spacing w:after="160"/>
      </w:pPr>
      <w:r>
        <w:rPr>
          <w:rFonts w:ascii="Aptos" w:hAnsi="Aptos"/>
          <w:b/>
          <w:color w:val="2563EB"/>
          <w:sz w:val="18"/>
        </w:rPr>
        <w:t>WHAT NEXORA CHANGES</w:t>
      </w:r>
    </w:p>
    <w:tbl>
      <w:tblPr>
        <w:tblW w:type="auto" w:w="0"/>
        <w:tblLayout w:type="fixed"/>
        <w:tblLook w:firstColumn="1" w:firstRow="1" w:lastColumn="0" w:lastRow="0" w:noHBand="0" w:noVBand="1" w:val="04A0"/>
      </w:tblPr>
      <w:tblGrid>
        <w:gridCol w:w="3360"/>
        <w:gridCol w:w="3360"/>
        <w:gridCol w:w="3360"/>
      </w:tblGrid>
      <w:tr>
        <w:tc>
          <w:tcPr>
            <w:tcW w:type="dxa" w:w="3096"/>
            <w:vAlign w:val="top"/>
            <w:tcMar>
              <w:top w:w="220" w:type="dxa"/>
              <w:start w:w="220" w:type="dxa"/>
              <w:bottom w:w="220" w:type="dxa"/>
              <w:end w:w="220" w:type="dxa"/>
            </w:tcMar>
            <w:shd w:fill="F1F5F9"/>
          </w:tcPr>
          <w:p>
            <w:r>
              <w:rPr>
                <w:rFonts w:ascii="Aptos" w:hAnsi="Aptos"/>
                <w:b/>
                <w:color w:val="2563EB"/>
                <w:sz w:val="40"/>
              </w:rPr>
              <w:t>A</w:t>
            </w:r>
          </w:p>
          <w:p>
            <w:r>
              <w:rPr>
                <w:rFonts w:ascii="Aptos" w:hAnsi="Aptos"/>
                <w:b/>
                <w:color w:val="0B1930"/>
                <w:sz w:val="24"/>
              </w:rPr>
              <w:t>Truth before certainty</w:t>
            </w:r>
          </w:p>
          <w:p>
            <w:pPr>
              <w:spacing w:line="252" w:lineRule="auto"/>
            </w:pPr>
            <w:r>
              <w:rPr>
                <w:rFonts w:ascii="Aptos" w:hAnsi="Aptos"/>
                <w:b w:val="0"/>
                <w:color w:val="475569"/>
                <w:sz w:val="19"/>
              </w:rPr>
              <w:t>Missing evidence is UNKNOWN—not zero, not an estimate, and never a fabricated executive claim.</w:t>
            </w:r>
          </w:p>
        </w:tc>
        <w:tc>
          <w:tcPr>
            <w:tcW w:type="dxa" w:w="3096"/>
            <w:vAlign w:val="top"/>
            <w:tcMar>
              <w:top w:w="220" w:type="dxa"/>
              <w:start w:w="220" w:type="dxa"/>
              <w:bottom w:w="220" w:type="dxa"/>
              <w:end w:w="220" w:type="dxa"/>
            </w:tcMar>
            <w:shd w:fill="F1F5F9"/>
          </w:tcPr>
          <w:p>
            <w:r>
              <w:rPr>
                <w:rFonts w:ascii="Aptos" w:hAnsi="Aptos"/>
                <w:b/>
                <w:color w:val="2563EB"/>
                <w:sz w:val="40"/>
              </w:rPr>
              <w:t>B</w:t>
            </w:r>
          </w:p>
          <w:p>
            <w:r>
              <w:rPr>
                <w:rFonts w:ascii="Aptos" w:hAnsi="Aptos"/>
                <w:b/>
                <w:color w:val="0B1930"/>
                <w:sz w:val="24"/>
              </w:rPr>
              <w:t>Business context</w:t>
            </w:r>
          </w:p>
          <w:p>
            <w:pPr>
              <w:spacing w:line="252" w:lineRule="auto"/>
            </w:pPr>
            <w:r>
              <w:rPr>
                <w:rFonts w:ascii="Aptos" w:hAnsi="Aptos"/>
                <w:b w:val="0"/>
                <w:color w:val="475569"/>
                <w:sz w:val="19"/>
              </w:rPr>
              <w:t>Costs and risks connect to business services, dependencies, ownership, and customer outcomes.</w:t>
            </w:r>
          </w:p>
        </w:tc>
        <w:tc>
          <w:tcPr>
            <w:tcW w:type="dxa" w:w="3096"/>
            <w:vAlign w:val="top"/>
            <w:tcMar>
              <w:top w:w="220" w:type="dxa"/>
              <w:start w:w="220" w:type="dxa"/>
              <w:bottom w:w="220" w:type="dxa"/>
              <w:end w:w="220" w:type="dxa"/>
            </w:tcMar>
            <w:shd w:fill="F1F5F9"/>
          </w:tcPr>
          <w:p>
            <w:r>
              <w:rPr>
                <w:rFonts w:ascii="Aptos" w:hAnsi="Aptos"/>
                <w:b/>
                <w:color w:val="2563EB"/>
                <w:sz w:val="40"/>
              </w:rPr>
              <w:t>C</w:t>
            </w:r>
          </w:p>
          <w:p>
            <w:r>
              <w:rPr>
                <w:rFonts w:ascii="Aptos" w:hAnsi="Aptos"/>
                <w:b/>
                <w:color w:val="0B1930"/>
                <w:sz w:val="24"/>
              </w:rPr>
              <w:t>Authority stays human</w:t>
            </w:r>
          </w:p>
          <w:p>
            <w:pPr>
              <w:spacing w:line="252" w:lineRule="auto"/>
            </w:pPr>
            <w:r>
              <w:rPr>
                <w:rFonts w:ascii="Aptos" w:hAnsi="Aptos"/>
                <w:b w:val="0"/>
                <w:color w:val="475569"/>
                <w:sz w:val="19"/>
              </w:rPr>
              <w:t>AI explains and recommends. Accountable leaders approve, execute, and validate results.</w:t>
            </w:r>
          </w:p>
        </w:tc>
      </w:tr>
    </w:tbl>
    <w:p>
      <w:r>
        <w:br w:type="page"/>
      </w:r>
    </w:p>
    <w:p>
      <w:pPr>
        <w:spacing w:after="160"/>
      </w:pPr>
      <w:r>
        <w:rPr>
          <w:rFonts w:ascii="Aptos" w:hAnsi="Aptos"/>
          <w:b/>
          <w:color w:val="2563EB"/>
          <w:sz w:val="18"/>
        </w:rPr>
        <w:t>THREE EXECUTIVE JOURNEYS</w:t>
      </w:r>
    </w:p>
    <w:p>
      <w:pPr>
        <w:spacing w:after="280"/>
      </w:pPr>
      <w:r>
        <w:rPr>
          <w:rFonts w:ascii="Aptos Display" w:hAnsi="Aptos Display"/>
          <w:b/>
          <w:color w:val="0B1930"/>
          <w:sz w:val="60"/>
        </w:rPr>
        <w:t>From signal to decision in one governed story.</w:t>
      </w:r>
    </w:p>
    <w:tbl>
      <w:tblPr>
        <w:tblW w:type="auto" w:w="0"/>
        <w:tblLayout w:type="fixed"/>
        <w:tblLook w:firstColumn="1" w:firstRow="1" w:lastColumn="0" w:lastRow="0" w:noHBand="0" w:noVBand="1" w:val="04A0"/>
      </w:tblPr>
      <w:tblGrid>
        <w:gridCol w:w="5040"/>
        <w:gridCol w:w="5040"/>
      </w:tblGrid>
      <w:tr>
        <w:tc>
          <w:tcPr>
            <w:tcW w:type="dxa" w:w="3096"/>
            <w:shd w:fill="0B1930"/>
            <w:tcMar>
              <w:top w:w="220" w:type="dxa"/>
              <w:start w:w="220" w:type="dxa"/>
              <w:bottom w:w="220" w:type="dxa"/>
              <w:end w:w="220" w:type="dxa"/>
            </w:tcMar>
          </w:tcPr>
          <w:p>
            <w:r>
              <w:rPr>
                <w:rFonts w:ascii="Aptos" w:hAnsi="Aptos"/>
                <w:b/>
                <w:color w:val="FFFFFF"/>
                <w:sz w:val="24"/>
              </w:rPr>
              <w:t>Technology investment</w:t>
            </w:r>
          </w:p>
        </w:tc>
        <w:tc>
          <w:tcPr>
            <w:tcW w:type="dxa" w:w="6480"/>
            <w:shd w:fill="F8FAFC"/>
            <w:tcMar>
              <w:top w:w="220" w:type="dxa"/>
              <w:start w:w="250" w:type="dxa"/>
              <w:bottom w:w="220" w:type="dxa"/>
              <w:end w:w="250" w:type="dxa"/>
            </w:tcMar>
          </w:tcPr>
          <w:p>
            <w:r>
              <w:rPr>
                <w:rFonts w:ascii="Aptos" w:hAnsi="Aptos"/>
                <w:b/>
                <w:color w:val="2563EB"/>
                <w:sz w:val="24"/>
              </w:rPr>
              <w:t>Approve, defer, resize, or reject</w:t>
            </w:r>
          </w:p>
          <w:p>
            <w:r>
              <w:rPr>
                <w:rFonts w:ascii="Aptos" w:hAnsi="Aptos"/>
                <w:b w:val="0"/>
                <w:color w:val="475569"/>
                <w:sz w:val="20"/>
              </w:rPr>
              <w:t>Connect cost, resilience, dependencies, alternatives, controls, and accountable authority.</w:t>
            </w:r>
          </w:p>
        </w:tc>
      </w:tr>
    </w:tbl>
    <w:p>
      <w:pPr>
        <w:spacing w:after="20"/>
      </w:pPr>
    </w:p>
    <w:tbl>
      <w:tblPr>
        <w:tblW w:type="auto" w:w="0"/>
        <w:tblLayout w:type="fixed"/>
        <w:tblLook w:firstColumn="1" w:firstRow="1" w:lastColumn="0" w:lastRow="0" w:noHBand="0" w:noVBand="1" w:val="04A0"/>
      </w:tblPr>
      <w:tblGrid>
        <w:gridCol w:w="5040"/>
        <w:gridCol w:w="5040"/>
      </w:tblGrid>
      <w:tr>
        <w:tc>
          <w:tcPr>
            <w:tcW w:type="dxa" w:w="3096"/>
            <w:shd w:fill="0B1930"/>
            <w:tcMar>
              <w:top w:w="220" w:type="dxa"/>
              <w:start w:w="220" w:type="dxa"/>
              <w:bottom w:w="220" w:type="dxa"/>
              <w:end w:w="220" w:type="dxa"/>
            </w:tcMar>
          </w:tcPr>
          <w:p>
            <w:r>
              <w:rPr>
                <w:rFonts w:ascii="Aptos" w:hAnsi="Aptos"/>
                <w:b/>
                <w:color w:val="FFFFFF"/>
                <w:sz w:val="24"/>
              </w:rPr>
              <w:t>Portfolio rationalization</w:t>
            </w:r>
          </w:p>
        </w:tc>
        <w:tc>
          <w:tcPr>
            <w:tcW w:type="dxa" w:w="6480"/>
            <w:shd w:fill="F8FAFC"/>
            <w:tcMar>
              <w:top w:w="220" w:type="dxa"/>
              <w:start w:w="250" w:type="dxa"/>
              <w:bottom w:w="220" w:type="dxa"/>
              <w:end w:w="250" w:type="dxa"/>
            </w:tcMar>
          </w:tcPr>
          <w:p>
            <w:r>
              <w:rPr>
                <w:rFonts w:ascii="Aptos" w:hAnsi="Aptos"/>
                <w:b/>
                <w:color w:val="2563EB"/>
                <w:sz w:val="24"/>
              </w:rPr>
              <w:t>Retain, modernize, consolidate, renegotiate, or retire</w:t>
            </w:r>
          </w:p>
          <w:p>
            <w:r>
              <w:rPr>
                <w:rFonts w:ascii="Aptos" w:hAnsi="Aptos"/>
                <w:b w:val="0"/>
                <w:color w:val="475569"/>
                <w:sz w:val="20"/>
              </w:rPr>
              <w:t>Combine utilization, spend, duplication, business criticality, lifecycle, and vendor exposure.</w:t>
            </w:r>
          </w:p>
        </w:tc>
      </w:tr>
    </w:tbl>
    <w:p>
      <w:pPr>
        <w:spacing w:after="20"/>
      </w:pPr>
    </w:p>
    <w:tbl>
      <w:tblPr>
        <w:tblW w:type="auto" w:w="0"/>
        <w:tblLayout w:type="fixed"/>
        <w:tblLook w:firstColumn="1" w:firstRow="1" w:lastColumn="0" w:lastRow="0" w:noHBand="0" w:noVBand="1" w:val="04A0"/>
      </w:tblPr>
      <w:tblGrid>
        <w:gridCol w:w="5040"/>
        <w:gridCol w:w="5040"/>
      </w:tblGrid>
      <w:tr>
        <w:tc>
          <w:tcPr>
            <w:tcW w:type="dxa" w:w="3096"/>
            <w:shd w:fill="0B1930"/>
            <w:tcMar>
              <w:top w:w="220" w:type="dxa"/>
              <w:start w:w="220" w:type="dxa"/>
              <w:bottom w:w="220" w:type="dxa"/>
              <w:end w:w="220" w:type="dxa"/>
            </w:tcMar>
          </w:tcPr>
          <w:p>
            <w:r>
              <w:rPr>
                <w:rFonts w:ascii="Aptos" w:hAnsi="Aptos"/>
                <w:b/>
                <w:color w:val="FFFFFF"/>
                <w:sz w:val="24"/>
              </w:rPr>
              <w:t>Enterprise risk</w:t>
            </w:r>
          </w:p>
        </w:tc>
        <w:tc>
          <w:tcPr>
            <w:tcW w:type="dxa" w:w="6480"/>
            <w:shd w:fill="F8FAFC"/>
            <w:tcMar>
              <w:top w:w="220" w:type="dxa"/>
              <w:start w:w="250" w:type="dxa"/>
              <w:bottom w:w="220" w:type="dxa"/>
              <w:end w:w="250" w:type="dxa"/>
            </w:tcMar>
          </w:tcPr>
          <w:p>
            <w:r>
              <w:rPr>
                <w:rFonts w:ascii="Aptos" w:hAnsi="Aptos"/>
                <w:b/>
                <w:color w:val="2563EB"/>
                <w:sz w:val="24"/>
              </w:rPr>
              <w:t>Understand and mitigate material technology risk</w:t>
            </w:r>
          </w:p>
          <w:p>
            <w:r>
              <w:rPr>
                <w:rFonts w:ascii="Aptos" w:hAnsi="Aptos"/>
                <w:b w:val="0"/>
                <w:color w:val="475569"/>
                <w:sz w:val="20"/>
              </w:rPr>
              <w:t>Reveal affected services, blast radius, financial exposure, evidence gaps, and mitigation ownership.</w:t>
            </w:r>
          </w:p>
        </w:tc>
      </w:tr>
    </w:tbl>
    <w:p>
      <w:pPr>
        <w:spacing w:after="20"/>
      </w:pPr>
    </w:p>
    <w:p>
      <w:pPr>
        <w:spacing w:after="160"/>
      </w:pPr>
      <w:r>
        <w:rPr>
          <w:rFonts w:ascii="Aptos" w:hAnsi="Aptos"/>
          <w:b/>
          <w:color w:val="2563EB"/>
          <w:sz w:val="18"/>
        </w:rPr>
        <w:t>EXECUTIVE STORY</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fill="E2E8F0"/>
            <w:tcMar>
              <w:top w:w="180" w:type="dxa"/>
              <w:start w:w="65" w:type="dxa"/>
              <w:bottom w:w="180" w:type="dxa"/>
              <w:end w:w="65" w:type="dxa"/>
            </w:tcMar>
          </w:tcPr>
          <w:p>
            <w:pPr>
              <w:jc w:val="center"/>
            </w:pPr>
            <w:r>
              <w:rPr>
                <w:rFonts w:ascii="Aptos" w:hAnsi="Aptos"/>
                <w:b/>
                <w:color w:val="0B1930"/>
                <w:sz w:val="16"/>
              </w:rPr>
              <w:t>Yesterday</w:t>
            </w:r>
          </w:p>
        </w:tc>
        <w:tc>
          <w:tcPr>
            <w:tcW w:type="dxa" w:w="1680"/>
            <w:shd w:fill="E2E8F0"/>
            <w:tcMar>
              <w:top w:w="180" w:type="dxa"/>
              <w:start w:w="65" w:type="dxa"/>
              <w:bottom w:w="180" w:type="dxa"/>
              <w:end w:w="65" w:type="dxa"/>
            </w:tcMar>
          </w:tcPr>
          <w:p>
            <w:pPr>
              <w:jc w:val="center"/>
            </w:pPr>
            <w:r>
              <w:rPr>
                <w:rFonts w:ascii="Aptos" w:hAnsi="Aptos"/>
                <w:b/>
                <w:color w:val="0B1930"/>
                <w:sz w:val="16"/>
              </w:rPr>
              <w:t>Today</w:t>
            </w:r>
          </w:p>
        </w:tc>
        <w:tc>
          <w:tcPr>
            <w:tcW w:type="dxa" w:w="1680"/>
            <w:shd w:fill="E2E8F0"/>
            <w:tcMar>
              <w:top w:w="180" w:type="dxa"/>
              <w:start w:w="65" w:type="dxa"/>
              <w:bottom w:w="180" w:type="dxa"/>
              <w:end w:w="65" w:type="dxa"/>
            </w:tcMar>
          </w:tcPr>
          <w:p>
            <w:pPr>
              <w:jc w:val="center"/>
            </w:pPr>
            <w:r>
              <w:rPr>
                <w:rFonts w:ascii="Aptos" w:hAnsi="Aptos"/>
                <w:b/>
                <w:color w:val="0B1930"/>
                <w:sz w:val="16"/>
              </w:rPr>
              <w:t>Risk</w:t>
            </w:r>
          </w:p>
        </w:tc>
        <w:tc>
          <w:tcPr>
            <w:tcW w:type="dxa" w:w="1680"/>
            <w:shd w:fill="E2E8F0"/>
            <w:tcMar>
              <w:top w:w="180" w:type="dxa"/>
              <w:start w:w="65" w:type="dxa"/>
              <w:bottom w:w="180" w:type="dxa"/>
              <w:end w:w="65" w:type="dxa"/>
            </w:tcMar>
          </w:tcPr>
          <w:p>
            <w:pPr>
              <w:jc w:val="center"/>
            </w:pPr>
            <w:r>
              <w:rPr>
                <w:rFonts w:ascii="Aptos" w:hAnsi="Aptos"/>
                <w:b/>
                <w:color w:val="0B1930"/>
                <w:sz w:val="16"/>
              </w:rPr>
              <w:t>Recommendation</w:t>
            </w:r>
          </w:p>
        </w:tc>
        <w:tc>
          <w:tcPr>
            <w:tcW w:type="dxa" w:w="1680"/>
            <w:shd w:fill="0F766E"/>
            <w:tcMar>
              <w:top w:w="180" w:type="dxa"/>
              <w:start w:w="65" w:type="dxa"/>
              <w:bottom w:w="180" w:type="dxa"/>
              <w:end w:w="65" w:type="dxa"/>
            </w:tcMar>
          </w:tcPr>
          <w:p>
            <w:pPr>
              <w:jc w:val="center"/>
            </w:pPr>
            <w:r>
              <w:rPr>
                <w:rFonts w:ascii="Aptos" w:hAnsi="Aptos"/>
                <w:b/>
                <w:color w:val="FFFFFF"/>
                <w:sz w:val="16"/>
              </w:rPr>
              <w:t>Outcome</w:t>
            </w:r>
          </w:p>
        </w:tc>
        <w:tc>
          <w:tcPr>
            <w:tcW w:type="dxa" w:w="1680"/>
            <w:shd w:fill="0F766E"/>
            <w:tcMar>
              <w:top w:w="180" w:type="dxa"/>
              <w:start w:w="65" w:type="dxa"/>
              <w:bottom w:w="180" w:type="dxa"/>
              <w:end w:w="65" w:type="dxa"/>
            </w:tcMar>
          </w:tcPr>
          <w:p>
            <w:pPr>
              <w:jc w:val="center"/>
            </w:pPr>
            <w:r>
              <w:rPr>
                <w:rFonts w:ascii="Aptos" w:hAnsi="Aptos"/>
                <w:b/>
                <w:color w:val="FFFFFF"/>
                <w:sz w:val="16"/>
              </w:rPr>
              <w:t>Action</w:t>
            </w:r>
          </w:p>
        </w:tc>
      </w:tr>
    </w:tbl>
    <w:p>
      <w:r>
        <w:br w:type="page"/>
      </w:r>
    </w:p>
    <w:p>
      <w:pPr>
        <w:spacing w:after="160"/>
      </w:pPr>
      <w:r>
        <w:rPr>
          <w:rFonts w:ascii="Aptos" w:hAnsi="Aptos"/>
          <w:b/>
          <w:color w:val="2563EB"/>
          <w:sz w:val="18"/>
        </w:rPr>
        <w:t>ENTERPRISE TRUST</w:t>
      </w:r>
    </w:p>
    <w:p>
      <w:pPr>
        <w:spacing w:after="280"/>
      </w:pPr>
      <w:r>
        <w:rPr>
          <w:rFonts w:ascii="Aptos Display" w:hAnsi="Aptos Display"/>
          <w:b/>
          <w:color w:val="0B1930"/>
          <w:sz w:val="60"/>
        </w:rPr>
        <w:t>Built for decisions that must survive scrutiny.</w:t>
      </w:r>
    </w:p>
    <w:tbl>
      <w:tblPr>
        <w:tblW w:type="auto" w:w="0"/>
        <w:tblLayout w:type="fixed"/>
        <w:tblLook w:firstColumn="1" w:firstRow="1" w:lastColumn="0" w:lastRow="0" w:noHBand="0" w:noVBand="1" w:val="04A0"/>
      </w:tblPr>
      <w:tblGrid>
        <w:gridCol w:w="3360"/>
        <w:gridCol w:w="3360"/>
        <w:gridCol w:w="3360"/>
      </w:tblGrid>
      <w:tr>
        <w:tc>
          <w:tcPr>
            <w:tcW w:type="dxa" w:w="3096"/>
            <w:vAlign w:val="top"/>
            <w:tcMar>
              <w:top w:w="220" w:type="dxa"/>
              <w:start w:w="220" w:type="dxa"/>
              <w:bottom w:w="220" w:type="dxa"/>
              <w:end w:w="220" w:type="dxa"/>
            </w:tcMar>
            <w:shd w:fill="F1F5F9"/>
          </w:tcPr>
          <w:p>
            <w:r>
              <w:rPr>
                <w:rFonts w:ascii="Aptos" w:hAnsi="Aptos"/>
                <w:b/>
                <w:color w:val="2563EB"/>
                <w:sz w:val="40"/>
              </w:rPr>
              <w:t>01</w:t>
            </w:r>
          </w:p>
          <w:p>
            <w:r>
              <w:rPr>
                <w:rFonts w:ascii="Aptos" w:hAnsi="Aptos"/>
                <w:b/>
                <w:color w:val="0B1930"/>
                <w:sz w:val="24"/>
              </w:rPr>
              <w:t>Certified evidence</w:t>
            </w:r>
          </w:p>
          <w:p>
            <w:pPr>
              <w:spacing w:line="252" w:lineRule="auto"/>
            </w:pPr>
            <w:r>
              <w:rPr>
                <w:rFonts w:ascii="Aptos" w:hAnsi="Aptos"/>
                <w:b w:val="0"/>
                <w:color w:val="475569"/>
                <w:sz w:val="19"/>
              </w:rPr>
              <w:t>Tenant-scoped sources, provenance, freshness, coverage, confidence, and explicit uncertainty.</w:t>
            </w:r>
          </w:p>
        </w:tc>
        <w:tc>
          <w:tcPr>
            <w:tcW w:type="dxa" w:w="3096"/>
            <w:vAlign w:val="top"/>
            <w:tcMar>
              <w:top w:w="220" w:type="dxa"/>
              <w:start w:w="220" w:type="dxa"/>
              <w:bottom w:w="220" w:type="dxa"/>
              <w:end w:w="220" w:type="dxa"/>
            </w:tcMar>
            <w:shd w:fill="F1F5F9"/>
          </w:tcPr>
          <w:p>
            <w:r>
              <w:rPr>
                <w:rFonts w:ascii="Aptos" w:hAnsi="Aptos"/>
                <w:b/>
                <w:color w:val="2563EB"/>
                <w:sz w:val="40"/>
              </w:rPr>
              <w:t>02</w:t>
            </w:r>
          </w:p>
          <w:p>
            <w:r>
              <w:rPr>
                <w:rFonts w:ascii="Aptos" w:hAnsi="Aptos"/>
                <w:b/>
                <w:color w:val="0B1930"/>
                <w:sz w:val="24"/>
              </w:rPr>
              <w:t>Governed authority</w:t>
            </w:r>
          </w:p>
          <w:p>
            <w:pPr>
              <w:spacing w:line="252" w:lineRule="auto"/>
            </w:pPr>
            <w:r>
              <w:rPr>
                <w:rFonts w:ascii="Aptos" w:hAnsi="Aptos"/>
                <w:b w:val="0"/>
                <w:color w:val="475569"/>
                <w:sz w:val="19"/>
              </w:rPr>
              <w:t>RBAC, approval boundaries, audit chronology, and separation between advice and execution.</w:t>
            </w:r>
          </w:p>
        </w:tc>
        <w:tc>
          <w:tcPr>
            <w:tcW w:type="dxa" w:w="3096"/>
            <w:vAlign w:val="top"/>
            <w:tcMar>
              <w:top w:w="220" w:type="dxa"/>
              <w:start w:w="220" w:type="dxa"/>
              <w:bottom w:w="220" w:type="dxa"/>
              <w:end w:w="220" w:type="dxa"/>
            </w:tcMar>
            <w:shd w:fill="F1F5F9"/>
          </w:tcPr>
          <w:p>
            <w:r>
              <w:rPr>
                <w:rFonts w:ascii="Aptos" w:hAnsi="Aptos"/>
                <w:b/>
                <w:color w:val="2563EB"/>
                <w:sz w:val="40"/>
              </w:rPr>
              <w:t>03</w:t>
            </w:r>
          </w:p>
          <w:p>
            <w:r>
              <w:rPr>
                <w:rFonts w:ascii="Aptos" w:hAnsi="Aptos"/>
                <w:b/>
                <w:color w:val="0B1930"/>
                <w:sz w:val="24"/>
              </w:rPr>
              <w:t>Financial integrity</w:t>
            </w:r>
          </w:p>
          <w:p>
            <w:pPr>
              <w:spacing w:line="252" w:lineRule="auto"/>
            </w:pPr>
            <w:r>
              <w:rPr>
                <w:rFonts w:ascii="Aptos" w:hAnsi="Aptos"/>
                <w:b w:val="0"/>
                <w:color w:val="475569"/>
                <w:sz w:val="19"/>
              </w:rPr>
              <w:t>Potential, approved, executed, and verified realized value remain distinct and reconcilable.</w:t>
            </w:r>
          </w:p>
        </w:tc>
      </w:tr>
    </w:tbl>
    <w:p/>
    <w:p>
      <w:pPr>
        <w:spacing w:after="160"/>
      </w:pPr>
      <w:r>
        <w:rPr>
          <w:rFonts w:ascii="Aptos" w:hAnsi="Aptos"/>
          <w:b/>
          <w:color w:val="2563EB"/>
          <w:sz w:val="18"/>
        </w:rPr>
        <w:t>EVALUATION PATH</w:t>
      </w:r>
    </w:p>
    <w:p>
      <w:pPr>
        <w:spacing w:after="280"/>
      </w:pPr>
      <w:r>
        <w:rPr>
          <w:rFonts w:ascii="Aptos Display" w:hAnsi="Aptos Display"/>
          <w:b/>
          <w:color w:val="0B1930"/>
          <w:sz w:val="48"/>
        </w:rPr>
        <w:t>Prove value through a bounded decision pilot.</w:t>
      </w:r>
    </w:p>
    <w:p>
      <w:pPr>
        <w:spacing w:after="180" w:line="276" w:lineRule="auto"/>
      </w:pPr>
      <w:r>
        <w:rPr>
          <w:rFonts w:ascii="Aptos" w:hAnsi="Aptos"/>
          <w:b w:val="0"/>
          <w:color w:val="475569"/>
          <w:sz w:val="23"/>
        </w:rPr>
        <w:t>Start with three high-value decisions, connect the minimum certified evidence, establish finance-approved baselines, and measure time-to-insight, decision confidence, verified benefit, and executive adoption.</w:t>
      </w:r>
    </w:p>
    <w:tbl>
      <w:tblPr>
        <w:tblW w:type="auto" w:w="0"/>
        <w:tblLook w:firstColumn="1" w:firstRow="1" w:lastColumn="0" w:lastRow="0" w:noHBand="0" w:noVBand="1" w:val="04A0"/>
      </w:tblPr>
      <w:tblGrid>
        <w:gridCol w:w="3360"/>
        <w:gridCol w:w="3360"/>
        <w:gridCol w:w="3360"/>
      </w:tblGrid>
      <w:tr>
        <w:tc>
          <w:tcPr>
            <w:tcW w:type="dxa" w:w="3360"/>
            <w:shd w:fill="0B1930"/>
          </w:tcPr>
          <w:p>
            <w:r>
              <w:rPr>
                <w:rFonts w:ascii="Aptos" w:hAnsi="Aptos"/>
                <w:b/>
                <w:color w:val="FFFFFF"/>
                <w:sz w:val="19"/>
              </w:rPr>
              <w:t>Stage</w:t>
            </w:r>
          </w:p>
        </w:tc>
        <w:tc>
          <w:tcPr>
            <w:tcW w:type="dxa" w:w="3360"/>
            <w:shd w:fill="0B1930"/>
          </w:tcPr>
          <w:p>
            <w:r>
              <w:rPr>
                <w:rFonts w:ascii="Aptos" w:hAnsi="Aptos"/>
                <w:b/>
                <w:color w:val="FFFFFF"/>
                <w:sz w:val="19"/>
              </w:rPr>
              <w:t>Customer outcome</w:t>
            </w:r>
          </w:p>
        </w:tc>
        <w:tc>
          <w:tcPr>
            <w:tcW w:type="dxa" w:w="3360"/>
            <w:shd w:fill="0B1930"/>
          </w:tcPr>
          <w:p>
            <w:r>
              <w:rPr>
                <w:rFonts w:ascii="Aptos" w:hAnsi="Aptos"/>
                <w:b/>
                <w:color w:val="FFFFFF"/>
                <w:sz w:val="19"/>
              </w:rPr>
              <w:t>Evidence</w:t>
            </w:r>
          </w:p>
        </w:tc>
      </w:tr>
      <w:tr>
        <w:tc>
          <w:tcPr>
            <w:tcW w:type="dxa" w:w="3360"/>
            <w:shd w:fill="F8FAFC"/>
            <w:tcMar>
              <w:top w:w="150" w:type="dxa"/>
              <w:start w:w="160" w:type="dxa"/>
              <w:bottom w:w="150" w:type="dxa"/>
              <w:end w:w="160" w:type="dxa"/>
            </w:tcMar>
          </w:tcPr>
          <w:p>
            <w:r>
              <w:rPr>
                <w:rFonts w:ascii="Aptos" w:hAnsi="Aptos"/>
                <w:b/>
                <w:color w:val="0B1930"/>
                <w:sz w:val="19"/>
              </w:rPr>
              <w:t>Discover</w:t>
            </w:r>
          </w:p>
        </w:tc>
        <w:tc>
          <w:tcPr>
            <w:tcW w:type="dxa" w:w="3360"/>
            <w:shd w:fill="F8FAFC"/>
            <w:tcMar>
              <w:top w:w="150" w:type="dxa"/>
              <w:start w:w="160" w:type="dxa"/>
              <w:bottom w:w="150" w:type="dxa"/>
              <w:end w:w="160" w:type="dxa"/>
            </w:tcMar>
          </w:tcPr>
          <w:p>
            <w:r>
              <w:rPr>
                <w:rFonts w:ascii="Aptos" w:hAnsi="Aptos"/>
                <w:b w:val="0"/>
                <w:color w:val="475569"/>
                <w:sz w:val="19"/>
              </w:rPr>
              <w:t>Select three executive decisions</w:t>
            </w:r>
          </w:p>
        </w:tc>
        <w:tc>
          <w:tcPr>
            <w:tcW w:type="dxa" w:w="3360"/>
            <w:shd w:fill="F8FAFC"/>
            <w:tcMar>
              <w:top w:w="150" w:type="dxa"/>
              <w:start w:w="160" w:type="dxa"/>
              <w:bottom w:w="150" w:type="dxa"/>
              <w:end w:w="160" w:type="dxa"/>
            </w:tcMar>
          </w:tcPr>
          <w:p>
            <w:r>
              <w:rPr>
                <w:rFonts w:ascii="Aptos" w:hAnsi="Aptos"/>
                <w:b w:val="0"/>
                <w:color w:val="475569"/>
                <w:sz w:val="19"/>
              </w:rPr>
              <w:t>Owners, baselines, systems, authority</w:t>
            </w:r>
          </w:p>
        </w:tc>
      </w:tr>
      <w:tr>
        <w:tc>
          <w:tcPr>
            <w:tcW w:type="dxa" w:w="3360"/>
            <w:shd w:fill="EEF2FF"/>
            <w:tcMar>
              <w:top w:w="150" w:type="dxa"/>
              <w:start w:w="160" w:type="dxa"/>
              <w:bottom w:w="150" w:type="dxa"/>
              <w:end w:w="160" w:type="dxa"/>
            </w:tcMar>
          </w:tcPr>
          <w:p>
            <w:r>
              <w:rPr>
                <w:rFonts w:ascii="Aptos" w:hAnsi="Aptos"/>
                <w:b/>
                <w:color w:val="0B1930"/>
                <w:sz w:val="19"/>
              </w:rPr>
              <w:t>Connect</w:t>
            </w:r>
          </w:p>
        </w:tc>
        <w:tc>
          <w:tcPr>
            <w:tcW w:type="dxa" w:w="3360"/>
            <w:shd w:fill="EEF2FF"/>
            <w:tcMar>
              <w:top w:w="150" w:type="dxa"/>
              <w:start w:w="160" w:type="dxa"/>
              <w:bottom w:w="150" w:type="dxa"/>
              <w:end w:w="160" w:type="dxa"/>
            </w:tcMar>
          </w:tcPr>
          <w:p>
            <w:r>
              <w:rPr>
                <w:rFonts w:ascii="Aptos" w:hAnsi="Aptos"/>
                <w:b w:val="0"/>
                <w:color w:val="475569"/>
                <w:sz w:val="19"/>
              </w:rPr>
              <w:t>Create a certified decision context</w:t>
            </w:r>
          </w:p>
        </w:tc>
        <w:tc>
          <w:tcPr>
            <w:tcW w:type="dxa" w:w="3360"/>
            <w:shd w:fill="EEF2FF"/>
            <w:tcMar>
              <w:top w:w="150" w:type="dxa"/>
              <w:start w:w="160" w:type="dxa"/>
              <w:bottom w:w="150" w:type="dxa"/>
              <w:end w:w="160" w:type="dxa"/>
            </w:tcMar>
          </w:tcPr>
          <w:p>
            <w:r>
              <w:rPr>
                <w:rFonts w:ascii="Aptos" w:hAnsi="Aptos"/>
                <w:b w:val="0"/>
                <w:color w:val="475569"/>
                <w:sz w:val="19"/>
              </w:rPr>
              <w:t>Technology, finance, service, risk</w:t>
            </w:r>
          </w:p>
        </w:tc>
      </w:tr>
      <w:tr>
        <w:tc>
          <w:tcPr>
            <w:tcW w:type="dxa" w:w="3360"/>
            <w:shd w:fill="F8FAFC"/>
            <w:tcMar>
              <w:top w:w="150" w:type="dxa"/>
              <w:start w:w="160" w:type="dxa"/>
              <w:bottom w:w="150" w:type="dxa"/>
              <w:end w:w="160" w:type="dxa"/>
            </w:tcMar>
          </w:tcPr>
          <w:p>
            <w:r>
              <w:rPr>
                <w:rFonts w:ascii="Aptos" w:hAnsi="Aptos"/>
                <w:b/>
                <w:color w:val="0B1930"/>
                <w:sz w:val="19"/>
              </w:rPr>
              <w:t>Decide</w:t>
            </w:r>
          </w:p>
        </w:tc>
        <w:tc>
          <w:tcPr>
            <w:tcW w:type="dxa" w:w="3360"/>
            <w:shd w:fill="F8FAFC"/>
            <w:tcMar>
              <w:top w:w="150" w:type="dxa"/>
              <w:start w:w="160" w:type="dxa"/>
              <w:bottom w:w="150" w:type="dxa"/>
              <w:end w:w="160" w:type="dxa"/>
            </w:tcMar>
          </w:tcPr>
          <w:p>
            <w:r>
              <w:rPr>
                <w:rFonts w:ascii="Aptos" w:hAnsi="Aptos"/>
                <w:b w:val="0"/>
                <w:color w:val="475569"/>
                <w:sz w:val="19"/>
              </w:rPr>
              <w:t>Run accountable executive journeys</w:t>
            </w:r>
          </w:p>
        </w:tc>
        <w:tc>
          <w:tcPr>
            <w:tcW w:type="dxa" w:w="3360"/>
            <w:shd w:fill="F8FAFC"/>
            <w:tcMar>
              <w:top w:w="150" w:type="dxa"/>
              <w:start w:w="160" w:type="dxa"/>
              <w:bottom w:w="150" w:type="dxa"/>
              <w:end w:w="160" w:type="dxa"/>
            </w:tcMar>
          </w:tcPr>
          <w:p>
            <w:r>
              <w:rPr>
                <w:rFonts w:ascii="Aptos" w:hAnsi="Aptos"/>
                <w:b w:val="0"/>
                <w:color w:val="475569"/>
                <w:sz w:val="19"/>
              </w:rPr>
              <w:t>Alternatives, recommendations, approvals</w:t>
            </w:r>
          </w:p>
        </w:tc>
      </w:tr>
    </w:tbl>
    <w:p/>
    <w:p>
      <w:pPr>
        <w:jc w:val="center"/>
      </w:pPr>
      <w:r>
        <w:rPr>
          <w:rFonts w:ascii="Aptos" w:hAnsi="Aptos"/>
          <w:b/>
          <w:color w:val="2563EB"/>
          <w:sz w:val="32"/>
        </w:rPr>
        <w:t>NEXORA</w:t>
      </w:r>
    </w:p>
    <w:p>
      <w:pPr>
        <w:jc w:val="center"/>
      </w:pPr>
      <w:r>
        <w:rPr>
          <w:rFonts w:ascii="Aptos" w:hAnsi="Aptos"/>
          <w:b/>
          <w:color w:val="0B1930"/>
          <w:sz w:val="22"/>
        </w:rPr>
        <w:t>Enterprise Decision Intelligence Platform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6912"/>
      <w:gridCol w:w="3024"/>
    </w:tblGrid>
    <w:tr>
      <w:tc>
        <w:tcPr>
          <w:tcW w:type="dxa" w:w="4968"/>
        </w:tcPr>
        <w:p>
          <w:r>
            <w:rPr>
              <w:rFonts w:ascii="Aptos" w:hAnsi="Aptos"/>
              <w:b/>
              <w:color w:val="475569"/>
              <w:sz w:val="16"/>
            </w:rPr>
            <w:t>NEXORA  |  ENTERPRISE DECISION INTELLIGENCE</w:t>
          </w:r>
        </w:p>
      </w:tc>
      <w:tc>
        <w:tcPr>
          <w:tcW w:type="dxa" w:w="4968"/>
        </w:tcPr>
        <w:p>
          <w:pPr>
            <w:jc w:val="right"/>
          </w:pPr>
          <w:r>
            <w:rPr>
              <w:rFonts w:ascii="Aptos" w:hAnsi="Aptos"/>
              <w:b w:val="0"/>
              <w:color w:val="475569"/>
              <w:sz w:val="16"/>
            </w:rPr>
            <w:t>v2.0 RC2  |  CONFIDENTIAL</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