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284C7"/>
          <w:sz w:val="52"/>
        </w:rPr>
        <w:t>LandGuard AI — Backend ML Engine &amp; REST API Documentation</w:t>
      </w:r>
    </w:p>
    <w:p>
      <w:pPr>
        <w:jc w:val="center"/>
      </w:pPr>
      <w:r>
        <w:rPr>
          <w:rFonts w:ascii="Calibri" w:hAnsi="Calibri"/>
          <w:i/>
          <w:color w:val="64748B"/>
          <w:sz w:val="28"/>
        </w:rPr>
        <w:t>Python 3.14, LightGBM, SHAP Explainer, Flask REST Engine | Team CyberLeek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284C7"/>
                <w:sz w:val="22"/>
              </w:rPr>
              <w:t>📌 Backend Machine Learning Pipeline</w:t>
              <w:br/>
            </w:r>
            <w:r>
              <w:rPr>
                <w:rFonts w:ascii="Calibri" w:hAnsi="Calibri"/>
                <w:color w:val="1E293B"/>
                <w:sz w:val="21"/>
              </w:rPr>
              <w:t>The landguard-backend is powered by Python and LightGBM gradient boosting, evaluating 600 land acquisition case logs to output delay risk probabilities and SHAP feature attributions.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1. REST API Endpoint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4C7"/>
          </w:tcPr>
          <w:p>
            <w:r>
              <w:rPr>
                <w:b/>
                <w:color w:val="FFFFFF"/>
              </w:rPr>
              <w:t>HTTP Endpoint</w:t>
            </w:r>
          </w:p>
        </w:tc>
        <w:tc>
          <w:tcPr>
            <w:tcW w:type="dxa" w:w="4320"/>
            <w:shd w:fill="0284C7"/>
          </w:tcPr>
          <w:p>
            <w:r>
              <w:rPr>
                <w:b/>
                <w:color w:val="FFFFFF"/>
              </w:rPr>
              <w:t>Description &amp; Payload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GET /api/projects</w:t>
            </w:r>
          </w:p>
        </w:tc>
        <w:tc>
          <w:tcPr>
            <w:tcW w:type="dxa" w:w="4320"/>
            <w:shd w:fill="F8FAFC"/>
          </w:tcPr>
          <w:p>
            <w:r>
              <w:t>Returns array of all 600 land acquisition cases with risk scores, stage, district, and coordinates.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GET /api/projects/&lt;id&gt;</w:t>
            </w:r>
          </w:p>
        </w:tc>
        <w:tc>
          <w:tcPr>
            <w:tcW w:type="dxa" w:w="4320"/>
            <w:shd w:fill="FFFFFF"/>
          </w:tcPr>
          <w:p>
            <w:r>
              <w:t>Returns detailed project record, top SHAP risk factors, and prescriptive AI action plan.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GET /api/alerts</w:t>
            </w:r>
          </w:p>
        </w:tc>
        <w:tc>
          <w:tcPr>
            <w:tcW w:type="dxa" w:w="4320"/>
            <w:shd w:fill="F8FAFC"/>
          </w:tcPr>
          <w:p>
            <w:r>
              <w:t>Returns high-priority cases with risk score &gt;= 0.70 or active litigation/protests.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GET /api/bottlenecks</w:t>
            </w:r>
          </w:p>
        </w:tc>
        <w:tc>
          <w:tcPr>
            <w:tcW w:type="dxa" w:w="4320"/>
            <w:shd w:fill="FFFFFF"/>
          </w:tcPr>
          <w:p>
            <w:r>
              <w:t>Returns aggregated stage-wise delay distribution and systemic risk factor metrics.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36"/>
        </w:rPr>
        <w:t>2. Machine Learning Model Performance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• Model Classifier: LightGBM Gradient Boosting Machine.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• Accuracy Score: 75.83% ROC-AUC on validation split.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• Explainability: SHAP TreeExplainer waterfall values calculated dynamically per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