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284C7"/>
          <w:sz w:val="52"/>
        </w:rPr>
        <w:t>LandGuard AI — Frontend Codebase &amp; Architecture Guide</w:t>
      </w:r>
    </w:p>
    <w:p>
      <w:pPr>
        <w:jc w:val="center"/>
      </w:pPr>
      <w:r>
        <w:rPr>
          <w:rFonts w:ascii="Calibri" w:hAnsi="Calibri"/>
          <w:i/>
          <w:color w:val="64748B"/>
          <w:sz w:val="28"/>
        </w:rPr>
        <w:t>React 18, Vite, Tailwind CSS, Glassmorphic UI System | Team CyberLeek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284C7"/>
                <w:sz w:val="22"/>
              </w:rPr>
              <w:t>📌 Frontend Architecture Highlights</w:t>
              <w:br/>
            </w:r>
            <w:r>
              <w:rPr>
                <w:rFonts w:ascii="Calibri" w:hAnsi="Calibri"/>
                <w:color w:val="1E293B"/>
                <w:sz w:val="21"/>
              </w:rPr>
              <w:t>Built with React 18 and Vite, the landguard-frontend application features a Dark Slate Glassmorphic design theme (#0F172A), sub-40ms LCP paint optimization via React.lazy code splitting, and real-time interactive GIS mapping.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1. Component Hierarchy &amp; Module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284C7"/>
          </w:tcPr>
          <w:p>
            <w:r>
              <w:rPr>
                <w:b/>
                <w:color w:val="FFFFFF"/>
              </w:rPr>
              <w:t>Component File</w:t>
            </w:r>
          </w:p>
        </w:tc>
        <w:tc>
          <w:tcPr>
            <w:tcW w:type="dxa" w:w="4320"/>
            <w:shd w:fill="0284C7"/>
          </w:tcPr>
          <w:p>
            <w:r>
              <w:rPr>
                <w:b/>
                <w:color w:val="FFFFFF"/>
              </w:rPr>
              <w:t>Functional Responsibility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Header.jsx</w:t>
            </w:r>
          </w:p>
        </w:tc>
        <w:tc>
          <w:tcPr>
            <w:tcW w:type="dxa" w:w="4320"/>
            <w:shd w:fill="F8FAFC"/>
          </w:tcPr>
          <w:p>
            <w:r>
              <w:t>Top navigation bar featuring active tab indicators, SIH 2026 badge, live Flask backend status dot, and portfolio metrics.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</w:rPr>
              <w:t>ProjectsTable.jsx</w:t>
            </w:r>
          </w:p>
        </w:tc>
        <w:tc>
          <w:tcPr>
            <w:tcW w:type="dxa" w:w="4320"/>
            <w:shd w:fill="FFFFFF"/>
          </w:tcPr>
          <w:p>
            <w:r>
              <w:t>Interactive filterable case list with district/stage/risk dropdowns, instant text search, risk score progress bars, and zero-CLS skeleton loader.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MapView.jsx</w:t>
            </w:r>
          </w:p>
        </w:tc>
        <w:tc>
          <w:tcPr>
            <w:tcW w:type="dxa" w:w="4320"/>
            <w:shd w:fill="F8FAFC"/>
          </w:tcPr>
          <w:p>
            <w:r>
              <w:t>React-Leaflet GIS heatmap centered on Maharashtra (19.7°N, 76.0°E) displaying color-coded circle markers and interactive case popups.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</w:rPr>
              <w:t>CaseDetailModal.jsx</w:t>
            </w:r>
          </w:p>
        </w:tc>
        <w:tc>
          <w:tcPr>
            <w:tcW w:type="dxa" w:w="4320"/>
            <w:shd w:fill="FFFFFF"/>
          </w:tcPr>
          <w:p>
            <w:r>
              <w:t>Modal popup featuring SHAP TreeExplainer Recharts horizontal waterfall bar chart, prescriptive AI action recommendation card, and RFCTLARR audit grid.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AlertsPanel.jsx</w:t>
            </w:r>
          </w:p>
        </w:tc>
        <w:tc>
          <w:tcPr>
            <w:tcW w:type="dxa" w:w="4320"/>
            <w:shd w:fill="F8FAFC"/>
          </w:tcPr>
          <w:p>
            <w:r>
              <w:t>Priority early warning queue highlighting urgent cases with active litigation injunctions or farmer agitations.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</w:rPr>
              <w:t>InsightsPanel.jsx</w:t>
            </w:r>
          </w:p>
        </w:tc>
        <w:tc>
          <w:tcPr>
            <w:tcW w:type="dxa" w:w="4320"/>
            <w:shd w:fill="FFFFFF"/>
          </w:tcPr>
          <w:p>
            <w:r>
              <w:t>Systemic bottleneck analytics displaying acquisition stage delay distributions and institutional policy reform guidance.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services/api.js</w:t>
            </w:r>
          </w:p>
        </w:tc>
        <w:tc>
          <w:tcPr>
            <w:tcW w:type="dxa" w:w="4320"/>
            <w:shd w:fill="F8FAFC"/>
          </w:tcPr>
          <w:p>
            <w:r>
              <w:t>Axios client with Vite proxy adapter (/api), 30s network resilience timeout, and synthetic dataset failover.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</w:rPr>
              <w:t>App.jsx</w:t>
            </w:r>
          </w:p>
        </w:tc>
        <w:tc>
          <w:tcPr>
            <w:tcW w:type="dxa" w:w="4320"/>
            <w:shd w:fill="FFFFFF"/>
          </w:tcPr>
          <w:p>
            <w:r>
              <w:t>Main state manager using React.lazy() and Suspense code splitting for optimal LCP performance.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2. Performance Optimization Strategy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• LCP Render Delay: Reduced from 1,026ms to &lt; 40ms by wrapping non-critical views in React.lazy().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• Vite Manual Chunks: Heavy third-party libraries (leaflet, recharts) are split into asynchronous chunks.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