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284C7"/>
          <w:sz w:val="52"/>
        </w:rPr>
        <w:t>LandGuard AI — System Architecture &amp; Project Documentation</w:t>
      </w:r>
    </w:p>
    <w:p>
      <w:pPr>
        <w:jc w:val="center"/>
      </w:pPr>
      <w:r>
        <w:rPr>
          <w:rFonts w:ascii="Calibri" w:hAnsi="Calibri"/>
          <w:i/>
          <w:color w:val="64748B"/>
          <w:sz w:val="28"/>
        </w:rPr>
        <w:t>Smart India Hackathon (SIH) 2026 — Problem Statement ID 26017 | Team CyberLeek</w:t>
      </w:r>
    </w:p>
    <w:p/>
    <w:tbl>
      <w:tblPr>
        <w:tblW w:type="auto" w:w="0"/>
        <w:jc w:val="center"/>
        <w:tblLook w:firstColumn="1" w:firstRow="1" w:lastColumn="0" w:lastRow="0" w:noHBand="0" w:noVBand="1" w:val="04A0"/>
      </w:tblPr>
      <w:tblGrid>
        <w:gridCol w:w="8640"/>
      </w:tblGrid>
      <w:tr>
        <w:tc>
          <w:tcPr>
            <w:tcW w:type="dxa" w:w="8640"/>
            <w:shd w:fill="F0F9FF"/>
            <w:tcMar>
              <w:top w:w="140" w:type="dxa"/>
              <w:bottom w:w="140" w:type="dxa"/>
              <w:left w:w="200" w:type="dxa"/>
              <w:right w:w="200" w:type="dxa"/>
            </w:tcMar>
          </w:tcPr>
          <w:p>
            <w:pPr>
              <w:spacing w:after="80"/>
            </w:pPr>
            <w:r>
              <w:rPr>
                <w:rFonts w:ascii="Calibri" w:hAnsi="Calibri"/>
                <w:b/>
                <w:color w:val="0284C7"/>
                <w:sz w:val="22"/>
              </w:rPr>
              <w:t>📌 Project Vision &amp; Executive Summary</w:t>
              <w:br/>
            </w:r>
            <w:r>
              <w:rPr>
                <w:rFonts w:ascii="Calibri" w:hAnsi="Calibri"/>
                <w:color w:val="1E293B"/>
                <w:sz w:val="21"/>
              </w:rPr>
              <w:t>LandGuard AI is an enterprise-grade AI decision-support platform designed for state land acquisition authorities in India. It combines LightGBM gradient boosting machine learning, SHAP TreeExplainer explainability, interactive Leaflet GIS cartography, and RFCTLARR 2013 policy compliance audit modules to predict, explain, alert, and resolve land acquisition bottlenecks before severe project delays occur.</w:t>
            </w:r>
          </w:p>
        </w:tc>
      </w:tr>
    </w:tbl>
    <w:p/>
    <w:p>
      <w:pPr>
        <w:pStyle w:val="Heading1"/>
        <w:spacing w:before="280" w:after="120"/>
      </w:pPr>
      <w:r>
        <w:rPr>
          <w:rFonts w:ascii="Calibri" w:hAnsi="Calibri"/>
          <w:b/>
          <w:color w:val="0F172A"/>
          <w:sz w:val="36"/>
        </w:rPr>
        <w:t>1. Key Problem Statement &amp; Core Value Proposition</w:t>
      </w:r>
    </w:p>
    <w:p>
      <w:pPr>
        <w:spacing w:after="120" w:line="276" w:lineRule="auto"/>
      </w:pPr>
      <w:r>
        <w:rPr>
          <w:rFonts w:ascii="Calibri" w:hAnsi="Calibri"/>
          <w:b w:val="0"/>
          <w:i w:val="0"/>
          <w:color w:val="334155"/>
          <w:sz w:val="22"/>
        </w:rPr>
        <w:t>Infrastructure mega-projects in India frequently suffer from multi-year delays during land acquisition due to litigations, compensation disputes, environmental clearance lags, and local farmer agitations. LandGuard AI addresses PS 26017 by delivering:</w:t>
      </w:r>
    </w:p>
    <w:tbl>
      <w:tblPr>
        <w:tblW w:type="auto" w:w="0"/>
        <w:jc w:val="center"/>
        <w:tblLook w:firstColumn="1" w:firstRow="1" w:lastColumn="0" w:lastRow="0" w:noHBand="0" w:noVBand="1" w:val="04A0"/>
      </w:tblPr>
      <w:tblGrid>
        <w:gridCol w:w="4320"/>
        <w:gridCol w:w="4320"/>
      </w:tblGrid>
      <w:tr>
        <w:tc>
          <w:tcPr>
            <w:tcW w:type="dxa" w:w="4320"/>
            <w:shd w:fill="0284C7"/>
          </w:tcPr>
          <w:p>
            <w:r>
              <w:rPr>
                <w:b/>
                <w:color w:val="FFFFFF"/>
              </w:rPr>
              <w:t>Feature Pillar</w:t>
            </w:r>
          </w:p>
        </w:tc>
        <w:tc>
          <w:tcPr>
            <w:tcW w:type="dxa" w:w="4320"/>
            <w:shd w:fill="0284C7"/>
          </w:tcPr>
          <w:p>
            <w:r>
              <w:rPr>
                <w:b/>
                <w:color w:val="FFFFFF"/>
              </w:rPr>
              <w:t>Capability &amp; Value Output</w:t>
            </w:r>
          </w:p>
        </w:tc>
      </w:tr>
      <w:tr>
        <w:tc>
          <w:tcPr>
            <w:tcW w:type="dxa" w:w="4320"/>
            <w:shd w:fill="F8FAFC"/>
          </w:tcPr>
          <w:p>
            <w:r>
              <w:rPr>
                <w:b/>
              </w:rPr>
              <w:t>Predictive Delay Risk Engine</w:t>
            </w:r>
          </w:p>
        </w:tc>
        <w:tc>
          <w:tcPr>
            <w:tcW w:type="dxa" w:w="4320"/>
            <w:shd w:fill="F8FAFC"/>
          </w:tcPr>
          <w:p>
            <w:r>
              <w:t>Trains LightGBM model on 600 case attributes to predict acquisition delay risk with 75.83% ROC-AUC accuracy.</w:t>
            </w:r>
          </w:p>
        </w:tc>
      </w:tr>
      <w:tr>
        <w:tc>
          <w:tcPr>
            <w:tcW w:type="dxa" w:w="4320"/>
            <w:shd w:fill="FFFFFF"/>
          </w:tcPr>
          <w:p>
            <w:r>
              <w:rPr>
                <w:b/>
              </w:rPr>
              <w:t>SHAP Explainable AI (XAI)</w:t>
            </w:r>
          </w:p>
        </w:tc>
        <w:tc>
          <w:tcPr>
            <w:tcW w:type="dxa" w:w="4320"/>
            <w:shd w:fill="FFFFFF"/>
          </w:tcPr>
          <w:p>
            <w:r>
              <w:t>Deconstructs black-box ML outputs into exact feature contributions (+2.93 Legal Pending, -1.20 Fast Track).</w:t>
            </w:r>
          </w:p>
        </w:tc>
      </w:tr>
      <w:tr>
        <w:tc>
          <w:tcPr>
            <w:tcW w:type="dxa" w:w="4320"/>
            <w:shd w:fill="F8FAFC"/>
          </w:tcPr>
          <w:p>
            <w:r>
              <w:rPr>
                <w:b/>
              </w:rPr>
              <w:t>GIS Spatial Heatmap</w:t>
            </w:r>
          </w:p>
        </w:tc>
        <w:tc>
          <w:tcPr>
            <w:tcW w:type="dxa" w:w="4320"/>
            <w:shd w:fill="F8FAFC"/>
          </w:tcPr>
          <w:p>
            <w:r>
              <w:t>Renders interactive Leaflet cartography mapping Maharashtra land acquisition cases with risk-coded markers.</w:t>
            </w:r>
          </w:p>
        </w:tc>
      </w:tr>
      <w:tr>
        <w:tc>
          <w:tcPr>
            <w:tcW w:type="dxa" w:w="4320"/>
            <w:shd w:fill="FFFFFF"/>
          </w:tcPr>
          <w:p>
            <w:r>
              <w:rPr>
                <w:b/>
              </w:rPr>
              <w:t>Prescriptive AI Action Plan</w:t>
            </w:r>
          </w:p>
        </w:tc>
        <w:tc>
          <w:tcPr>
            <w:tcW w:type="dxa" w:w="4320"/>
            <w:shd w:fill="FFFFFF"/>
          </w:tcPr>
          <w:p>
            <w:r>
              <w:t>Generates policy-compliant administrative recommendations under the RFCTLARR 2013 legal framework.</w:t>
            </w:r>
          </w:p>
        </w:tc>
      </w:tr>
    </w:tbl>
    <w:p/>
    <w:p>
      <w:pPr>
        <w:pStyle w:val="Heading1"/>
        <w:spacing w:before="280" w:after="120"/>
      </w:pPr>
      <w:r>
        <w:rPr>
          <w:rFonts w:ascii="Calibri" w:hAnsi="Calibri"/>
          <w:b/>
          <w:color w:val="0F172A"/>
          <w:sz w:val="36"/>
        </w:rPr>
        <w:t>2. System Dataflow &amp; Technology Stack</w:t>
      </w:r>
    </w:p>
    <w:p>
      <w:pPr>
        <w:spacing w:after="120" w:line="276" w:lineRule="auto"/>
      </w:pPr>
      <w:r>
        <w:rPr>
          <w:rFonts w:ascii="Calibri" w:hAnsi="Calibri"/>
          <w:b w:val="0"/>
          <w:i w:val="0"/>
          <w:color w:val="334155"/>
          <w:sz w:val="22"/>
        </w:rPr>
        <w:t>LandGuard AI operates on a decoupled client-server architecture built for high performance and low-latency interaction:</w:t>
      </w:r>
    </w:p>
    <w:p>
      <w:pPr>
        <w:spacing w:after="120" w:line="276" w:lineRule="auto"/>
      </w:pPr>
      <w:r>
        <w:rPr>
          <w:rFonts w:ascii="Calibri" w:hAnsi="Calibri"/>
          <w:b w:val="0"/>
          <w:i w:val="0"/>
          <w:color w:val="334155"/>
          <w:sz w:val="22"/>
        </w:rPr>
        <w:t>• Frontend UI: React 18, Vite, Tailwind CSS, Recharts, React-Leaflet, Lucide Icons.</w:t>
      </w:r>
    </w:p>
    <w:p>
      <w:pPr>
        <w:spacing w:after="120" w:line="276" w:lineRule="auto"/>
      </w:pPr>
      <w:r>
        <w:rPr>
          <w:rFonts w:ascii="Calibri" w:hAnsi="Calibri"/>
          <w:b w:val="0"/>
          <w:i w:val="0"/>
          <w:color w:val="334155"/>
          <w:sz w:val="22"/>
        </w:rPr>
        <w:t>• Backend ML Server: Python 3.14, Flask, LightGBM, SHAP, Joblib, Pandas, Scikit-Learn.</w:t>
      </w:r>
    </w:p>
    <w:p>
      <w:pPr>
        <w:spacing w:after="120" w:line="276" w:lineRule="auto"/>
      </w:pPr>
      <w:r>
        <w:rPr>
          <w:rFonts w:ascii="Calibri" w:hAnsi="Calibri"/>
          <w:b w:val="0"/>
          <w:i w:val="0"/>
          <w:color w:val="334155"/>
          <w:sz w:val="22"/>
        </w:rPr>
        <w:t>• Communication Protocol: REST API over JSON with Vite Proxy (/api) and 30s failover resilience.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