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POLICY</w:t>
      </w:r>
    </w:p>
    <w:p>
      <w:pPr>
        <w:spacing w:before="120" w:after="120"/>
      </w:pPr>
      <w:r>
        <w:rPr>
          <w:sz w:val="48"/>
          <w:b/>
          <w:color w:val="0F172A"/>
        </w:rPr>
        <w:t xml:space="preserve">Information Security Policy</w:t>
      </w:r>
    </w:p>
    <w:p>
      <w:pPr>
        <w:spacing w:after="240"/>
      </w:pPr>
      <w:r>
        <w:rPr>
          <w:sz w:val="24"/>
          <w:i/>
          <w:color w:val="475569"/>
        </w:rPr>
        <w:t xml:space="preserve">Management commitment, governance, risk ownership and mandatory security requirements</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ISMS-POL-001</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1.1 — 1.1 — Model sample (quality revision); not approved</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Role to be formally assigned</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Authorized management approver to be assigned</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management-system document. It is not a representation that a real organization has implemented these requirements.</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Not recorded</w:t>
            </w:r>
          </w:p>
        </w:tc>
        <w:tc>
          <w:tcPr>
            <w:tcW w:w="3426" w:type="dxa"/>
          </w:tcPr>
          <w:p>
            <w:r>
              <w:rPr>
                <w:rFonts w:ascii="Calibri" w:hAnsi="Calibri"/>
                <w:sz w:val="18"/>
                <w:color w:val="1E293B"/>
              </w:rPr>
              <w:t xml:space="preserve">Initial illustrative model sample.</w:t>
            </w:r>
          </w:p>
        </w:tc>
        <w:tc>
          <w:tcPr>
            <w:tcW w:w="1800" w:type="dxa"/>
          </w:tcPr>
          <w:p>
            <w:r>
              <w:rPr>
                <w:rFonts w:ascii="Calibri" w:hAnsi="Calibri"/>
                <w:sz w:val="18"/>
                <w:color w:val="1E293B"/>
              </w:rPr>
              <w:t xml:space="preserve">SKANDA Documentation</w:t>
            </w:r>
          </w:p>
        </w:tc>
        <w:tc>
          <w:tcPr>
            <w:tcW w:w="1400" w:type="dxa"/>
          </w:tcPr>
          <w:p>
            <w:r>
              <w:rPr>
                <w:rFonts w:ascii="Calibri" w:hAnsi="Calibri"/>
                <w:sz w:val="18"/>
                <w:color w:val="1E293B"/>
              </w:rPr>
              <w:t xml:space="preserve">Not approved — model sample</w:t>
            </w:r>
          </w:p>
        </w:tc>
      </w:tr>
      <w:tr>
        <w:trPr>
          <w:cantSplit/>
        </w:trPr>
        <w:tc>
          <w:tcPr>
            <w:tcW w:w="1000" w:type="dxa"/>
            <w:shd w:val="clear" w:color="auto" w:fill="F8FAFC"/>
          </w:tcPr>
          <w:p>
            <w:r>
              <w:rPr>
                <w:rFonts w:ascii="Calibri" w:hAnsi="Calibri"/>
                <w:sz w:val="18"/>
                <w:color w:val="1E293B"/>
              </w:rPr>
              <w:t xml:space="preserve">1.1</w:t>
            </w:r>
          </w:p>
        </w:tc>
        <w:tc>
          <w:tcPr>
            <w:tcW w:w="1400" w:type="dxa"/>
            <w:shd w:val="clear" w:color="auto" w:fill="F8FAFC"/>
          </w:tcPr>
          <w:p>
            <w:r>
              <w:rPr>
                <w:rFonts w:ascii="Calibri" w:hAnsi="Calibri"/>
                <w:sz w:val="18"/>
                <w:color w:val="1E293B"/>
              </w:rPr>
              <w:t xml:space="preserve">2026-10-11</w:t>
            </w:r>
          </w:p>
        </w:tc>
        <w:tc>
          <w:tcPr>
            <w:tcW w:w="3426" w:type="dxa"/>
            <w:shd w:val="clear" w:color="auto" w:fill="F8FAFC"/>
          </w:tcPr>
          <w:p>
            <w:r>
              <w:rPr>
                <w:rFonts w:ascii="Calibri" w:hAnsi="Calibri"/>
                <w:sz w:val="18"/>
                <w:color w:val="1E293B"/>
              </w:rPr>
              <w:t xml:space="preserve">Quality revision: added contents, revision history and terms and definitions (new Section 3; later sections renumbered); corrected document metadata, header alignment, "Page X of Y" numbering and table pagination. No change to policy requirements.</w:t>
            </w:r>
          </w:p>
        </w:tc>
        <w:tc>
          <w:tcPr>
            <w:tcW w:w="1800" w:type="dxa"/>
            <w:shd w:val="clear" w:color="auto" w:fill="F8FAFC"/>
          </w:tcPr>
          <w:p>
            <w:r>
              <w:rPr>
                <w:rFonts w:ascii="Calibri" w:hAnsi="Calibri"/>
                <w:sz w:val="18"/>
                <w:color w:val="1E293B"/>
              </w:rPr>
              <w:t xml:space="preserve">SKANDA Documentation</w:t>
            </w:r>
          </w:p>
        </w:tc>
        <w:tc>
          <w:tcPr>
            <w:tcW w:w="1400" w:type="dxa"/>
            <w:shd w:val="clear" w:color="auto" w:fill="F8FAFC"/>
          </w:tcPr>
          <w:p>
            <w:r>
              <w:rPr>
                <w:rFonts w:ascii="Calibri" w:hAnsi="Calibri"/>
                <w:sz w:val="18"/>
                <w:color w:val="1E293B"/>
              </w:rPr>
              <w:t xml:space="preserve">Not approved — model sample</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240" w:after="80"/>
        <w:rPr>
          <w:rFonts w:ascii="Calibri" w:hAnsi="Calibri"/>
          <w:b/>
          <w:sz w:val="26"/>
          <w:color w:val="1E293B"/>
        </w:rPr>
      </w:pPr>
      <w:r>
        <w:rPr>
          <w:rFonts w:ascii="Calibri" w:hAnsi="Calibri"/>
          <w:b/>
          <w:sz w:val="26"/>
          <w:color w:val="1E293B"/>
        </w:rPr>
        <w:t xml:space="preserve">Document Governance</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Control</w:t>
            </w:r>
          </w:p>
        </w:tc>
        <w:tc>
          <w:tcPr>
            <w:tcW w:w="6226" w:type="dxa"/>
            <w:shd w:val="clear" w:color="auto" w:fill="0F172A"/>
          </w:tcPr>
          <w:p>
            <w:r>
              <w:rPr>
                <w:rFonts w:ascii="Calibri" w:hAnsi="Calibri"/>
                <w:b/>
                <w:color w:val="FFFFFF"/>
                <w:sz w:val="18"/>
              </w:rPr>
              <w:t xml:space="preserve">Requirement / model approach</w:t>
            </w:r>
          </w:p>
        </w:tc>
      </w:tr>
      <w:tr>
        <w:trPr>
          <w:cantSplit/>
        </w:trPr>
        <w:tc>
          <w:tcPr>
            <w:tcW w:w="2800" w:type="dxa"/>
          </w:tcPr>
          <w:p>
            <w:r>
              <w:rPr>
                <w:rFonts w:ascii="Calibri" w:hAnsi="Calibri"/>
                <w:sz w:val="18"/>
                <w:color w:val="1E293B"/>
              </w:rPr>
              <w:t xml:space="preserve">Accountable owner</w:t>
            </w:r>
          </w:p>
        </w:tc>
        <w:tc>
          <w:tcPr>
            <w:tcW w:w="6226" w:type="dxa"/>
          </w:tcPr>
          <w:p>
            <w:r>
              <w:rPr>
                <w:rFonts w:ascii="Calibri" w:hAnsi="Calibri"/>
                <w:sz w:val="18"/>
                <w:color w:val="1E293B"/>
              </w:rPr>
              <w:t xml:space="preserve">The organization shall designate an accountable policy owner with sufficient authority to coordinate review and implementation.</w:t>
            </w:r>
          </w:p>
        </w:tc>
      </w:tr>
      <w:tr>
        <w:trPr>
          <w:cantSplit/>
        </w:trPr>
        <w:tc>
          <w:tcPr>
            <w:tcW w:w="2800" w:type="dxa"/>
            <w:shd w:val="clear" w:color="auto" w:fill="F8FAFC"/>
          </w:tcPr>
          <w:p>
            <w:r>
              <w:rPr>
                <w:rFonts w:ascii="Calibri" w:hAnsi="Calibri"/>
                <w:sz w:val="18"/>
                <w:color w:val="1E293B"/>
              </w:rPr>
              <w:t xml:space="preserve">Approval authority</w:t>
            </w:r>
          </w:p>
        </w:tc>
        <w:tc>
          <w:tcPr>
            <w:tcW w:w="6226" w:type="dxa"/>
            <w:shd w:val="clear" w:color="auto" w:fill="F8FAFC"/>
          </w:tcPr>
          <w:p>
            <w:r>
              <w:rPr>
                <w:rFonts w:ascii="Calibri" w:hAnsi="Calibri"/>
                <w:sz w:val="18"/>
                <w:color w:val="1E293B"/>
              </w:rPr>
              <w:t xml:space="preserve">Approval shall follow the organization's documented delegation-of-authority matrix.</w:t>
            </w:r>
          </w:p>
        </w:tc>
      </w:tr>
      <w:tr>
        <w:trPr>
          <w:cantSplit/>
        </w:trPr>
        <w:tc>
          <w:tcPr>
            <w:tcW w:w="2800" w:type="dxa"/>
          </w:tcPr>
          <w:p>
            <w:r>
              <w:rPr>
                <w:rFonts w:ascii="Calibri" w:hAnsi="Calibri"/>
                <w:sz w:val="18"/>
                <w:color w:val="1E293B"/>
              </w:rPr>
              <w:t xml:space="preserve">Review frequency</w:t>
            </w:r>
          </w:p>
        </w:tc>
        <w:tc>
          <w:tcPr>
            <w:tcW w:w="6226" w:type="dxa"/>
          </w:tcPr>
          <w:p>
            <w:r>
              <w:rPr>
                <w:rFonts w:ascii="Calibri" w:hAnsi="Calibri"/>
                <w:sz w:val="18"/>
                <w:color w:val="1E293B"/>
              </w:rPr>
              <w:t xml:space="preserve">At the formally approved interval and upon material changes to business, technology, risk, legal obligations or interested-party requirements.</w:t>
            </w:r>
          </w:p>
        </w:tc>
      </w:tr>
      <w:tr>
        <w:trPr>
          <w:cantSplit/>
        </w:trPr>
        <w:tc>
          <w:tcPr>
            <w:tcW w:w="2800" w:type="dxa"/>
            <w:shd w:val="clear" w:color="auto" w:fill="F8FAFC"/>
          </w:tcPr>
          <w:p>
            <w:r>
              <w:rPr>
                <w:rFonts w:ascii="Calibri" w:hAnsi="Calibri"/>
                <w:sz w:val="18"/>
                <w:color w:val="1E293B"/>
              </w:rPr>
              <w:t xml:space="preserve">Distribution</w:t>
            </w:r>
          </w:p>
        </w:tc>
        <w:tc>
          <w:tcPr>
            <w:tcW w:w="6226" w:type="dxa"/>
            <w:shd w:val="clear" w:color="auto" w:fill="F8FAFC"/>
          </w:tcPr>
          <w:p>
            <w:r>
              <w:rPr>
                <w:rFonts w:ascii="Calibri" w:hAnsi="Calibri"/>
                <w:sz w:val="18"/>
                <w:color w:val="1E293B"/>
              </w:rPr>
              <w:t xml:space="preserve">The controlled published version shall be made available to relevant personnel and other authorized recipients.</w:t>
            </w:r>
          </w:p>
        </w:tc>
      </w:tr>
      <w:tr>
        <w:trPr>
          <w:cantSplit/>
        </w:trPr>
        <w:tc>
          <w:tcPr>
            <w:tcW w:w="2800" w:type="dxa"/>
          </w:tcPr>
          <w:p>
            <w:r>
              <w:rPr>
                <w:rFonts w:ascii="Calibri" w:hAnsi="Calibri"/>
                <w:sz w:val="18"/>
                <w:color w:val="1E293B"/>
              </w:rPr>
              <w:t xml:space="preserve">Superseded copies</w:t>
            </w:r>
          </w:p>
        </w:tc>
        <w:tc>
          <w:tcPr>
            <w:tcW w:w="6226" w:type="dxa"/>
          </w:tcPr>
          <w:p>
            <w:r>
              <w:rPr>
                <w:rFonts w:ascii="Calibri" w:hAnsi="Calibri"/>
                <w:sz w:val="18"/>
                <w:color w:val="1E293B"/>
              </w:rPr>
              <w:t xml:space="preserve">Superseded versions shall be identifiable and prevented from unintended operational use, while retained according to records requirements.</w:t>
            </w:r>
          </w:p>
        </w:tc>
      </w:tr>
      <w:tr>
        <w:trPr>
          <w:cantSplit/>
        </w:trPr>
        <w:tc>
          <w:tcPr>
            <w:tcW w:w="2800" w:type="dxa"/>
            <w:shd w:val="clear" w:color="auto" w:fill="F8FAFC"/>
          </w:tcPr>
          <w:p>
            <w:r>
              <w:rPr>
                <w:rFonts w:ascii="Calibri" w:hAnsi="Calibri"/>
                <w:sz w:val="18"/>
                <w:color w:val="1E293B"/>
              </w:rPr>
              <w:t xml:space="preserve">Exceptions</w:t>
            </w:r>
          </w:p>
        </w:tc>
        <w:tc>
          <w:tcPr>
            <w:tcW w:w="6226" w:type="dxa"/>
            <w:shd w:val="clear" w:color="auto" w:fill="F8FAFC"/>
          </w:tcPr>
          <w:p>
            <w:r>
              <w:rPr>
                <w:rFonts w:ascii="Calibri" w:hAnsi="Calibri"/>
                <w:sz w:val="18"/>
                <w:color w:val="1E293B"/>
              </w:rPr>
              <w:t xml:space="preserve">Exceptions shall be recorded, risk-assessed, authorized, time-bound or periodically reviewed, and tracked to closure.</w:t>
            </w:r>
          </w:p>
        </w:tc>
      </w:tr>
    </w:tbl>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This policy establishes management direction and mandatory principles for protecting the confidentiality, integrity and availability of information and supporting the organization’s information security management system (ISMS). It sets expectations for governance, risk-based decision-making, implementation, monitoring and continual improvement.</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The organization shall define the ISMS scope in its approved scope statement. This policy applies to personnel, processes, information, technology, facilities and third parties to the extent they fall within that scope or interact with in-scope information assets. The organization shall document relevant interfaces, dependencies and exclusions rather than assuming universal applicability.</w:t>
      </w:r>
    </w:p>
    <w:p>
      <w:pPr>
        <w:spacing w:after="100"/>
      </w:pPr>
      <w:r>
        <w:rPr>
          <w:rFonts w:ascii="Calibri" w:hAnsi="Calibri"/>
          <w:b/>
          <w:color w:val="1E293B"/>
          <w:sz w:val="20"/>
        </w:rPr>
        <w:t xml:space="preserve">• In-Scope Locations: [Locations to be documented in approved scope statement]</w:t>
      </w:r>
    </w:p>
    <w:p>
      <w:pPr>
        <w:spacing w:after="100"/>
      </w:pPr>
      <w:r>
        <w:rPr>
          <w:rFonts w:ascii="Calibri" w:hAnsi="Calibri"/>
          <w:color w:val="1E293B"/>
          <w:sz w:val="20"/>
        </w:rPr>
        <w:t xml:space="preserve">• In-Scope Systems &amp; Services: [In-scope services and interfaces to be defined]</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[Specific boundary exclusions if approved by risk committee]: [Documented justification and boundary safeguards]</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Information security</w:t>
            </w:r>
          </w:p>
        </w:tc>
        <w:tc>
          <w:tcPr>
            <w:tcW w:w="6426" w:type="dxa"/>
          </w:tcPr>
          <w:p>
            <w:r>
              <w:rPr>
                <w:rFonts w:ascii="Calibri" w:hAnsi="Calibri"/>
                <w:sz w:val="18"/>
                <w:color w:val="1E293B"/>
              </w:rPr>
              <w:t xml:space="preserve">Preservation of the confidentiality, integrity and availability of information.</w:t>
            </w:r>
          </w:p>
        </w:tc>
      </w:tr>
      <w:tr>
        <w:trPr>
          <w:cantSplit/>
        </w:trPr>
        <w:tc>
          <w:tcPr>
            <w:tcW w:w="2600" w:type="dxa"/>
            <w:shd w:val="clear" w:color="auto" w:fill="F8FAFC"/>
          </w:tcPr>
          <w:p>
            <w:r>
              <w:rPr>
                <w:rFonts w:ascii="Calibri" w:hAnsi="Calibri"/>
                <w:sz w:val="18"/>
                <w:color w:val="1E293B"/>
              </w:rPr>
              <w:t xml:space="preserve">ISMS</w:t>
            </w:r>
          </w:p>
        </w:tc>
        <w:tc>
          <w:tcPr>
            <w:tcW w:w="6426" w:type="dxa"/>
            <w:shd w:val="clear" w:color="auto" w:fill="F8FAFC"/>
          </w:tcPr>
          <w:p>
            <w:r>
              <w:rPr>
                <w:rFonts w:ascii="Calibri" w:hAnsi="Calibri"/>
                <w:sz w:val="18"/>
                <w:color w:val="1E293B"/>
              </w:rPr>
              <w:t xml:space="preserve">The policies, processes, roles, resources and controls the organization uses to establish, operate, monitor and improve information security within its approved scope.</w:t>
            </w:r>
          </w:p>
        </w:tc>
      </w:tr>
      <w:tr>
        <w:trPr>
          <w:cantSplit/>
        </w:trPr>
        <w:tc>
          <w:tcPr>
            <w:tcW w:w="2600" w:type="dxa"/>
          </w:tcPr>
          <w:p>
            <w:r>
              <w:rPr>
                <w:rFonts w:ascii="Calibri" w:hAnsi="Calibri"/>
                <w:sz w:val="18"/>
                <w:color w:val="1E293B"/>
              </w:rPr>
              <w:t xml:space="preserve">Risk owner</w:t>
            </w:r>
          </w:p>
        </w:tc>
        <w:tc>
          <w:tcPr>
            <w:tcW w:w="6426" w:type="dxa"/>
          </w:tcPr>
          <w:p>
            <w:r>
              <w:rPr>
                <w:rFonts w:ascii="Calibri" w:hAnsi="Calibri"/>
                <w:sz w:val="18"/>
                <w:color w:val="1E293B"/>
              </w:rPr>
              <w:t xml:space="preserve">The person or role with accountability and authority to manage an assigned risk, including treatment decisions and acceptance within delegated limits.</w:t>
            </w:r>
          </w:p>
        </w:tc>
      </w:tr>
      <w:tr>
        <w:trPr>
          <w:cantSplit/>
        </w:trPr>
        <w:tc>
          <w:tcPr>
            <w:tcW w:w="2600" w:type="dxa"/>
            <w:shd w:val="clear" w:color="auto" w:fill="F8FAFC"/>
          </w:tcPr>
          <w:p>
            <w:r>
              <w:rPr>
                <w:rFonts w:ascii="Calibri" w:hAnsi="Calibri"/>
                <w:sz w:val="18"/>
                <w:color w:val="1E293B"/>
              </w:rPr>
              <w:t xml:space="preserve">Control owner</w:t>
            </w:r>
          </w:p>
        </w:tc>
        <w:tc>
          <w:tcPr>
            <w:tcW w:w="6426" w:type="dxa"/>
            <w:shd w:val="clear" w:color="auto" w:fill="F8FAFC"/>
          </w:tcPr>
          <w:p>
            <w:r>
              <w:rPr>
                <w:rFonts w:ascii="Calibri" w:hAnsi="Calibri"/>
                <w:sz w:val="18"/>
                <w:color w:val="1E293B"/>
              </w:rPr>
              <w:t xml:space="preserve">The person or role responsible for implementing, operating and evidencing an assigned control.</w:t>
            </w:r>
          </w:p>
        </w:tc>
      </w:tr>
      <w:tr>
        <w:trPr>
          <w:cantSplit/>
        </w:trPr>
        <w:tc>
          <w:tcPr>
            <w:tcW w:w="2600" w:type="dxa"/>
          </w:tcPr>
          <w:p>
            <w:r>
              <w:rPr>
                <w:rFonts w:ascii="Calibri" w:hAnsi="Calibri"/>
                <w:sz w:val="18"/>
                <w:color w:val="1E293B"/>
              </w:rPr>
              <w:t xml:space="preserve">Exception</w:t>
            </w:r>
          </w:p>
        </w:tc>
        <w:tc>
          <w:tcPr>
            <w:tcW w:w="6426" w:type="dxa"/>
          </w:tcPr>
          <w:p>
            <w:r>
              <w:rPr>
                <w:rFonts w:ascii="Calibri" w:hAnsi="Calibri"/>
                <w:sz w:val="18"/>
                <w:color w:val="1E293B"/>
              </w:rPr>
              <w:t xml:space="preserve">A documented, risk-assessed and authorized deviation from a mandatory requirement that is time-bound or subject to periodic review.</w:t>
            </w:r>
          </w:p>
        </w:tc>
      </w:tr>
      <w:tr>
        <w:trPr>
          <w:cantSplit/>
        </w:trPr>
        <w:tc>
          <w:tcPr>
            <w:tcW w:w="2600" w:type="dxa"/>
            <w:shd w:val="clear" w:color="auto" w:fill="F8FAFC"/>
          </w:tcPr>
          <w:p>
            <w:r>
              <w:rPr>
                <w:rFonts w:ascii="Calibri" w:hAnsi="Calibri"/>
                <w:sz w:val="18"/>
                <w:color w:val="1E293B"/>
              </w:rPr>
              <w:t xml:space="preserve">Nonconformity</w:t>
            </w:r>
          </w:p>
        </w:tc>
        <w:tc>
          <w:tcPr>
            <w:tcW w:w="6426" w:type="dxa"/>
            <w:shd w:val="clear" w:color="auto" w:fill="F8FAFC"/>
          </w:tcPr>
          <w:p>
            <w:r>
              <w:rPr>
                <w:rFonts w:ascii="Calibri" w:hAnsi="Calibri"/>
                <w:sz w:val="18"/>
                <w:color w:val="1E293B"/>
              </w:rPr>
              <w:t xml:space="preserve">Failure to fulfil a requirement of this policy, a supporting controlled document, or another applicable obligation.</w:t>
            </w:r>
          </w:p>
        </w:tc>
      </w:tr>
      <w:tr>
        <w:trPr>
          <w:cantSplit/>
        </w:trPr>
        <w:tc>
          <w:tcPr>
            <w:tcW w:w="2600" w:type="dxa"/>
          </w:tcPr>
          <w:p>
            <w:r>
              <w:rPr>
                <w:rFonts w:ascii="Calibri" w:hAnsi="Calibri"/>
                <w:sz w:val="18"/>
                <w:color w:val="1E293B"/>
              </w:rPr>
              <w:t xml:space="preserve">Corrective action</w:t>
            </w:r>
          </w:p>
        </w:tc>
        <w:tc>
          <w:tcPr>
            <w:tcW w:w="6426" w:type="dxa"/>
          </w:tcPr>
          <w:p>
            <w:r>
              <w:rPr>
                <w:rFonts w:ascii="Calibri" w:hAnsi="Calibri"/>
                <w:sz w:val="18"/>
                <w:color w:val="1E293B"/>
              </w:rPr>
              <w:t xml:space="preserve">Action to eliminate the cause of a nonconformity and prevent recurrence, verified as effective before closure.</w:t>
            </w:r>
          </w:p>
        </w:tc>
      </w:tr>
      <w:tr>
        <w:trPr>
          <w:cantSplit/>
        </w:trPr>
        <w:tc>
          <w:tcPr>
            <w:tcW w:w="2600" w:type="dxa"/>
            <w:shd w:val="clear" w:color="auto" w:fill="F8FAFC"/>
          </w:tcPr>
          <w:p>
            <w:r>
              <w:rPr>
                <w:rFonts w:ascii="Calibri" w:hAnsi="Calibri"/>
                <w:sz w:val="18"/>
                <w:color w:val="1E293B"/>
              </w:rPr>
              <w:t xml:space="preserve">Evidence</w:t>
            </w:r>
          </w:p>
        </w:tc>
        <w:tc>
          <w:tcPr>
            <w:tcW w:w="6426" w:type="dxa"/>
            <w:shd w:val="clear" w:color="auto" w:fill="F8FAFC"/>
          </w:tcPr>
          <w:p>
            <w:r>
              <w:rPr>
                <w:rFonts w:ascii="Calibri" w:hAnsi="Calibri"/>
                <w:sz w:val="18"/>
                <w:color w:val="1E293B"/>
              </w:rPr>
              <w:t xml:space="preserve">Attributable, retrievable and protected records demonstrating that a requirement or control was performed as defined.</w:t>
            </w:r>
          </w:p>
        </w:tc>
      </w:tr>
    </w:tbl>
    <w:p>
      <w:pPr>
        <w:spacing w:before="360" w:after="120"/>
        <w:rPr>
          <w:rFonts w:ascii="Calibri" w:hAnsi="Calibri"/>
          <w:b/>
          <w:sz w:val="32"/>
          <w:color w:val="0F172A"/>
        </w:rPr>
      </w:pPr>
      <w:r>
        <w:rPr>
          <w:rFonts w:ascii="Calibri" w:hAnsi="Calibri"/>
          <w:b/>
          <w:sz w:val="32"/>
          <w:color w:val="0F172A"/>
        </w:rPr>
        <w:t xml:space="preserve">4. Policy Objectives</w:t>
      </w:r>
    </w:p>
    <w:p>
      <w:pPr>
        <w:spacing w:after="100"/>
      </w:pPr>
      <w:r>
        <w:rPr>
          <w:rFonts w:ascii="Calibri" w:hAnsi="Calibri"/>
          <w:color w:val="1E293B"/>
          <w:sz w:val="20"/>
        </w:rPr>
        <w:t xml:space="preserve">• Protect information against unauthorized access, disclosure, alteration, loss and disruption in a manner proportionate to its classification and risk.</w:t>
      </w:r>
    </w:p>
    <w:p>
      <w:pPr>
        <w:spacing w:after="100"/>
      </w:pPr>
      <w:r>
        <w:rPr>
          <w:rFonts w:ascii="Calibri" w:hAnsi="Calibri"/>
          <w:color w:val="1E293B"/>
          <w:sz w:val="20"/>
        </w:rPr>
        <w:t xml:space="preserve">• Establish clear accountability for information security risks, controls, exceptions and remediation.</w:t>
      </w:r>
    </w:p>
    <w:p>
      <w:pPr>
        <w:spacing w:after="100"/>
      </w:pPr>
      <w:r>
        <w:rPr>
          <w:rFonts w:ascii="Calibri" w:hAnsi="Calibri"/>
          <w:color w:val="1E293B"/>
          <w:sz w:val="20"/>
        </w:rPr>
        <w:t xml:space="preserve">• Identify and assess information security risks using an approved, repeatable methodology and maintain treatment decisions and risk acceptance records.</w:t>
      </w:r>
    </w:p>
    <w:p>
      <w:pPr>
        <w:spacing w:after="100"/>
      </w:pPr>
      <w:r>
        <w:rPr>
          <w:rFonts w:ascii="Calibri" w:hAnsi="Calibri"/>
          <w:color w:val="1E293B"/>
          <w:sz w:val="20"/>
        </w:rPr>
        <w:t xml:space="preserve">• Meet applicable legal, regulatory, contractual and other obligations that have been identified and validated for the organization.</w:t>
      </w:r>
    </w:p>
    <w:p>
      <w:pPr>
        <w:spacing w:after="100"/>
      </w:pPr>
      <w:r>
        <w:rPr>
          <w:rFonts w:ascii="Calibri" w:hAnsi="Calibri"/>
          <w:color w:val="1E293B"/>
          <w:sz w:val="20"/>
        </w:rPr>
        <w:t xml:space="preserve">• Ensure security requirements are considered in personnel lifecycle, supplier relationships, system acquisition, development, operation and change.</w:t>
      </w:r>
    </w:p>
    <w:p>
      <w:pPr>
        <w:spacing w:after="100"/>
      </w:pPr>
      <w:r>
        <w:rPr>
          <w:rFonts w:ascii="Calibri" w:hAnsi="Calibri"/>
          <w:color w:val="1E293B"/>
          <w:sz w:val="20"/>
        </w:rPr>
        <w:t xml:space="preserve">• Evaluate control operation and ISMS performance using defined evidence, monitoring, audit and management review processes.</w:t>
      </w:r>
    </w:p>
    <w:p>
      <w:pPr>
        <w:spacing w:before="360" w:after="120"/>
        <w:rPr>
          <w:rFonts w:ascii="Calibri" w:hAnsi="Calibri"/>
          <w:b/>
          <w:sz w:val="32"/>
          <w:color w:val="0F172A"/>
        </w:rPr>
      </w:pPr>
      <w:r>
        <w:rPr>
          <w:rFonts w:ascii="Calibri" w:hAnsi="Calibri"/>
          <w:b/>
          <w:sz w:val="32"/>
          <w:color w:val="0F172A"/>
        </w:rPr>
        <w:t xml:space="preserve">5. Governance and Accountability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Role</w:t>
            </w:r>
          </w:p>
        </w:tc>
        <w:tc>
          <w:tcPr>
            <w:tcW w:w="6026" w:type="dxa"/>
            <w:shd w:val="clear" w:color="auto" w:fill="0F172A"/>
          </w:tcPr>
          <w:p>
            <w:r>
              <w:rPr>
                <w:rFonts w:ascii="Calibri" w:hAnsi="Calibri"/>
                <w:b/>
                <w:color w:val="FFFFFF"/>
                <w:sz w:val="18"/>
              </w:rPr>
              <w:t xml:space="preserve">Accountability (to be mapped to actual organization)</w:t>
            </w:r>
          </w:p>
        </w:tc>
      </w:tr>
      <w:tr>
        <w:trPr>
          <w:cantSplit/>
        </w:trPr>
        <w:tc>
          <w:tcPr>
            <w:tcW w:w="3000" w:type="dxa"/>
          </w:tcPr>
          <w:p>
            <w:r>
              <w:rPr>
                <w:rFonts w:ascii="Calibri" w:hAnsi="Calibri"/>
                <w:sz w:val="18"/>
                <w:color w:val="1E293B"/>
              </w:rPr>
              <w:t xml:space="preserve">Top management / executive sponsor</w:t>
            </w:r>
          </w:p>
        </w:tc>
        <w:tc>
          <w:tcPr>
            <w:tcW w:w="6026" w:type="dxa"/>
          </w:tcPr>
          <w:p>
            <w:r>
              <w:rPr>
                <w:rFonts w:ascii="Calibri" w:hAnsi="Calibri"/>
                <w:sz w:val="18"/>
                <w:color w:val="1E293B"/>
              </w:rPr>
              <w:t xml:space="preserve">Approve policy and ISMS direction; assign responsibilities; consider resources; review significant risks, performance and improvement needs.</w:t>
            </w:r>
          </w:p>
        </w:tc>
      </w:tr>
      <w:tr>
        <w:trPr>
          <w:cantSplit/>
        </w:trPr>
        <w:tc>
          <w:tcPr>
            <w:tcW w:w="3000" w:type="dxa"/>
            <w:shd w:val="clear" w:color="auto" w:fill="F8FAFC"/>
          </w:tcPr>
          <w:p>
            <w:r>
              <w:rPr>
                <w:rFonts w:ascii="Calibri" w:hAnsi="Calibri"/>
                <w:sz w:val="18"/>
                <w:color w:val="1E293B"/>
              </w:rPr>
              <w:t xml:space="preserve">ISMS owner / Information Security Manager</w:t>
            </w:r>
          </w:p>
        </w:tc>
        <w:tc>
          <w:tcPr>
            <w:tcW w:w="6026" w:type="dxa"/>
            <w:shd w:val="clear" w:color="auto" w:fill="F8FAFC"/>
          </w:tcPr>
          <w:p>
            <w:r>
              <w:rPr>
                <w:rFonts w:ascii="Calibri" w:hAnsi="Calibri"/>
                <w:sz w:val="18"/>
                <w:color w:val="1E293B"/>
              </w:rPr>
              <w:t xml:space="preserve">Coordinate ISMS operation, policy maintenance, risk and control reporting, awareness, internal audit coordination and corrective-action follow-up.</w:t>
            </w:r>
          </w:p>
        </w:tc>
      </w:tr>
      <w:tr>
        <w:trPr>
          <w:cantSplit/>
        </w:trPr>
        <w:tc>
          <w:tcPr>
            <w:tcW w:w="3000" w:type="dxa"/>
          </w:tcPr>
          <w:p>
            <w:r>
              <w:rPr>
                <w:rFonts w:ascii="Calibri" w:hAnsi="Calibri"/>
                <w:sz w:val="18"/>
                <w:color w:val="1E293B"/>
              </w:rPr>
              <w:t xml:space="preserve">Risk owners</w:t>
            </w:r>
          </w:p>
        </w:tc>
        <w:tc>
          <w:tcPr>
            <w:tcW w:w="6026" w:type="dxa"/>
          </w:tcPr>
          <w:p>
            <w:r>
              <w:rPr>
                <w:rFonts w:ascii="Calibri" w:hAnsi="Calibri"/>
                <w:sz w:val="18"/>
                <w:color w:val="1E293B"/>
              </w:rPr>
              <w:t xml:space="preserve">Assess assigned risks, select or recommend treatment, maintain action plans, and seek acceptance only from an authorized role.</w:t>
            </w:r>
          </w:p>
        </w:tc>
      </w:tr>
      <w:tr>
        <w:trPr>
          <w:cantSplit/>
        </w:trPr>
        <w:tc>
          <w:tcPr>
            <w:tcW w:w="3000" w:type="dxa"/>
            <w:shd w:val="clear" w:color="auto" w:fill="F8FAFC"/>
          </w:tcPr>
          <w:p>
            <w:r>
              <w:rPr>
                <w:rFonts w:ascii="Calibri" w:hAnsi="Calibri"/>
                <w:sz w:val="18"/>
                <w:color w:val="1E293B"/>
              </w:rPr>
              <w:t xml:space="preserve">Control owners / process owners</w:t>
            </w:r>
          </w:p>
        </w:tc>
        <w:tc>
          <w:tcPr>
            <w:tcW w:w="6026" w:type="dxa"/>
            <w:shd w:val="clear" w:color="auto" w:fill="F8FAFC"/>
          </w:tcPr>
          <w:p>
            <w:r>
              <w:rPr>
                <w:rFonts w:ascii="Calibri" w:hAnsi="Calibri"/>
                <w:sz w:val="18"/>
                <w:color w:val="1E293B"/>
              </w:rPr>
              <w:t xml:space="preserve">Implement assigned controls, maintain operating procedures and records, report failures and provide evidence for monitoring and audit.</w:t>
            </w:r>
          </w:p>
        </w:tc>
      </w:tr>
      <w:tr>
        <w:trPr>
          <w:cantSplit/>
        </w:trPr>
        <w:tc>
          <w:tcPr>
            <w:tcW w:w="3000" w:type="dxa"/>
          </w:tcPr>
          <w:p>
            <w:r>
              <w:rPr>
                <w:rFonts w:ascii="Calibri" w:hAnsi="Calibri"/>
                <w:sz w:val="18"/>
                <w:color w:val="1E293B"/>
              </w:rPr>
              <w:t xml:space="preserve">IT and engineering teams</w:t>
            </w:r>
          </w:p>
        </w:tc>
        <w:tc>
          <w:tcPr>
            <w:tcW w:w="6026" w:type="dxa"/>
          </w:tcPr>
          <w:p>
            <w:r>
              <w:rPr>
                <w:rFonts w:ascii="Calibri" w:hAnsi="Calibri"/>
                <w:sz w:val="18"/>
                <w:color w:val="1E293B"/>
              </w:rPr>
              <w:t xml:space="preserve">Implement approved technical requirements and retain operational logs and change records relevant to assigned controls.</w:t>
            </w:r>
          </w:p>
        </w:tc>
      </w:tr>
      <w:tr>
        <w:trPr>
          <w:cantSplit/>
        </w:trPr>
        <w:tc>
          <w:tcPr>
            <w:tcW w:w="3000" w:type="dxa"/>
            <w:shd w:val="clear" w:color="auto" w:fill="F8FAFC"/>
          </w:tcPr>
          <w:p>
            <w:r>
              <w:rPr>
                <w:rFonts w:ascii="Calibri" w:hAnsi="Calibri"/>
                <w:sz w:val="18"/>
                <w:color w:val="1E293B"/>
              </w:rPr>
              <w:t xml:space="preserve">People managers</w:t>
            </w:r>
          </w:p>
        </w:tc>
        <w:tc>
          <w:tcPr>
            <w:tcW w:w="6026" w:type="dxa"/>
            <w:shd w:val="clear" w:color="auto" w:fill="F8FAFC"/>
          </w:tcPr>
          <w:p>
            <w:r>
              <w:rPr>
                <w:rFonts w:ascii="Calibri" w:hAnsi="Calibri"/>
                <w:sz w:val="18"/>
                <w:color w:val="1E293B"/>
              </w:rPr>
              <w:t xml:space="preserve">Ensure personnel understand role-specific responsibilities and follow approved onboarding, access, transfer and exit processes.</w:t>
            </w:r>
          </w:p>
        </w:tc>
      </w:tr>
      <w:tr>
        <w:trPr>
          <w:cantSplit/>
        </w:trPr>
        <w:tc>
          <w:tcPr>
            <w:tcW w:w="3000" w:type="dxa"/>
          </w:tcPr>
          <w:p>
            <w:r>
              <w:rPr>
                <w:rFonts w:ascii="Calibri" w:hAnsi="Calibri"/>
                <w:sz w:val="18"/>
                <w:color w:val="1E293B"/>
              </w:rPr>
              <w:t xml:space="preserve">Personnel and contractors</w:t>
            </w:r>
          </w:p>
        </w:tc>
        <w:tc>
          <w:tcPr>
            <w:tcW w:w="6026" w:type="dxa"/>
          </w:tcPr>
          <w:p>
            <w:r>
              <w:rPr>
                <w:rFonts w:ascii="Calibri" w:hAnsi="Calibri"/>
                <w:sz w:val="18"/>
                <w:color w:val="1E293B"/>
              </w:rPr>
              <w:t xml:space="preserve">Comply with applicable requirements, protect credentials and information, complete assigned training and report suspected incidents.</w:t>
            </w:r>
          </w:p>
        </w:tc>
      </w:tr>
      <w:tr>
        <w:trPr>
          <w:cantSplit/>
        </w:trPr>
        <w:tc>
          <w:tcPr>
            <w:tcW w:w="3000" w:type="dxa"/>
            <w:shd w:val="clear" w:color="auto" w:fill="F8FAFC"/>
          </w:tcPr>
          <w:p>
            <w:r>
              <w:rPr>
                <w:rFonts w:ascii="Calibri" w:hAnsi="Calibri"/>
                <w:sz w:val="18"/>
                <w:color w:val="1E293B"/>
              </w:rPr>
              <w:t xml:space="preserve">Supplier / relationship owners</w:t>
            </w:r>
          </w:p>
        </w:tc>
        <w:tc>
          <w:tcPr>
            <w:tcW w:w="6026" w:type="dxa"/>
            <w:shd w:val="clear" w:color="auto" w:fill="F8FAFC"/>
          </w:tcPr>
          <w:p>
            <w:r>
              <w:rPr>
                <w:rFonts w:ascii="Calibri" w:hAnsi="Calibri"/>
                <w:sz w:val="18"/>
                <w:color w:val="1E293B"/>
              </w:rPr>
              <w:t xml:space="preserve">Ensure third-party due diligence, contractual requirements, access, monitoring and exit obligations are managed.</w:t>
            </w:r>
          </w:p>
        </w:tc>
      </w:tr>
      <w:tr>
        <w:trPr>
          <w:cantSplit/>
        </w:trPr>
        <w:tc>
          <w:tcPr>
            <w:tcW w:w="3000" w:type="dxa"/>
          </w:tcPr>
          <w:p>
            <w:r>
              <w:rPr>
                <w:rFonts w:ascii="Calibri" w:hAnsi="Calibri"/>
                <w:sz w:val="18"/>
                <w:color w:val="1E293B"/>
              </w:rPr>
              <w:t xml:space="preserve">Internal auditors</w:t>
            </w:r>
          </w:p>
        </w:tc>
        <w:tc>
          <w:tcPr>
            <w:tcW w:w="6026" w:type="dxa"/>
          </w:tcPr>
          <w:p>
            <w:r>
              <w:rPr>
                <w:rFonts w:ascii="Calibri" w:hAnsi="Calibri"/>
                <w:sz w:val="18"/>
                <w:color w:val="1E293B"/>
              </w:rPr>
              <w:t xml:space="preserve">Perform impartial audit activities under an approved audit programme; avoid auditing their own work.</w:t>
            </w:r>
          </w:p>
        </w:tc>
      </w:tr>
    </w:tbl>
    <w:p>
      <w:pPr>
        <w:spacing w:before="360" w:after="120"/>
        <w:rPr>
          <w:rFonts w:ascii="Calibri" w:hAnsi="Calibri"/>
          <w:b/>
          <w:sz w:val="32"/>
          <w:color w:val="0F172A"/>
        </w:rPr>
      </w:pPr>
      <w:r>
        <w:rPr>
          <w:rFonts w:ascii="Calibri" w:hAnsi="Calibri"/>
          <w:b/>
          <w:sz w:val="32"/>
          <w:color w:val="0F172A"/>
        </w:rPr>
        <w:t xml:space="preserve">6. Mandatory Policy Requirements</w:t>
      </w:r>
    </w:p>
    <w:p>
      <w:pPr>
        <w:spacing w:before="240" w:after="80"/>
        <w:rPr>
          <w:rFonts w:ascii="Calibri" w:hAnsi="Calibri"/>
          <w:b/>
          <w:sz w:val="26"/>
          <w:color w:val="1E293B"/>
        </w:rPr>
      </w:pPr>
      <w:r>
        <w:rPr>
          <w:rFonts w:ascii="Calibri" w:hAnsi="Calibri"/>
          <w:b/>
          <w:sz w:val="26"/>
          <w:color w:val="1E293B"/>
        </w:rPr>
        <w:t xml:space="preserve">6.1 Risk management</w:t>
      </w:r>
    </w:p>
    <w:p>
      <w:pPr>
        <w:spacing w:after="100"/>
      </w:pPr>
      <w:r>
        <w:rPr>
          <w:rFonts w:ascii="Calibri" w:hAnsi="Calibri"/>
          <w:color w:val="1E293B"/>
          <w:sz w:val="20"/>
        </w:rPr>
        <w:t xml:space="preserve">Information security risks shall be identified, analyzed, evaluated and treated under the approved risk methodology. Risk criteria, likelihood and impact definitions, acceptance authority, treatment options, review triggers and recordkeeping shall be documented. Risk acceptance shall be explicit, attributable to an authorized risk owner, and reviewed when assumptions or risk conditions materially change.</w:t>
      </w:r>
    </w:p>
    <w:p>
      <w:pPr>
        <w:spacing w:after="100"/>
      </w:pPr>
      <w:r>
        <w:rPr>
          <w:rFonts w:ascii="Calibri" w:hAnsi="Calibri"/>
          <w:i/>
          <w:color w:val="0284C7"/>
          <w:sz w:val="20"/>
        </w:rPr>
        <w:t xml:space="preserve">[Traceability: ISO/IEC 27001:2022 Clause 6.1.2 • Clause 6.1.3 | Controls: A.5.1, A.5.8]</w:t>
      </w:r>
    </w:p>
    <w:p>
      <w:pPr>
        <w:spacing w:before="240" w:after="80"/>
        <w:rPr>
          <w:rFonts w:ascii="Calibri" w:hAnsi="Calibri"/>
          <w:b/>
          <w:sz w:val="26"/>
          <w:color w:val="1E293B"/>
        </w:rPr>
      </w:pPr>
      <w:r>
        <w:rPr>
          <w:rFonts w:ascii="Calibri" w:hAnsi="Calibri"/>
          <w:b/>
          <w:sz w:val="26"/>
          <w:color w:val="1E293B"/>
        </w:rPr>
        <w:t xml:space="preserve">6.2 Asset ownership and information classification</w:t>
      </w:r>
    </w:p>
    <w:p>
      <w:pPr>
        <w:spacing w:after="100"/>
      </w:pPr>
      <w:r>
        <w:rPr>
          <w:rFonts w:ascii="Calibri" w:hAnsi="Calibri"/>
          <w:color w:val="1E293B"/>
          <w:sz w:val="20"/>
        </w:rPr>
        <w:t xml:space="preserve">In-scope information assets shall have assigned ownership appropriate to their nature and criticality. The organization shall define classification and handling rules, including requirements for access, storage, transmission, sharing, retention and secure disposal. The detailed classification scheme and handling rules shall be maintained in controlled supporting documents.</w:t>
      </w:r>
    </w:p>
    <w:p>
      <w:pPr>
        <w:spacing w:after="100"/>
      </w:pPr>
      <w:r>
        <w:rPr>
          <w:rFonts w:ascii="Calibri" w:hAnsi="Calibri"/>
          <w:i/>
          <w:color w:val="0284C7"/>
          <w:sz w:val="20"/>
        </w:rPr>
        <w:t xml:space="preserve">[Traceability: ISO/IEC 27001:2022 Annex A.5.9 • Annex A.5.10 • Annex A.5.12 | Controls: A.5.9, A.5.10, A.5.12]</w:t>
      </w:r>
    </w:p>
    <w:p>
      <w:pPr>
        <w:spacing w:before="240" w:after="80"/>
        <w:rPr>
          <w:rFonts w:ascii="Calibri" w:hAnsi="Calibri"/>
          <w:b/>
          <w:sz w:val="26"/>
          <w:color w:val="1E293B"/>
        </w:rPr>
      </w:pPr>
      <w:r>
        <w:rPr>
          <w:rFonts w:ascii="Calibri" w:hAnsi="Calibri"/>
          <w:b/>
          <w:sz w:val="26"/>
          <w:color w:val="1E293B"/>
        </w:rPr>
        <w:t xml:space="preserve">6.3 Identity and access management</w:t>
      </w:r>
    </w:p>
    <w:p>
      <w:pPr>
        <w:spacing w:after="100"/>
      </w:pPr>
      <w:r>
        <w:rPr>
          <w:rFonts w:ascii="Calibri" w:hAnsi="Calibri"/>
          <w:color w:val="1E293B"/>
          <w:sz w:val="20"/>
        </w:rPr>
        <w:t xml:space="preserve">Access shall be based on authorized business need and least privilege. Provisioning, modification, privileged access, periodic review and revocation shall follow approved procedures. Authentication requirements, access approval authorities, segregation-of-duties checks and review frequency shall be defined and evidenced. Shared or emergency access shall be subject to explicit controls and monitoring.</w:t>
      </w:r>
    </w:p>
    <w:p>
      <w:pPr>
        <w:spacing w:after="100"/>
      </w:pPr>
      <w:r>
        <w:rPr>
          <w:rFonts w:ascii="Calibri" w:hAnsi="Calibri"/>
          <w:i/>
          <w:color w:val="0284C7"/>
          <w:sz w:val="20"/>
        </w:rPr>
        <w:t xml:space="preserve">[Traceability: ISO/IEC 27001:2022 Annex A.5.15 • Annex A.5.16 • Annex A.5.18 | Controls: A.5.15, A.5.16, A.5.18]</w:t>
      </w:r>
    </w:p>
    <w:p>
      <w:pPr>
        <w:spacing w:before="240" w:after="80"/>
        <w:rPr>
          <w:rFonts w:ascii="Calibri" w:hAnsi="Calibri"/>
          <w:b/>
          <w:sz w:val="26"/>
          <w:color w:val="1E293B"/>
        </w:rPr>
      </w:pPr>
      <w:r>
        <w:rPr>
          <w:rFonts w:ascii="Calibri" w:hAnsi="Calibri"/>
          <w:b/>
          <w:sz w:val="26"/>
          <w:color w:val="1E293B"/>
        </w:rPr>
        <w:t xml:space="preserve">6.4 Secure operation and change</w:t>
      </w:r>
    </w:p>
    <w:p>
      <w:pPr>
        <w:spacing w:after="100"/>
      </w:pPr>
      <w:r>
        <w:rPr>
          <w:rFonts w:ascii="Calibri" w:hAnsi="Calibri"/>
          <w:color w:val="1E293B"/>
          <w:sz w:val="20"/>
        </w:rPr>
        <w:t xml:space="preserve">Systems and services shall be operated and changed under approved procedures proportionate to risk and criticality. The organization shall define requirements for secure configuration, vulnerability management, logging, monitoring, backup, recovery, change authorization and separation of duties where applicable. Exceptions shall be documented and approved before implementation except where an approved emergency process applies.</w:t>
      </w:r>
    </w:p>
    <w:p>
      <w:pPr>
        <w:spacing w:after="100"/>
      </w:pPr>
      <w:r>
        <w:rPr>
          <w:rFonts w:ascii="Calibri" w:hAnsi="Calibri"/>
          <w:i/>
          <w:color w:val="0284C7"/>
          <w:sz w:val="20"/>
        </w:rPr>
        <w:t xml:space="preserve">[Traceability: ISO/IEC 27001:2022 Annex A.8.8 • Annex A.8.9 • Annex A.8.15 • Annex A.8.32 | Controls: A.8.8, A.8.9, A.8.15, A.8.32]</w:t>
      </w:r>
    </w:p>
    <w:p>
      <w:pPr>
        <w:spacing w:before="240" w:after="80"/>
        <w:rPr>
          <w:rFonts w:ascii="Calibri" w:hAnsi="Calibri"/>
          <w:b/>
          <w:sz w:val="26"/>
          <w:color w:val="1E293B"/>
        </w:rPr>
      </w:pPr>
      <w:r>
        <w:rPr>
          <w:rFonts w:ascii="Calibri" w:hAnsi="Calibri"/>
          <w:b/>
          <w:sz w:val="26"/>
          <w:color w:val="1E293B"/>
        </w:rPr>
        <w:t xml:space="preserve">6.5 Incident management</w:t>
      </w:r>
    </w:p>
    <w:p>
      <w:pPr>
        <w:spacing w:after="100"/>
      </w:pPr>
      <w:r>
        <w:rPr>
          <w:rFonts w:ascii="Calibri" w:hAnsi="Calibri"/>
          <w:color w:val="1E293B"/>
          <w:sz w:val="20"/>
        </w:rPr>
        <w:t xml:space="preserve">Suspected information security events shall be reported through designated channels, assessed and escalated under the incident management procedure. The process shall address classification, response authority, evidence preservation, communications, recovery, lessons learned and corrective actions. Any statutory, regulatory or contractual notification requirement and deadline shall be assessed against the actual incident facts and verified applicable obligations.</w:t>
      </w:r>
    </w:p>
    <w:p>
      <w:pPr>
        <w:spacing w:after="100"/>
      </w:pPr>
      <w:r>
        <w:rPr>
          <w:rFonts w:ascii="Calibri" w:hAnsi="Calibri"/>
          <w:i/>
          <w:color w:val="0284C7"/>
          <w:sz w:val="20"/>
        </w:rPr>
        <w:t xml:space="preserve">[Traceability: ISO/IEC 27001:2022 Annex A.5.24 • Annex A.5.25 • Annex A.5.26 | Controls: A.5.24, A.5.25, A.5.26]</w:t>
      </w:r>
    </w:p>
    <w:p>
      <w:pPr>
        <w:spacing w:before="240" w:after="80"/>
        <w:rPr>
          <w:rFonts w:ascii="Calibri" w:hAnsi="Calibri"/>
          <w:b/>
          <w:sz w:val="26"/>
          <w:color w:val="1E293B"/>
        </w:rPr>
      </w:pPr>
      <w:r>
        <w:rPr>
          <w:rFonts w:ascii="Calibri" w:hAnsi="Calibri"/>
          <w:b/>
          <w:sz w:val="26"/>
          <w:color w:val="1E293B"/>
        </w:rPr>
        <w:t xml:space="preserve">6.6 Supplier and third-party security</w:t>
      </w:r>
    </w:p>
    <w:p>
      <w:pPr>
        <w:spacing w:after="100"/>
      </w:pPr>
      <w:r>
        <w:rPr>
          <w:rFonts w:ascii="Calibri" w:hAnsi="Calibri"/>
          <w:color w:val="1E293B"/>
          <w:sz w:val="20"/>
        </w:rPr>
        <w:t xml:space="preserve">Third-party risks shall be assessed according to service criticality, information sensitivity, access, processing activity and dependency. Applicable contractual controls, incident notification, subcontracting, assurance evidence, continuity, access termination and return or deletion of information shall be addressed where relevant.</w:t>
      </w:r>
    </w:p>
    <w:p>
      <w:pPr>
        <w:spacing w:after="100"/>
      </w:pPr>
      <w:r>
        <w:rPr>
          <w:rFonts w:ascii="Calibri" w:hAnsi="Calibri"/>
          <w:i/>
          <w:color w:val="0284C7"/>
          <w:sz w:val="20"/>
        </w:rPr>
        <w:t xml:space="preserve">[Traceability: ISO/IEC 27001:2022 Annex A.5.19 • Annex A.5.20 • Annex A.5.21 | Controls: A.5.19, A.5.20, A.5.21]</w:t>
      </w:r>
    </w:p>
    <w:p>
      <w:pPr>
        <w:spacing w:before="240" w:after="80"/>
        <w:rPr>
          <w:rFonts w:ascii="Calibri" w:hAnsi="Calibri"/>
          <w:b/>
          <w:sz w:val="26"/>
          <w:color w:val="1E293B"/>
        </w:rPr>
      </w:pPr>
      <w:r>
        <w:rPr>
          <w:rFonts w:ascii="Calibri" w:hAnsi="Calibri"/>
          <w:b/>
          <w:sz w:val="26"/>
          <w:color w:val="1E293B"/>
        </w:rPr>
        <w:t xml:space="preserve">6.7 Personnel awareness and responsibilities</w:t>
      </w:r>
    </w:p>
    <w:p>
      <w:pPr>
        <w:spacing w:after="100"/>
      </w:pPr>
      <w:r>
        <w:rPr>
          <w:rFonts w:ascii="Calibri" w:hAnsi="Calibri"/>
          <w:color w:val="1E293B"/>
          <w:sz w:val="20"/>
        </w:rPr>
        <w:t xml:space="preserve">Personnel shall receive information security responsibilities appropriate to their role and shall complete assigned awareness or training activities. Acknowledgement records shall identify the document version and authenticated person where feasible. Acknowledgement alone shall not be treated as proof of comprehension or effective behavior.</w:t>
      </w:r>
    </w:p>
    <w:p>
      <w:pPr>
        <w:spacing w:after="100"/>
      </w:pPr>
      <w:r>
        <w:rPr>
          <w:rFonts w:ascii="Calibri" w:hAnsi="Calibri"/>
          <w:i/>
          <w:color w:val="0284C7"/>
          <w:sz w:val="20"/>
        </w:rPr>
        <w:t xml:space="preserve">[Traceability: ISO/IEC 27001:2022 Clause 7.2 • Clause 7.3 • Annex A.6.3 | Controls: A.6.3]</w:t>
      </w:r>
    </w:p>
    <w:p>
      <w:pPr>
        <w:spacing w:before="240" w:after="80"/>
        <w:rPr>
          <w:rFonts w:ascii="Calibri" w:hAnsi="Calibri"/>
          <w:b/>
          <w:sz w:val="26"/>
          <w:color w:val="1E293B"/>
        </w:rPr>
      </w:pPr>
      <w:r>
        <w:rPr>
          <w:rFonts w:ascii="Calibri" w:hAnsi="Calibri"/>
          <w:b/>
          <w:sz w:val="26"/>
          <w:color w:val="1E293B"/>
        </w:rPr>
        <w:t xml:space="preserve">6.8 Business continuity and resilience</w:t>
      </w:r>
    </w:p>
    <w:p>
      <w:pPr>
        <w:spacing w:after="100"/>
      </w:pPr>
      <w:r>
        <w:rPr>
          <w:rFonts w:ascii="Calibri" w:hAnsi="Calibri"/>
          <w:color w:val="1E293B"/>
          <w:sz w:val="20"/>
        </w:rPr>
        <w:t xml:space="preserve">Continuity and recovery requirements shall be based on business impact, risk and approved recovery objectives. Backup, restoration and continuity arrangements shall be tested at defined intervals, with results, failures, corrective actions and retests recorded.</w:t>
      </w:r>
    </w:p>
    <w:p>
      <w:pPr>
        <w:spacing w:after="100"/>
      </w:pPr>
      <w:r>
        <w:rPr>
          <w:rFonts w:ascii="Calibri" w:hAnsi="Calibri"/>
          <w:i/>
          <w:color w:val="0284C7"/>
          <w:sz w:val="20"/>
        </w:rPr>
        <w:t xml:space="preserve">[Traceability: ISO/IEC 27001:2022 Annex A.5.29 • Annex A.5.30 | Controls: A.5.29, A.5.30]</w:t>
      </w:r>
    </w:p>
    <w:p>
      <w:pPr>
        <w:spacing w:before="240" w:after="80"/>
        <w:rPr>
          <w:rFonts w:ascii="Calibri" w:hAnsi="Calibri"/>
          <w:b/>
          <w:sz w:val="26"/>
          <w:color w:val="1E293B"/>
        </w:rPr>
      </w:pPr>
      <w:r>
        <w:rPr>
          <w:rFonts w:ascii="Calibri" w:hAnsi="Calibri"/>
          <w:b/>
          <w:sz w:val="26"/>
          <w:color w:val="1E293B"/>
        </w:rPr>
        <w:t xml:space="preserve">6.9 Legal, regulatory and contractual obligations</w:t>
      </w:r>
    </w:p>
    <w:p>
      <w:pPr>
        <w:spacing w:after="100"/>
      </w:pPr>
      <w:r>
        <w:rPr>
          <w:rFonts w:ascii="Calibri" w:hAnsi="Calibri"/>
          <w:color w:val="1E293B"/>
          <w:sz w:val="20"/>
        </w:rPr>
        <w:t xml:space="preserve">The organization shall maintain a process to identify, validate, assign ownership to, and periodically review obligations relevant to its services, locations, data, customers and suppliers. Interpretations and applicability decisions shall be recorded. This policy does not itself determine legal applicability.</w:t>
      </w:r>
    </w:p>
    <w:p>
      <w:pPr>
        <w:spacing w:after="100"/>
      </w:pPr>
      <w:r>
        <w:rPr>
          <w:rFonts w:ascii="Calibri" w:hAnsi="Calibri"/>
          <w:i/>
          <w:color w:val="0284C7"/>
          <w:sz w:val="20"/>
        </w:rPr>
        <w:t xml:space="preserve">[Traceability: ISO/IEC 27001:2022 Clause 4.2 • Annex A.5.31 | Controls: A.5.31]</w:t>
      </w:r>
    </w:p>
    <w:p>
      <w:pPr>
        <w:spacing w:before="360" w:after="120"/>
        <w:rPr>
          <w:rFonts w:ascii="Calibri" w:hAnsi="Calibri"/>
          <w:b/>
          <w:sz w:val="32"/>
          <w:color w:val="0F172A"/>
        </w:rPr>
      </w:pPr>
      <w:r>
        <w:rPr>
          <w:rFonts w:ascii="Calibri" w:hAnsi="Calibri"/>
          <w:b/>
          <w:sz w:val="32"/>
          <w:color w:val="0F172A"/>
        </w:rPr>
        <w:t xml:space="preserve">7. Control Implementation and Evidence</w:t>
      </w:r>
    </w:p>
    <w:p>
      <w:pPr>
        <w:spacing w:after="100"/>
      </w:pPr>
      <w:r>
        <w:rPr>
          <w:rFonts w:ascii="Calibri" w:hAnsi="Calibri"/>
          <w:color w:val="1E293B"/>
          <w:sz w:val="20"/>
        </w:rPr>
        <w:t xml:space="preserve">Each applicable control shall have an identified owner, defined implementation approach, expected evidence and a method for evaluating operation where required by the ISMS.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Governance object</w:t>
            </w:r>
          </w:p>
        </w:tc>
        <w:tc>
          <w:tcPr>
            <w:tcW w:w="3826" w:type="dxa"/>
            <w:shd w:val="clear" w:color="auto" w:fill="0F172A"/>
          </w:tcPr>
          <w:p>
            <w:r>
              <w:rPr>
                <w:rFonts w:ascii="Calibri" w:hAnsi="Calibri"/>
                <w:b/>
                <w:color w:val="FFFFFF"/>
                <w:sz w:val="18"/>
              </w:rPr>
              <w:t xml:space="preserve">Minimum expected record</w:t>
            </w:r>
          </w:p>
        </w:tc>
        <w:tc>
          <w:tcPr>
            <w:tcW w:w="3000" w:type="dxa"/>
            <w:shd w:val="clear" w:color="auto" w:fill="0F172A"/>
          </w:tcPr>
          <w:p>
            <w:r>
              <w:rPr>
                <w:rFonts w:ascii="Calibri" w:hAnsi="Calibri"/>
                <w:b/>
                <w:color w:val="FFFFFF"/>
                <w:sz w:val="18"/>
              </w:rPr>
              <w:t xml:space="preserve">Assurance limitation</w:t>
            </w:r>
          </w:p>
        </w:tc>
      </w:tr>
      <w:tr>
        <w:trPr>
          <w:cantSplit/>
        </w:trPr>
        <w:tc>
          <w:tcPr>
            <w:tcW w:w="2200" w:type="dxa"/>
          </w:tcPr>
          <w:p>
            <w:r>
              <w:rPr>
                <w:rFonts w:ascii="Calibri" w:hAnsi="Calibri"/>
                <w:sz w:val="18"/>
                <w:color w:val="1E293B"/>
              </w:rPr>
              <w:t xml:space="preserve">Risk</w:t>
            </w:r>
          </w:p>
        </w:tc>
        <w:tc>
          <w:tcPr>
            <w:tcW w:w="3826" w:type="dxa"/>
          </w:tcPr>
          <w:p>
            <w:r>
              <w:rPr>
                <w:rFonts w:ascii="Calibri" w:hAnsi="Calibri"/>
                <w:sz w:val="18"/>
                <w:color w:val="1E293B"/>
              </w:rPr>
              <w:t xml:space="preserve">Risk ID, scenario, owner, assessment, treatment, acceptance, review date</w:t>
            </w:r>
          </w:p>
        </w:tc>
        <w:tc>
          <w:tcPr>
            <w:tcW w:w="3000" w:type="dxa"/>
          </w:tcPr>
          <w:p>
            <w:r>
              <w:rPr>
                <w:rFonts w:ascii="Calibri" w:hAnsi="Calibri"/>
                <w:sz w:val="18"/>
                <w:color w:val="1E293B"/>
              </w:rPr>
              <w:t xml:space="preserve">A completed register does not by itself prove risks are adequately assessed.</w:t>
            </w:r>
          </w:p>
        </w:tc>
      </w:tr>
      <w:tr>
        <w:trPr>
          <w:cantSplit/>
        </w:trPr>
        <w:tc>
          <w:tcPr>
            <w:tcW w:w="2200" w:type="dxa"/>
            <w:shd w:val="clear" w:color="auto" w:fill="F8FAFC"/>
          </w:tcPr>
          <w:p>
            <w:r>
              <w:rPr>
                <w:rFonts w:ascii="Calibri" w:hAnsi="Calibri"/>
                <w:sz w:val="18"/>
                <w:color w:val="1E293B"/>
              </w:rPr>
              <w:t xml:space="preserve">Control</w:t>
            </w:r>
          </w:p>
        </w:tc>
        <w:tc>
          <w:tcPr>
            <w:tcW w:w="3826" w:type="dxa"/>
            <w:shd w:val="clear" w:color="auto" w:fill="F8FAFC"/>
          </w:tcPr>
          <w:p>
            <w:r>
              <w:rPr>
                <w:rFonts w:ascii="Calibri" w:hAnsi="Calibri"/>
                <w:sz w:val="18"/>
                <w:color w:val="1E293B"/>
              </w:rPr>
              <w:t xml:space="preserve">Control ID, owner, implementation status, procedure, evidence, test result</w:t>
            </w:r>
          </w:p>
        </w:tc>
        <w:tc>
          <w:tcPr>
            <w:tcW w:w="3000" w:type="dxa"/>
            <w:shd w:val="clear" w:color="auto" w:fill="F8FAFC"/>
          </w:tcPr>
          <w:p>
            <w:r>
              <w:rPr>
                <w:rFonts w:ascii="Calibri" w:hAnsi="Calibri"/>
                <w:sz w:val="18"/>
                <w:color w:val="1E293B"/>
              </w:rPr>
              <w:t xml:space="preserve">A declared implementation status is not proof of operating effectiveness.</w:t>
            </w:r>
          </w:p>
        </w:tc>
      </w:tr>
      <w:tr>
        <w:trPr>
          <w:cantSplit/>
        </w:trPr>
        <w:tc>
          <w:tcPr>
            <w:tcW w:w="2200" w:type="dxa"/>
          </w:tcPr>
          <w:p>
            <w:r>
              <w:rPr>
                <w:rFonts w:ascii="Calibri" w:hAnsi="Calibri"/>
                <w:sz w:val="18"/>
                <w:color w:val="1E293B"/>
              </w:rPr>
              <w:t xml:space="preserve">Exception</w:t>
            </w:r>
          </w:p>
        </w:tc>
        <w:tc>
          <w:tcPr>
            <w:tcW w:w="3826" w:type="dxa"/>
          </w:tcPr>
          <w:p>
            <w:r>
              <w:rPr>
                <w:rFonts w:ascii="Calibri" w:hAnsi="Calibri"/>
                <w:sz w:val="18"/>
                <w:color w:val="1E293B"/>
              </w:rPr>
              <w:t xml:space="preserve">Requirement, justification, risk, approver, safeguards, expiry/review, closure</w:t>
            </w:r>
          </w:p>
        </w:tc>
        <w:tc>
          <w:tcPr>
            <w:tcW w:w="3000" w:type="dxa"/>
          </w:tcPr>
          <w:p>
            <w:r>
              <w:rPr>
                <w:rFonts w:ascii="Calibri" w:hAnsi="Calibri"/>
                <w:sz w:val="18"/>
                <w:color w:val="1E293B"/>
              </w:rPr>
              <w:t xml:space="preserve">Approval does not eliminate the underlying risk.</w:t>
            </w:r>
          </w:p>
        </w:tc>
      </w:tr>
      <w:tr>
        <w:trPr>
          <w:cantSplit/>
        </w:trPr>
        <w:tc>
          <w:tcPr>
            <w:tcW w:w="2200" w:type="dxa"/>
            <w:shd w:val="clear" w:color="auto" w:fill="F8FAFC"/>
          </w:tcPr>
          <w:p>
            <w:r>
              <w:rPr>
                <w:rFonts w:ascii="Calibri" w:hAnsi="Calibri"/>
                <w:sz w:val="18"/>
                <w:color w:val="1E293B"/>
              </w:rPr>
              <w:t xml:space="preserve">Incident</w:t>
            </w:r>
          </w:p>
        </w:tc>
        <w:tc>
          <w:tcPr>
            <w:tcW w:w="3826" w:type="dxa"/>
            <w:shd w:val="clear" w:color="auto" w:fill="F8FAFC"/>
          </w:tcPr>
          <w:p>
            <w:r>
              <w:rPr>
                <w:rFonts w:ascii="Calibri" w:hAnsi="Calibri"/>
                <w:sz w:val="18"/>
                <w:color w:val="1E293B"/>
              </w:rPr>
              <w:t xml:space="preserve">Timeline, classification, actions, evidence, decisions, closure and lessons learned</w:t>
            </w:r>
          </w:p>
        </w:tc>
        <w:tc>
          <w:tcPr>
            <w:tcW w:w="3000" w:type="dxa"/>
            <w:shd w:val="clear" w:color="auto" w:fill="F8FAFC"/>
          </w:tcPr>
          <w:p>
            <w:r>
              <w:rPr>
                <w:rFonts w:ascii="Calibri" w:hAnsi="Calibri"/>
                <w:sz w:val="18"/>
                <w:color w:val="1E293B"/>
              </w:rPr>
              <w:t xml:space="preserve">A closed ticket alone does not prove complete response or required notification.</w:t>
            </w:r>
          </w:p>
        </w:tc>
      </w:tr>
      <w:tr>
        <w:trPr>
          <w:cantSplit/>
        </w:trPr>
        <w:tc>
          <w:tcPr>
            <w:tcW w:w="2200" w:type="dxa"/>
          </w:tcPr>
          <w:p>
            <w:r>
              <w:rPr>
                <w:rFonts w:ascii="Calibri" w:hAnsi="Calibri"/>
                <w:sz w:val="18"/>
                <w:color w:val="1E293B"/>
              </w:rPr>
              <w:t xml:space="preserve">Training / acknowledgement</w:t>
            </w:r>
          </w:p>
        </w:tc>
        <w:tc>
          <w:tcPr>
            <w:tcW w:w="3826" w:type="dxa"/>
          </w:tcPr>
          <w:p>
            <w:r>
              <w:rPr>
                <w:rFonts w:ascii="Calibri" w:hAnsi="Calibri"/>
                <w:sz w:val="18"/>
                <w:color w:val="1E293B"/>
              </w:rPr>
              <w:t xml:space="preserve">Person, document version, timestamp, outcome and record integrity</w:t>
            </w:r>
          </w:p>
        </w:tc>
        <w:tc>
          <w:tcPr>
            <w:tcW w:w="3000" w:type="dxa"/>
          </w:tcPr>
          <w:p>
            <w:r>
              <w:rPr>
                <w:rFonts w:ascii="Calibri" w:hAnsi="Calibri"/>
                <w:sz w:val="18"/>
                <w:color w:val="1E293B"/>
              </w:rPr>
              <w:t xml:space="preserve">A record does not prove understanding or compliance.</w:t>
            </w:r>
          </w:p>
        </w:tc>
      </w:tr>
      <w:tr>
        <w:trPr>
          <w:cantSplit/>
        </w:trPr>
        <w:tc>
          <w:tcPr>
            <w:tcW w:w="2200" w:type="dxa"/>
            <w:shd w:val="clear" w:color="auto" w:fill="F8FAFC"/>
          </w:tcPr>
          <w:p>
            <w:r>
              <w:rPr>
                <w:rFonts w:ascii="Calibri" w:hAnsi="Calibri"/>
                <w:sz w:val="18"/>
                <w:color w:val="1E293B"/>
              </w:rPr>
              <w:t xml:space="preserve">Internal audit finding</w:t>
            </w:r>
          </w:p>
        </w:tc>
        <w:tc>
          <w:tcPr>
            <w:tcW w:w="3826" w:type="dxa"/>
            <w:shd w:val="clear" w:color="auto" w:fill="F8FAFC"/>
          </w:tcPr>
          <w:p>
            <w:r>
              <w:rPr>
                <w:rFonts w:ascii="Calibri" w:hAnsi="Calibri"/>
                <w:sz w:val="18"/>
                <w:color w:val="1E293B"/>
              </w:rPr>
              <w:t xml:space="preserve">Criteria, evidence, finding, owner, root cause, action, due date, retest</w:t>
            </w:r>
          </w:p>
        </w:tc>
        <w:tc>
          <w:tcPr>
            <w:tcW w:w="3000" w:type="dxa"/>
            <w:shd w:val="clear" w:color="auto" w:fill="F8FAFC"/>
          </w:tcPr>
          <w:p>
            <w:r>
              <w:rPr>
                <w:rFonts w:ascii="Calibri" w:hAnsi="Calibri"/>
                <w:sz w:val="18"/>
                <w:color w:val="1E293B"/>
              </w:rPr>
              <w:t xml:space="preserve">A corrective action is not effective until appropriately verified.</w:t>
            </w:r>
          </w:p>
        </w:tc>
      </w:tr>
    </w:tbl>
    <w:p>
      <w:pPr>
        <w:spacing w:before="360" w:after="120"/>
        <w:rPr>
          <w:rFonts w:ascii="Calibri" w:hAnsi="Calibri"/>
          <w:b/>
          <w:sz w:val="32"/>
          <w:color w:val="0F172A"/>
        </w:rPr>
      </w:pPr>
      <w:r>
        <w:rPr>
          <w:rFonts w:ascii="Calibri" w:hAnsi="Calibri"/>
          <w:b/>
          <w:sz w:val="32"/>
          <w:color w:val="0F172A"/>
        </w:rPr>
        <w:t xml:space="preserve">8. Exceptions and Risk Acceptance</w:t>
      </w:r>
    </w:p>
    <w:p>
      <w:pPr>
        <w:spacing w:after="100"/>
      </w:pPr>
      <w:r>
        <w:rPr>
          <w:rFonts w:ascii="Calibri" w:hAnsi="Calibri"/>
          <w:color w:val="1E293B"/>
          <w:sz w:val="20"/>
        </w:rPr>
        <w:t xml:space="preserve">An exception request shall identify the requirement and affected scope, business rationale, risk assessment, compensating controls, accountable owner, authorized approver, start and expiry/review dates, monitoring arrangements and closure criteria. The requester shall not approve their own exception where segregation of duties is required. Overdue exceptions shall be escalated according to the approved governance process.</w:t>
      </w:r>
    </w:p>
    <w:p>
      <w:pPr>
        <w:spacing w:before="360" w:after="120"/>
        <w:rPr>
          <w:rFonts w:ascii="Calibri" w:hAnsi="Calibri"/>
          <w:b/>
          <w:sz w:val="32"/>
          <w:color w:val="0F172A"/>
        </w:rPr>
      </w:pPr>
      <w:r>
        <w:rPr>
          <w:rFonts w:ascii="Calibri" w:hAnsi="Calibri"/>
          <w:b/>
          <w:sz w:val="32"/>
          <w:color w:val="0F172A"/>
        </w:rPr>
        <w:t xml:space="preserve">9. Monitoring, Audit and Management Review</w:t>
      </w:r>
    </w:p>
    <w:p>
      <w:pPr>
        <w:spacing w:after="100"/>
      </w:pPr>
      <w:r>
        <w:rPr>
          <w:rFonts w:ascii="Calibri" w:hAnsi="Calibri"/>
          <w:color w:val="1E293B"/>
          <w:sz w:val="20"/>
        </w:rPr>
        <w:t xml:space="preserve">The organization shall define measures that support evaluation of ISMS performance and control operation. Internal audits shall be planned using defined criteria, scope, frequency and impartiality safeguards. Findings shall be recorded and addressed through corrective action. Management review shall consider relevant changes, audit results, risk status, objective performance, incidents, nonconformities, interested-party feedback, resources and improvement opportunities.</w:t>
      </w:r>
    </w:p>
    <w:p>
      <w:pPr>
        <w:spacing w:before="360" w:after="120"/>
        <w:rPr>
          <w:rFonts w:ascii="Calibri" w:hAnsi="Calibri"/>
          <w:b/>
          <w:sz w:val="32"/>
          <w:color w:val="0F172A"/>
        </w:rPr>
      </w:pPr>
      <w:r>
        <w:rPr>
          <w:rFonts w:ascii="Calibri" w:hAnsi="Calibri"/>
          <w:b/>
          <w:sz w:val="32"/>
          <w:color w:val="0F172A"/>
        </w:rPr>
        <w:t xml:space="preserve">10. Nonconformity and Continual Improvement</w:t>
      </w:r>
    </w:p>
    <w:p>
      <w:pPr>
        <w:spacing w:after="100"/>
      </w:pPr>
      <w:r>
        <w:rPr>
          <w:rFonts w:ascii="Calibri" w:hAnsi="Calibri"/>
          <w:color w:val="1E293B"/>
          <w:sz w:val="20"/>
        </w:rPr>
        <w:t xml:space="preserve">When a nonconformity occurs, the responsible owner shall contain or correct the issue as appropriate, assess consequences, determine root cause where warranted, implement proportionate corrective action, and evaluate effectiveness. Closure shall be supported by evidence and independent retesting where required. Recurring issues shall be escalated for systemic review.</w:t>
      </w:r>
    </w:p>
    <w:p>
      <w:pPr>
        <w:spacing w:before="360" w:after="120"/>
        <w:rPr>
          <w:rFonts w:ascii="Calibri" w:hAnsi="Calibri"/>
          <w:b/>
          <w:sz w:val="32"/>
          <w:color w:val="0F172A"/>
        </w:rPr>
      </w:pPr>
      <w:r>
        <w:rPr>
          <w:rFonts w:ascii="Calibri" w:hAnsi="Calibri"/>
          <w:b/>
          <w:sz w:val="32"/>
          <w:color w:val="0F172A"/>
        </w:rPr>
        <w:t xml:space="preserve">11. Communication, Publication and Enforcement</w:t>
      </w:r>
    </w:p>
    <w:p>
      <w:pPr>
        <w:spacing w:after="100"/>
      </w:pPr>
      <w:r>
        <w:rPr>
          <w:rFonts w:ascii="Calibri" w:hAnsi="Calibri"/>
          <w:color w:val="1E293B"/>
          <w:sz w:val="20"/>
        </w:rPr>
        <w:t xml:space="preserve">The policy owner shall ensure the current approved version is communicated to relevant interested parties and made accessible according to classification and need. The organization shall define how violations are investigated and addressed consistently with applicable law, contracts and internal processes. Only the controlled published version is authoritative.</w:t>
      </w:r>
    </w:p>
    <w:p>
      <w:pPr>
        <w:spacing w:before="360" w:after="120"/>
        <w:rPr>
          <w:rFonts w:ascii="Calibri" w:hAnsi="Calibri"/>
          <w:b/>
          <w:sz w:val="32"/>
          <w:color w:val="0F172A"/>
        </w:rPr>
      </w:pPr>
      <w:r>
        <w:rPr>
          <w:rFonts w:ascii="Calibri" w:hAnsi="Calibri"/>
          <w:b/>
          <w:sz w:val="32"/>
          <w:color w:val="0F172A"/>
        </w:rPr>
        <w:t xml:space="preserve">12. Related Controlled Documents</w:t>
      </w:r>
    </w:p>
    <w:p>
      <w:pPr>
        <w:spacing w:after="100"/>
      </w:pPr>
      <w:r>
        <w:rPr>
          <w:rFonts w:ascii="Calibri" w:hAnsi="Calibri"/>
          <w:color w:val="1E293B"/>
          <w:sz w:val="20"/>
        </w:rPr>
        <w:t xml:space="preserve">• ISMS Scope Statement and ISMS objectives</w:t>
      </w:r>
    </w:p>
    <w:p>
      <w:pPr>
        <w:spacing w:after="100"/>
      </w:pPr>
      <w:r>
        <w:rPr>
          <w:rFonts w:ascii="Calibri" w:hAnsi="Calibri"/>
          <w:color w:val="1E293B"/>
          <w:sz w:val="20"/>
        </w:rPr>
        <w:t xml:space="preserve">• Risk Assessment and Risk Treatment Methodology</w:t>
      </w:r>
    </w:p>
    <w:p>
      <w:pPr>
        <w:spacing w:after="100"/>
      </w:pPr>
      <w:r>
        <w:rPr>
          <w:rFonts w:ascii="Calibri" w:hAnsi="Calibri"/>
          <w:color w:val="1E293B"/>
          <w:sz w:val="20"/>
        </w:rPr>
        <w:t xml:space="preserve">• Statement of Applicability and Risk Treatment Plan</w:t>
      </w:r>
    </w:p>
    <w:p>
      <w:pPr>
        <w:spacing w:after="100"/>
      </w:pPr>
      <w:r>
        <w:rPr>
          <w:rFonts w:ascii="Calibri" w:hAnsi="Calibri"/>
          <w:color w:val="1E293B"/>
          <w:sz w:val="20"/>
        </w:rPr>
        <w:t xml:space="preserve">• Asset Inventory and Information Classification Standard</w:t>
      </w:r>
    </w:p>
    <w:p>
      <w:pPr>
        <w:spacing w:after="100"/>
      </w:pPr>
      <w:r>
        <w:rPr>
          <w:rFonts w:ascii="Calibri" w:hAnsi="Calibri"/>
          <w:color w:val="1E293B"/>
          <w:sz w:val="20"/>
        </w:rPr>
        <w:t xml:space="preserve">• Identity and Access Management Policy / Procedures</w:t>
      </w:r>
    </w:p>
    <w:p>
      <w:pPr>
        <w:spacing w:after="100"/>
      </w:pPr>
      <w:r>
        <w:rPr>
          <w:rFonts w:ascii="Calibri" w:hAnsi="Calibri"/>
          <w:color w:val="1E293B"/>
          <w:sz w:val="20"/>
        </w:rPr>
        <w:t xml:space="preserve">• Incident Management Procedure</w:t>
      </w:r>
    </w:p>
    <w:p>
      <w:pPr>
        <w:spacing w:after="100"/>
      </w:pPr>
      <w:r>
        <w:rPr>
          <w:rFonts w:ascii="Calibri" w:hAnsi="Calibri"/>
          <w:color w:val="1E293B"/>
          <w:sz w:val="20"/>
        </w:rPr>
        <w:t xml:space="preserve">• Supplier Security and Third-Party Risk Procedure</w:t>
      </w:r>
    </w:p>
    <w:p>
      <w:pPr>
        <w:spacing w:after="100"/>
      </w:pPr>
      <w:r>
        <w:rPr>
          <w:rFonts w:ascii="Calibri" w:hAnsi="Calibri"/>
          <w:color w:val="1E293B"/>
          <w:sz w:val="20"/>
        </w:rPr>
        <w:t xml:space="preserve">• Business Continuity and Disaster Recovery Plans</w:t>
      </w:r>
    </w:p>
    <w:p>
      <w:pPr>
        <w:spacing w:after="100"/>
      </w:pPr>
      <w:r>
        <w:rPr>
          <w:rFonts w:ascii="Calibri" w:hAnsi="Calibri"/>
          <w:color w:val="1E293B"/>
          <w:sz w:val="20"/>
        </w:rPr>
        <w:t xml:space="preserve">• Internal Audit Programme and Corrective Action Procedure</w:t>
      </w:r>
    </w:p>
    <w:p>
      <w:pPr>
        <w:spacing w:after="100"/>
      </w:pPr>
      <w:r>
        <w:rPr>
          <w:rFonts w:ascii="Calibri" w:hAnsi="Calibri"/>
          <w:color w:val="1E293B"/>
          <w:sz w:val="20"/>
        </w:rPr>
        <w:t xml:space="preserve">• Legal, Regulatory and Contractual Obligations Register</w:t>
      </w:r>
    </w:p>
    <w:p>
      <w:pPr>
        <w:spacing w:before="360" w:after="120"/>
        <w:rPr>
          <w:rFonts w:ascii="Calibri" w:hAnsi="Calibri"/>
          <w:b/>
          <w:sz w:val="32"/>
          <w:color w:val="0F172A"/>
        </w:rPr>
      </w:pPr>
      <w:r>
        <w:rPr>
          <w:rFonts w:ascii="Calibri" w:hAnsi="Calibri"/>
          <w:b/>
          <w:sz w:val="32"/>
          <w:color w:val="0F172A"/>
        </w:rPr>
        <w:t xml:space="preserve">13. Review and Revision Control</w:t>
      </w:r>
    </w:p>
    <w:p>
      <w:pPr>
        <w:spacing w:after="100"/>
      </w:pPr>
      <w:r>
        <w:rPr>
          <w:rFonts w:ascii="Calibri" w:hAnsi="Calibri"/>
          <w:color w:val="1E293B"/>
          <w:sz w:val="20"/>
        </w:rPr>
        <w:t xml:space="preserve">The owner shall review this policy at the approved interval and upon material changes in organizational scope, services, technology, threat environment, risk, incidents, audit findings or applicable obligations. Revisions shall follow controlled review and approval. Prior published versions and their approval records shall be retained according to the records schedule and protected from unauthorized alteration.</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Policy owner</w:t>
            </w:r>
          </w:p>
        </w:tc>
        <w:tc>
          <w:tcPr>
            <w:tcW w:w="2000" w:type="dxa"/>
          </w:tcPr>
          <w:p>
            <w:r>
              <w:rPr>
                <w:rFonts w:ascii="Calibri" w:hAnsi="Calibri"/>
                <w:sz w:val="18"/>
                <w:color w:val="1E293B"/>
              </w:rPr>
              <w:t xml:space="preserve">To be assigned</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r>
        <w:trPr>
          <w:cantSplit/>
        </w:trPr>
        <w:tc>
          <w:tcPr>
            <w:tcW w:w="2200" w:type="dxa"/>
            <w:shd w:val="clear" w:color="auto" w:fill="F8FAFC"/>
          </w:tcPr>
          <w:p>
            <w:r>
              <w:rPr>
                <w:rFonts w:ascii="Calibri" w:hAnsi="Calibri"/>
                <w:sz w:val="18"/>
                <w:color w:val="1E293B"/>
              </w:rPr>
              <w:t xml:space="preserve">Security / risk reviewer</w:t>
            </w:r>
          </w:p>
        </w:tc>
        <w:tc>
          <w:tcPr>
            <w:tcW w:w="2000" w:type="dxa"/>
            <w:shd w:val="clear" w:color="auto" w:fill="F8FAFC"/>
          </w:tcPr>
          <w:p>
            <w:r>
              <w:rPr>
                <w:rFonts w:ascii="Calibri" w:hAnsi="Calibri"/>
                <w:sz w:val="18"/>
                <w:color w:val="1E293B"/>
              </w:rPr>
              <w:t xml:space="preserve">To be assigned</w:t>
            </w:r>
          </w:p>
        </w:tc>
        <w:tc>
          <w:tcPr>
            <w:tcW w:w="1600" w:type="dxa"/>
            <w:shd w:val="clear" w:color="auto" w:fill="F8FAFC"/>
          </w:tcPr>
          <w:p>
            <w:r>
              <w:rPr>
                <w:rFonts w:ascii="Calibri" w:hAnsi="Calibri"/>
                <w:sz w:val="18"/>
                <w:color w:val="1E293B"/>
              </w:rPr>
              <w:t xml:space="preserve">Review pending</w:t>
            </w:r>
          </w:p>
        </w:tc>
        <w:tc>
          <w:tcPr>
            <w:tcW w:w="1400" w:type="dxa"/>
            <w:shd w:val="clear" w:color="auto" w:fill="F8FAFC"/>
          </w:tcPr>
          <w:p>
            <w:r>
              <w:rPr>
                <w:rFonts w:ascii="Calibri" w:hAnsi="Calibri"/>
                <w:sz w:val="18"/>
                <w:color w:val="1E293B"/>
              </w:rPr>
              <w:t xml:space="preserve">Not assigned</w:t>
            </w:r>
          </w:p>
        </w:tc>
        <w:tc>
          <w:tcPr>
            <w:tcW w:w="1826" w:type="dxa"/>
            <w:shd w:val="clear" w:color="auto" w:fill="F8FAFC"/>
          </w:tcPr>
          <w:p>
            <w:r>
              <w:rPr>
                <w:rFonts w:ascii="Calibri" w:hAnsi="Calibri"/>
                <w:sz w:val="18"/>
                <w:color w:val="1E293B"/>
              </w:rPr>
              <w:t xml:space="preserve">Not assigned</w:t>
            </w:r>
          </w:p>
        </w:tc>
      </w:tr>
      <w:tr>
        <w:trPr>
          <w:cantSplit/>
        </w:trPr>
        <w:tc>
          <w:tcPr>
            <w:tcW w:w="2200" w:type="dxa"/>
          </w:tcPr>
          <w:p>
            <w:r>
              <w:rPr>
                <w:rFonts w:ascii="Calibri" w:hAnsi="Calibri"/>
                <w:sz w:val="18"/>
                <w:color w:val="1E293B"/>
              </w:rPr>
              <w:t xml:space="preserve">Executive approver</w:t>
            </w:r>
          </w:p>
        </w:tc>
        <w:tc>
          <w:tcPr>
            <w:tcW w:w="2000" w:type="dxa"/>
          </w:tcPr>
          <w:p>
            <w:r>
              <w:rPr>
                <w:rFonts w:ascii="Calibri" w:hAnsi="Calibri"/>
                <w:sz w:val="18"/>
                <w:color w:val="1E293B"/>
              </w:rPr>
              <w:t xml:space="preserve">Authorized person to be assigned</w:t>
            </w:r>
          </w:p>
        </w:tc>
        <w:tc>
          <w:tcPr>
            <w:tcW w:w="1600" w:type="dxa"/>
          </w:tcPr>
          <w:p>
            <w:r>
              <w:rPr>
                <w:rFonts w:ascii="Calibri" w:hAnsi="Calibri"/>
                <w:sz w:val="18"/>
                <w:color w:val="1E293B"/>
              </w:rPr>
              <w:t xml:space="preserve">Approval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bl>
    <w:p>
      <w:pPr>
        <w:spacing w:before="360" w:after="120"/>
        <w:rPr>
          <w:rFonts w:ascii="Calibri" w:hAnsi="Calibri"/>
          <w:b/>
          <w:sz w:val="32"/>
          <w:color w:val="0F172A"/>
        </w:rPr>
      </w:pPr>
      <w:r>
        <w:rPr>
          <w:rFonts w:ascii="Calibri" w:hAnsi="Calibri"/>
          <w:b/>
          <w:sz w:val="32"/>
          <w:color w:val="0F172A"/>
        </w:rPr>
        <w:t xml:space="preserve">Appendix B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CHK-01</w:t>
            </w:r>
          </w:p>
        </w:tc>
        <w:tc>
          <w:tcPr>
            <w:tcW w:w="5626" w:type="dxa"/>
          </w:tcPr>
          <w:p>
            <w:r>
              <w:rPr>
                <w:rFonts w:ascii="Calibri" w:hAnsi="Calibri"/>
                <w:sz w:val="18"/>
                <w:color w:val="1E293B"/>
              </w:rPr>
              <w:t xml:space="preserve">Confirm legal entity and ISMS scope.</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CHK-02</w:t>
            </w:r>
          </w:p>
        </w:tc>
        <w:tc>
          <w:tcPr>
            <w:tcW w:w="5626" w:type="dxa"/>
            <w:shd w:val="clear" w:color="auto" w:fill="F8FAFC"/>
          </w:tcPr>
          <w:p>
            <w:r>
              <w:rPr>
                <w:rFonts w:ascii="Calibri" w:hAnsi="Calibri"/>
                <w:sz w:val="18"/>
                <w:color w:val="1E293B"/>
              </w:rPr>
              <w:t xml:space="preserve">Map role titles to approved organization chart and delegations.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CHK-03</w:t>
            </w:r>
          </w:p>
        </w:tc>
        <w:tc>
          <w:tcPr>
            <w:tcW w:w="5626" w:type="dxa"/>
          </w:tcPr>
          <w:p>
            <w:r>
              <w:rPr>
                <w:rFonts w:ascii="Calibri" w:hAnsi="Calibri"/>
                <w:sz w:val="18"/>
                <w:color w:val="1E293B"/>
              </w:rPr>
              <w:t xml:space="preserve">Validate the applicable requirements and framework mappings against authoritative sources.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CHK-04</w:t>
            </w:r>
          </w:p>
        </w:tc>
        <w:tc>
          <w:tcPr>
            <w:tcW w:w="5626" w:type="dxa"/>
            <w:shd w:val="clear" w:color="auto" w:fill="F8FAFC"/>
          </w:tcPr>
          <w:p>
            <w:r>
              <w:rPr>
                <w:rFonts w:ascii="Calibri" w:hAnsi="Calibri"/>
                <w:sz w:val="18"/>
                <w:color w:val="1E293B"/>
              </w:rPr>
              <w:t xml:space="preserve">Link to actual procedures, registers, systems and evidence locations.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CHK-05</w:t>
            </w:r>
          </w:p>
        </w:tc>
        <w:tc>
          <w:tcPr>
            <w:tcW w:w="5626" w:type="dxa"/>
          </w:tcPr>
          <w:p>
            <w:r>
              <w:rPr>
                <w:rFonts w:ascii="Calibri" w:hAnsi="Calibri"/>
                <w:sz w:val="18"/>
                <w:color w:val="1E293B"/>
              </w:rPr>
              <w:t xml:space="preserve">Define measurable objectives, owners, review frequencies and escalation routes.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CHK-06</w:t>
            </w:r>
          </w:p>
        </w:tc>
        <w:tc>
          <w:tcPr>
            <w:tcW w:w="5626" w:type="dxa"/>
            <w:shd w:val="clear" w:color="auto" w:fill="F8FAFC"/>
          </w:tcPr>
          <w:p>
            <w:r>
              <w:rPr>
                <w:rFonts w:ascii="Calibri" w:hAnsi="Calibri"/>
                <w:sz w:val="18"/>
                <w:color w:val="1E293B"/>
              </w:rPr>
              <w:t xml:space="preserve">Validate exception, risk acceptance and audit arrangements.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CHK-07</w:t>
            </w:r>
          </w:p>
        </w:tc>
        <w:tc>
          <w:tcPr>
            <w:tcW w:w="5626" w:type="dxa"/>
          </w:tcPr>
          <w:p>
            <w:r>
              <w:rPr>
                <w:rFonts w:ascii="Calibri" w:hAnsi="Calibri"/>
                <w:sz w:val="18"/>
                <w:color w:val="1E293B"/>
              </w:rPr>
              <w:t xml:space="preserve">Obtain required review and approval before publication.</w:t>
            </w:r>
          </w:p>
        </w:tc>
        <w:tc>
          <w:tcPr>
            <w:tcW w:w="1800" w:type="dxa"/>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ISMS-POL-001</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