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w:body>
    <w:p>
      <w:pPr>
        <w:jc w:val="right"/>
      </w:pPr>
      <w:r>
        <w:rPr>
          <w:sz w:val="16"/>
          <w:color w:val="64748B"/>
          <w:b/>
        </w:rPr>
        <w:t xml:space="preserve">SKANDA / GOVERNANCE, RISK &amp; COMPLIANCE</w:t>
      </w:r>
    </w:p>
    <w:p>
      <w:pPr>
        <w:spacing w:before="120" w:after="60"/>
      </w:pPr>
      <w:r>
        <w:rPr>
          <w:sz w:val="18"/>
          <w:color w:val="0284C7"/>
          <w:b/>
        </w:rPr>
        <w:t xml:space="preserve">ENTERPRISE MANAGEMENT SYSTEM / POLICY</w:t>
      </w:r>
    </w:p>
    <w:p>
      <w:pPr>
        <w:spacing w:before="120" w:after="120"/>
      </w:pPr>
      <w:r>
        <w:rPr>
          <w:sz w:val="48"/>
          <w:b/>
          <w:color w:val="0F172A"/>
        </w:rPr>
        <w:t xml:space="preserve">Information Security Policy</w:t>
      </w:r>
    </w:p>
    <w:p>
      <w:pPr>
        <w:spacing w:after="240"/>
      </w:pPr>
      <w:r>
        <w:rPr>
          <w:sz w:val="24"/>
          <w:i/>
          <w:color w:val="475569"/>
        </w:rPr>
        <w:t xml:space="preserve">Management commitment, governance, risk ownership and mandatory security requirements</w:t>
      </w:r>
    </w:p>
    <w:tbl>
      <w:tblPr>
        <w:tblW w:w="0" w:type="auto"/>
        <w:tblBorders>
          <w:top w:val="single" w:sz="6" w:space="0" w:color="FCD34D"/>
          <w:bottom w:val="single" w:sz="6" w:space="0" w:color="FCD34D"/>
          <w:left w:val="single" w:sz="24" w:space="0" w:color="D97706"/>
          <w:right w:val="single" w:sz="6" w:space="0" w:color="FCD34D"/>
        </w:tblBorders>
        <w:tblCellMar>
          <w:top w:w="160" w:type="dxa"/>
          <w:left w:w="200" w:type="dxa"/>
          <w:bottom w:w="160" w:type="dxa"/>
          <w:right w:w="200" w:type="dxa"/>
        </w:tblCellMar>
      </w:tblPr>
      <w:tr>
        <w:tc>
          <w:tcPr>
            <w:tcW w:w="9026" w:type="dxa"/>
            <w:shd w:val="clear" w:color="auto" w:fill="FEF3C7"/>
          </w:tcPr>
          <w:p>
            <w:r>
              <w:rPr>
                <w:rFonts w:ascii="Calibri" w:hAnsi="Calibri"/>
                <w:b/>
                <w:color w:val="92400E"/>
                <w:sz w:val="18"/>
              </w:rPr>
              <w:t xml:space="preserve">[!WARNING] CONTROLLED DOCUMENT NOTICE</w:t>
            </w:r>
          </w:p>
          <w:p>
            <w:r>
              <w:rPr>
                <w:rFonts w:ascii="Calibri" w:hAnsi="Calibri"/>
                <w:i/>
                <w:color w:val="78350F"/>
                <w:sz w:val="18"/>
              </w:rPr>
              <w:t xml:space="preserve">ILLUSTRATIVE MODEL DOCUMENT — MUST BE TAILORED AND APPROVED BEFORE USE</w:t>
            </w:r>
          </w:p>
        </w:tc>
      </w:tr>
    </w:tbl>
    <w:p>
      <w:pPr>
        <w:spacing w:after="160"/>
      </w:pPr>
    </w:p>
    <w:p>
      <w:pPr>
        <w:spacing w:before="240" w:after="80"/>
        <w:rPr>
          <w:rFonts w:ascii="Calibri" w:hAnsi="Calibri"/>
          <w:b/>
          <w:sz w:val="26"/>
          <w:color w:val="1E293B"/>
        </w:rPr>
      </w:pPr>
      <w:r>
        <w:rPr>
          <w:rFonts w:ascii="Calibri" w:hAnsi="Calibri"/>
          <w:b/>
          <w:sz w:val="26"/>
          <w:color w:val="1E293B"/>
        </w:rPr>
        <w:t xml:space="preserve">Document Control Field</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3000"/>
        <w:gridCol w:w="6026"/>
      </w:tblGrid>
      <w:tr>
        <w:trPr>
          <w:tblHeader/>
          <w:cantSplit/>
        </w:trPr>
        <w:tc>
          <w:tcPr>
            <w:tcW w:w="3000" w:type="dxa"/>
            <w:shd w:val="clear" w:color="auto" w:fill="0F172A"/>
          </w:tcPr>
          <w:p>
            <w:r>
              <w:rPr>
                <w:rFonts w:ascii="Calibri" w:hAnsi="Calibri"/>
                <w:b/>
                <w:color w:val="FFFFFF"/>
                <w:sz w:val="18"/>
              </w:rPr>
              <w:t xml:space="preserve">DOCUMENT CONTROL FIELD</w:t>
            </w:r>
          </w:p>
        </w:tc>
        <w:tc>
          <w:tcPr>
            <w:tcW w:w="6026" w:type="dxa"/>
            <w:shd w:val="clear" w:color="auto" w:fill="0F172A"/>
          </w:tcPr>
          <w:p>
            <w:r>
              <w:rPr>
                <w:rFonts w:ascii="Calibri" w:hAnsi="Calibri"/>
                <w:b/>
                <w:color w:val="FFFFFF"/>
                <w:sz w:val="18"/>
              </w:rPr>
              <w:t xml:space="preserve">MODEL VALUE</w:t>
            </w:r>
          </w:p>
        </w:tc>
      </w:tr>
      <w:tr>
        <w:trPr>
          <w:cantSplit/>
        </w:trPr>
        <w:tc>
          <w:tcPr>
            <w:tcW w:w="3000" w:type="dxa"/>
          </w:tcPr>
          <w:p>
            <w:r>
              <w:rPr>
                <w:rFonts w:ascii="Calibri" w:hAnsi="Calibri"/>
                <w:sz w:val="18"/>
                <w:color w:val="1E293B"/>
              </w:rPr>
              <w:t xml:space="preserve">Document ID</w:t>
            </w:r>
          </w:p>
        </w:tc>
        <w:tc>
          <w:tcPr>
            <w:tcW w:w="6026" w:type="dxa"/>
          </w:tcPr>
          <w:p>
            <w:r>
              <w:rPr>
                <w:rFonts w:ascii="Calibri" w:hAnsi="Calibri"/>
                <w:sz w:val="18"/>
                <w:color w:val="1E293B"/>
              </w:rPr>
              <w:t xml:space="preserve">ISMS-POL-001</w:t>
            </w:r>
          </w:p>
        </w:tc>
      </w:tr>
      <w:tr>
        <w:trPr>
          <w:cantSplit/>
        </w:trPr>
        <w:tc>
          <w:tcPr>
            <w:tcW w:w="3000" w:type="dxa"/>
            <w:shd w:val="clear" w:color="auto" w:fill="F8FAFC"/>
          </w:tcPr>
          <w:p>
            <w:r>
              <w:rPr>
                <w:rFonts w:ascii="Calibri" w:hAnsi="Calibri"/>
                <w:sz w:val="18"/>
                <w:color w:val="1E293B"/>
              </w:rPr>
              <w:t xml:space="preserve">Version / status</w:t>
            </w:r>
          </w:p>
        </w:tc>
        <w:tc>
          <w:tcPr>
            <w:tcW w:w="6026" w:type="dxa"/>
            <w:shd w:val="clear" w:color="auto" w:fill="F8FAFC"/>
          </w:tcPr>
          <w:p>
            <w:r>
              <w:rPr>
                <w:rFonts w:ascii="Calibri" w:hAnsi="Calibri"/>
                <w:sz w:val="18"/>
                <w:color w:val="1E293B"/>
              </w:rPr>
              <w:t xml:space="preserve">1.1 — 1.1 — Model sample (quality revision); not approved</w:t>
            </w:r>
          </w:p>
        </w:tc>
      </w:tr>
      <w:tr>
        <w:trPr>
          <w:cantSplit/>
        </w:trPr>
        <w:tc>
          <w:tcPr>
            <w:tcW w:w="3000" w:type="dxa"/>
          </w:tcPr>
          <w:p>
            <w:r>
              <w:rPr>
                <w:rFonts w:ascii="Calibri" w:hAnsi="Calibri"/>
                <w:sz w:val="18"/>
                <w:color w:val="1E293B"/>
              </w:rPr>
              <w:t xml:space="preserve">Document owner</w:t>
            </w:r>
          </w:p>
        </w:tc>
        <w:tc>
          <w:tcPr>
            <w:tcW w:w="6026" w:type="dxa"/>
          </w:tcPr>
          <w:p>
            <w:r>
              <w:rPr>
                <w:rFonts w:ascii="Calibri" w:hAnsi="Calibri"/>
                <w:sz w:val="18"/>
                <w:color w:val="1E293B"/>
              </w:rPr>
              <w:t xml:space="preserve">Role to be formally assigned</w:t>
            </w:r>
          </w:p>
        </w:tc>
      </w:tr>
      <w:tr>
        <w:trPr>
          <w:cantSplit/>
        </w:trPr>
        <w:tc>
          <w:tcPr>
            <w:tcW w:w="3000" w:type="dxa"/>
            <w:shd w:val="clear" w:color="auto" w:fill="F8FAFC"/>
          </w:tcPr>
          <w:p>
            <w:r>
              <w:rPr>
                <w:rFonts w:ascii="Calibri" w:hAnsi="Calibri"/>
                <w:sz w:val="18"/>
                <w:color w:val="1E293B"/>
              </w:rPr>
              <w:t xml:space="preserve">Approver</w:t>
            </w:r>
          </w:p>
        </w:tc>
        <w:tc>
          <w:tcPr>
            <w:tcW w:w="6026" w:type="dxa"/>
            <w:shd w:val="clear" w:color="auto" w:fill="F8FAFC"/>
          </w:tcPr>
          <w:p>
            <w:r>
              <w:rPr>
                <w:rFonts w:ascii="Calibri" w:hAnsi="Calibri"/>
                <w:sz w:val="18"/>
                <w:color w:val="1E293B"/>
              </w:rPr>
              <w:t xml:space="preserve">Authorized management approver to be assigned</w:t>
            </w:r>
          </w:p>
        </w:tc>
      </w:tr>
      <w:tr>
        <w:trPr>
          <w:cantSplit/>
        </w:trPr>
        <w:tc>
          <w:tcPr>
            <w:tcW w:w="3000" w:type="dxa"/>
          </w:tcPr>
          <w:p>
            <w:r>
              <w:rPr>
                <w:rFonts w:ascii="Calibri" w:hAnsi="Calibri"/>
                <w:sz w:val="18"/>
                <w:color w:val="1E293B"/>
              </w:rPr>
              <w:t xml:space="preserve">Effective date</w:t>
            </w:r>
          </w:p>
        </w:tc>
        <w:tc>
          <w:tcPr>
            <w:tcW w:w="6026" w:type="dxa"/>
          </w:tcPr>
          <w:p>
            <w:r>
              <w:rPr>
                <w:rFonts w:ascii="Calibri" w:hAnsi="Calibri"/>
                <w:sz w:val="18"/>
                <w:color w:val="1E293B"/>
              </w:rPr>
              <w:t xml:space="preserve">Not effective until formally approved</w:t>
            </w:r>
          </w:p>
        </w:tc>
      </w:tr>
      <w:tr>
        <w:trPr>
          <w:cantSplit/>
        </w:trPr>
        <w:tc>
          <w:tcPr>
            <w:tcW w:w="3000" w:type="dxa"/>
            <w:shd w:val="clear" w:color="auto" w:fill="F8FAFC"/>
          </w:tcPr>
          <w:p>
            <w:r>
              <w:rPr>
                <w:rFonts w:ascii="Calibri" w:hAnsi="Calibri"/>
                <w:sz w:val="18"/>
                <w:color w:val="1E293B"/>
              </w:rPr>
              <w:t xml:space="preserve">Classification</w:t>
            </w:r>
          </w:p>
        </w:tc>
        <w:tc>
          <w:tcPr>
            <w:tcW w:w="6026" w:type="dxa"/>
            <w:shd w:val="clear" w:color="auto" w:fill="F8FAFC"/>
          </w:tcPr>
          <w:p>
            <w:r>
              <w:rPr>
                <w:rFonts w:ascii="Calibri" w:hAnsi="Calibri"/>
                <w:sz w:val="18"/>
                <w:color w:val="1E293B"/>
              </w:rPr>
              <w:t xml:space="preserve">INTERNAL_ILLUSTRATIVE</w:t>
            </w:r>
          </w:p>
        </w:tc>
      </w:tr>
      <w:tr>
        <w:trPr>
          <w:cantSplit/>
        </w:trPr>
        <w:tc>
          <w:tcPr>
            <w:tcW w:w="3000" w:type="dxa"/>
          </w:tcPr>
          <w:p>
            <w:r>
              <w:rPr>
                <w:rFonts w:ascii="Calibri" w:hAnsi="Calibri"/>
                <w:sz w:val="18"/>
                <w:color w:val="1E293B"/>
              </w:rPr>
              <w:t xml:space="preserve">Review trigger</w:t>
            </w:r>
          </w:p>
        </w:tc>
        <w:tc>
          <w:tcPr>
            <w:tcW w:w="6026" w:type="dxa"/>
          </w:tcPr>
          <w:p>
            <w:r>
              <w:rPr>
                <w:rFonts w:ascii="Calibri" w:hAnsi="Calibri"/>
                <w:sz w:val="18"/>
                <w:color w:val="1E293B"/>
              </w:rPr>
              <w:t xml:space="preserve">Scheduled review and material business, technology, risk or regulatory change</w:t>
            </w:r>
          </w:p>
        </w:tc>
      </w:tr>
    </w:tbl>
    <w:p>
      <w:pPr>
        <w:spacing w:before="160" w:after="160"/>
      </w:pPr>
      <w:r>
        <w:rPr>
          <w:i/>
          <w:sz w:val="18"/>
          <w:color w:val="64748B"/>
        </w:rPr>
        <w:t xml:space="preserve">This document demonstrates the depth, structure and operational specificity expected of an enterprise management-system document. It is not a representation that a real organization has implemented these requirements.</w:t>
      </w:r>
    </w:p>
    <w:p>
      <w:r>
        <w:br w:type="page"/>
      </w:r>
    </w:p>
    <w:p>
      <w:pPr>
        <w:spacing w:before="360" w:after="120"/>
        <w:rPr>
          <w:rFonts w:ascii="Calibri" w:hAnsi="Calibri"/>
          <w:b/>
          <w:sz w:val="32"/>
          <w:color w:val="0F172A"/>
        </w:rPr>
      </w:pPr>
      <w:r>
        <w:rPr>
          <w:rFonts w:ascii="Calibri" w:hAnsi="Calibri"/>
          <w:b/>
          <w:sz w:val="32"/>
          <w:color w:val="0F172A"/>
        </w:rPr>
        <w:t xml:space="preserve">Contents &amp; Document Governance</w:t>
      </w:r>
    </w:p>
    <w:p>
      <w:pPr>
        <w:spacing w:after="100"/>
      </w:pPr>
      <w:r>
        <w:rPr>
          <w:rFonts w:ascii="Calibri" w:hAnsi="Calibri"/>
          <w:color w:val="1E293B"/>
          <w:sz w:val="20"/>
        </w:rPr>
        <w:t xml:space="preserve">Controlled management-system copy maintained in SKANDA Authoritative Document Register.</w:t>
      </w:r>
    </w:p>
    <w:p>
      <w:pPr>
        <w:spacing w:before="240" w:after="80"/>
        <w:rPr>
          <w:rFonts w:ascii="Calibri" w:hAnsi="Calibri"/>
          <w:b/>
          <w:sz w:val="26"/>
          <w:color w:val="1E293B"/>
        </w:rPr>
      </w:pPr>
      <w:r>
        <w:rPr>
          <w:rFonts w:ascii="Calibri" w:hAnsi="Calibri"/>
          <w:b/>
          <w:sz w:val="26"/>
          <w:color w:val="1E293B"/>
        </w:rPr>
        <w:t xml:space="preserve">Revision History</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1000"/>
        <w:gridCol w:w="1400"/>
        <w:gridCol w:w="3426"/>
        <w:gridCol w:w="1800"/>
        <w:gridCol w:w="1400"/>
      </w:tblGrid>
      <w:tr>
        <w:trPr>
          <w:tblHeader/>
          <w:cantSplit/>
        </w:trPr>
        <w:tc>
          <w:tcPr>
            <w:tcW w:w="1000" w:type="dxa"/>
            <w:shd w:val="clear" w:color="auto" w:fill="0F172A"/>
          </w:tcPr>
          <w:p>
            <w:r>
              <w:rPr>
                <w:rFonts w:ascii="Calibri" w:hAnsi="Calibri"/>
                <w:b/>
                <w:color w:val="FFFFFF"/>
                <w:sz w:val="18"/>
              </w:rPr>
              <w:t xml:space="preserve">Version</w:t>
            </w:r>
          </w:p>
        </w:tc>
        <w:tc>
          <w:tcPr>
            <w:tcW w:w="1400" w:type="dxa"/>
            <w:shd w:val="clear" w:color="auto" w:fill="0F172A"/>
          </w:tcPr>
          <w:p>
            <w:r>
              <w:rPr>
                <w:rFonts w:ascii="Calibri" w:hAnsi="Calibri"/>
                <w:b/>
                <w:color w:val="FFFFFF"/>
                <w:sz w:val="18"/>
              </w:rPr>
              <w:t xml:space="preserve">Date</w:t>
            </w:r>
          </w:p>
        </w:tc>
        <w:tc>
          <w:tcPr>
            <w:tcW w:w="3426" w:type="dxa"/>
            <w:shd w:val="clear" w:color="auto" w:fill="0F172A"/>
          </w:tcPr>
          <w:p>
            <w:r>
              <w:rPr>
                <w:rFonts w:ascii="Calibri" w:hAnsi="Calibri"/>
                <w:b/>
                <w:color w:val="FFFFFF"/>
                <w:sz w:val="18"/>
              </w:rPr>
              <w:t xml:space="preserve">Summary of change</w:t>
            </w:r>
          </w:p>
        </w:tc>
        <w:tc>
          <w:tcPr>
            <w:tcW w:w="1800" w:type="dxa"/>
            <w:shd w:val="clear" w:color="auto" w:fill="0F172A"/>
          </w:tcPr>
          <w:p>
            <w:r>
              <w:rPr>
                <w:rFonts w:ascii="Calibri" w:hAnsi="Calibri"/>
                <w:b/>
                <w:color w:val="FFFFFF"/>
                <w:sz w:val="18"/>
              </w:rPr>
              <w:t xml:space="preserve">Prepared by</w:t>
            </w:r>
          </w:p>
        </w:tc>
        <w:tc>
          <w:tcPr>
            <w:tcW w:w="1400" w:type="dxa"/>
            <w:shd w:val="clear" w:color="auto" w:fill="0F172A"/>
          </w:tcPr>
          <w:p>
            <w:r>
              <w:rPr>
                <w:rFonts w:ascii="Calibri" w:hAnsi="Calibri"/>
                <w:b/>
                <w:color w:val="FFFFFF"/>
                <w:sz w:val="18"/>
              </w:rPr>
              <w:t xml:space="preserve">Approval status</w:t>
            </w:r>
          </w:p>
        </w:tc>
      </w:tr>
      <w:tr>
        <w:trPr>
          <w:cantSplit/>
        </w:trPr>
        <w:tc>
          <w:tcPr>
            <w:tcW w:w="1000" w:type="dxa"/>
          </w:tcPr>
          <w:p>
            <w:r>
              <w:rPr>
                <w:rFonts w:ascii="Calibri" w:hAnsi="Calibri"/>
                <w:sz w:val="18"/>
                <w:color w:val="1E293B"/>
              </w:rPr>
              <w:t xml:space="preserve">1.0</w:t>
            </w:r>
          </w:p>
        </w:tc>
        <w:tc>
          <w:tcPr>
            <w:tcW w:w="1400" w:type="dxa"/>
          </w:tcPr>
          <w:p>
            <w:r>
              <w:rPr>
                <w:rFonts w:ascii="Calibri" w:hAnsi="Calibri"/>
                <w:sz w:val="18"/>
                <w:color w:val="1E293B"/>
              </w:rPr>
              <w:t xml:space="preserve">Not recorded</w:t>
            </w:r>
          </w:p>
        </w:tc>
        <w:tc>
          <w:tcPr>
            <w:tcW w:w="3426" w:type="dxa"/>
          </w:tcPr>
          <w:p>
            <w:r>
              <w:rPr>
                <w:rFonts w:ascii="Calibri" w:hAnsi="Calibri"/>
                <w:sz w:val="18"/>
                <w:color w:val="1E293B"/>
              </w:rPr>
              <w:t xml:space="preserve">Initial illustrative model sample.</w:t>
            </w:r>
          </w:p>
        </w:tc>
        <w:tc>
          <w:tcPr>
            <w:tcW w:w="1800" w:type="dxa"/>
          </w:tcPr>
          <w:p>
            <w:r>
              <w:rPr>
                <w:rFonts w:ascii="Calibri" w:hAnsi="Calibri"/>
                <w:sz w:val="18"/>
                <w:color w:val="1E293B"/>
              </w:rPr>
              <w:t xml:space="preserve">SKANDA Documentation</w:t>
            </w:r>
          </w:p>
        </w:tc>
        <w:tc>
          <w:tcPr>
            <w:tcW w:w="1400" w:type="dxa"/>
          </w:tcPr>
          <w:p>
            <w:r>
              <w:rPr>
                <w:rFonts w:ascii="Calibri" w:hAnsi="Calibri"/>
                <w:sz w:val="18"/>
                <w:color w:val="1E293B"/>
              </w:rPr>
              <w:t xml:space="preserve">Not approved — model sample</w:t>
            </w:r>
          </w:p>
        </w:tc>
      </w:tr>
      <w:tr>
        <w:trPr>
          <w:cantSplit/>
        </w:trPr>
        <w:tc>
          <w:tcPr>
            <w:tcW w:w="1000" w:type="dxa"/>
            <w:shd w:val="clear" w:color="auto" w:fill="F8FAFC"/>
          </w:tcPr>
          <w:p>
            <w:r>
              <w:rPr>
                <w:rFonts w:ascii="Calibri" w:hAnsi="Calibri"/>
                <w:sz w:val="18"/>
                <w:color w:val="1E293B"/>
              </w:rPr>
              <w:t xml:space="preserve">1.1</w:t>
            </w:r>
          </w:p>
        </w:tc>
        <w:tc>
          <w:tcPr>
            <w:tcW w:w="1400" w:type="dxa"/>
            <w:shd w:val="clear" w:color="auto" w:fill="F8FAFC"/>
          </w:tcPr>
          <w:p>
            <w:r>
              <w:rPr>
                <w:rFonts w:ascii="Calibri" w:hAnsi="Calibri"/>
                <w:sz w:val="18"/>
                <w:color w:val="1E293B"/>
              </w:rPr>
              <w:t xml:space="preserve">2026-10-11</w:t>
            </w:r>
          </w:p>
        </w:tc>
        <w:tc>
          <w:tcPr>
            <w:tcW w:w="3426" w:type="dxa"/>
            <w:shd w:val="clear" w:color="auto" w:fill="F8FAFC"/>
          </w:tcPr>
          <w:p>
            <w:r>
              <w:rPr>
                <w:rFonts w:ascii="Calibri" w:hAnsi="Calibri"/>
                <w:sz w:val="18"/>
                <w:color w:val="1E293B"/>
              </w:rPr>
              <w:t xml:space="preserve">Quality revision: added contents, revision history and terms and definitions (new Section 3; later sections renumbered); corrected document metadata, header alignment, "Page X of Y" numbering and table pagination. No change to policy requirements.</w:t>
            </w:r>
          </w:p>
        </w:tc>
        <w:tc>
          <w:tcPr>
            <w:tcW w:w="1800" w:type="dxa"/>
            <w:shd w:val="clear" w:color="auto" w:fill="F8FAFC"/>
          </w:tcPr>
          <w:p>
            <w:r>
              <w:rPr>
                <w:rFonts w:ascii="Calibri" w:hAnsi="Calibri"/>
                <w:sz w:val="18"/>
                <w:color w:val="1E293B"/>
              </w:rPr>
              <w:t xml:space="preserve">SKANDA Documentation</w:t>
            </w:r>
          </w:p>
        </w:tc>
        <w:tc>
          <w:tcPr>
            <w:tcW w:w="1400" w:type="dxa"/>
            <w:shd w:val="clear" w:color="auto" w:fill="F8FAFC"/>
          </w:tcPr>
          <w:p>
            <w:r>
              <w:rPr>
                <w:rFonts w:ascii="Calibri" w:hAnsi="Calibri"/>
                <w:sz w:val="18"/>
                <w:color w:val="1E293B"/>
              </w:rPr>
              <w:t xml:space="preserve">Not approved — model sample</w:t>
            </w:r>
          </w:p>
        </w:tc>
      </w:tr>
    </w:tbl>
    <w:p>
      <w:pPr>
        <w:spacing w:after="100"/>
      </w:pPr>
      <w:r>
        <w:rPr>
          <w:rFonts w:ascii="Calibri" w:hAnsi="Calibri"/>
          <w:i/>
          <w:color w:val="64748B"/>
          <w:sz w:val="20"/>
        </w:rPr>
        <w:t xml:space="preserve">Revision entries record changes to this model sample only. Organization-specific revisions must be recorded in the tenant-owned controlled copy.</w:t>
      </w:r>
    </w:p>
    <w:p>
      <w:pPr>
        <w:spacing w:before="240" w:after="80"/>
        <w:rPr>
          <w:rFonts w:ascii="Calibri" w:hAnsi="Calibri"/>
          <w:b/>
          <w:sz w:val="26"/>
          <w:color w:val="1E293B"/>
        </w:rPr>
      </w:pPr>
      <w:r>
        <w:rPr>
          <w:rFonts w:ascii="Calibri" w:hAnsi="Calibri"/>
          <w:b/>
          <w:sz w:val="26"/>
          <w:color w:val="1E293B"/>
        </w:rPr>
        <w:t xml:space="preserve">Document Governance</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800"/>
        <w:gridCol w:w="6226"/>
      </w:tblGrid>
      <w:tr>
        <w:trPr>
          <w:tblHeader/>
          <w:cantSplit/>
        </w:trPr>
        <w:tc>
          <w:tcPr>
            <w:tcW w:w="2800" w:type="dxa"/>
            <w:shd w:val="clear" w:color="auto" w:fill="0F172A"/>
          </w:tcPr>
          <w:p>
            <w:r>
              <w:rPr>
                <w:rFonts w:ascii="Calibri" w:hAnsi="Calibri"/>
                <w:b/>
                <w:color w:val="FFFFFF"/>
                <w:sz w:val="18"/>
              </w:rPr>
              <w:t xml:space="preserve">Control</w:t>
            </w:r>
          </w:p>
        </w:tc>
        <w:tc>
          <w:tcPr>
            <w:tcW w:w="6226" w:type="dxa"/>
            <w:shd w:val="clear" w:color="auto" w:fill="0F172A"/>
          </w:tcPr>
          <w:p>
            <w:r>
              <w:rPr>
                <w:rFonts w:ascii="Calibri" w:hAnsi="Calibri"/>
                <w:b/>
                <w:color w:val="FFFFFF"/>
                <w:sz w:val="18"/>
              </w:rPr>
              <w:t xml:space="preserve">Requirement / model approach</w:t>
            </w:r>
          </w:p>
        </w:tc>
      </w:tr>
      <w:tr>
        <w:trPr>
          <w:cantSplit/>
        </w:trPr>
        <w:tc>
          <w:tcPr>
            <w:tcW w:w="2800" w:type="dxa"/>
          </w:tcPr>
          <w:p>
            <w:r>
              <w:rPr>
                <w:rFonts w:ascii="Calibri" w:hAnsi="Calibri"/>
                <w:sz w:val="18"/>
                <w:color w:val="1E293B"/>
              </w:rPr>
              <w:t xml:space="preserve">Accountable owner</w:t>
            </w:r>
          </w:p>
        </w:tc>
        <w:tc>
          <w:tcPr>
            <w:tcW w:w="6226" w:type="dxa"/>
          </w:tcPr>
          <w:p>
            <w:r>
              <w:rPr>
                <w:rFonts w:ascii="Calibri" w:hAnsi="Calibri"/>
                <w:sz w:val="18"/>
                <w:color w:val="1E293B"/>
              </w:rPr>
              <w:t xml:space="preserve">The organization shall designate an accountable policy owner with sufficient authority to coordinate review and implementation.</w:t>
            </w:r>
          </w:p>
        </w:tc>
      </w:tr>
      <w:tr>
        <w:trPr>
          <w:cantSplit/>
        </w:trPr>
        <w:tc>
          <w:tcPr>
            <w:tcW w:w="2800" w:type="dxa"/>
            <w:shd w:val="clear" w:color="auto" w:fill="F8FAFC"/>
          </w:tcPr>
          <w:p>
            <w:r>
              <w:rPr>
                <w:rFonts w:ascii="Calibri" w:hAnsi="Calibri"/>
                <w:sz w:val="18"/>
                <w:color w:val="1E293B"/>
              </w:rPr>
              <w:t xml:space="preserve">Approval authority</w:t>
            </w:r>
          </w:p>
        </w:tc>
        <w:tc>
          <w:tcPr>
            <w:tcW w:w="6226" w:type="dxa"/>
            <w:shd w:val="clear" w:color="auto" w:fill="F8FAFC"/>
          </w:tcPr>
          <w:p>
            <w:r>
              <w:rPr>
                <w:rFonts w:ascii="Calibri" w:hAnsi="Calibri"/>
                <w:sz w:val="18"/>
                <w:color w:val="1E293B"/>
              </w:rPr>
              <w:t xml:space="preserve">Approval shall follow the organization's documented delegation-of-authority matrix.</w:t>
            </w:r>
          </w:p>
        </w:tc>
      </w:tr>
      <w:tr>
        <w:trPr>
          <w:cantSplit/>
        </w:trPr>
        <w:tc>
          <w:tcPr>
            <w:tcW w:w="2800" w:type="dxa"/>
          </w:tcPr>
          <w:p>
            <w:r>
              <w:rPr>
                <w:rFonts w:ascii="Calibri" w:hAnsi="Calibri"/>
                <w:sz w:val="18"/>
                <w:color w:val="1E293B"/>
              </w:rPr>
              <w:t xml:space="preserve">Review frequency</w:t>
            </w:r>
          </w:p>
        </w:tc>
        <w:tc>
          <w:tcPr>
            <w:tcW w:w="6226" w:type="dxa"/>
          </w:tcPr>
          <w:p>
            <w:r>
              <w:rPr>
                <w:rFonts w:ascii="Calibri" w:hAnsi="Calibri"/>
                <w:sz w:val="18"/>
                <w:color w:val="1E293B"/>
              </w:rPr>
              <w:t xml:space="preserve">At the formally approved interval and upon material changes to business, technology, risk, legal obligations or interested-party requirements.</w:t>
            </w:r>
          </w:p>
        </w:tc>
      </w:tr>
      <w:tr>
        <w:trPr>
          <w:cantSplit/>
        </w:trPr>
        <w:tc>
          <w:tcPr>
            <w:tcW w:w="2800" w:type="dxa"/>
            <w:shd w:val="clear" w:color="auto" w:fill="F8FAFC"/>
          </w:tcPr>
          <w:p>
            <w:r>
              <w:rPr>
                <w:rFonts w:ascii="Calibri" w:hAnsi="Calibri"/>
                <w:sz w:val="18"/>
                <w:color w:val="1E293B"/>
              </w:rPr>
              <w:t xml:space="preserve">Distribution</w:t>
            </w:r>
          </w:p>
        </w:tc>
        <w:tc>
          <w:tcPr>
            <w:tcW w:w="6226" w:type="dxa"/>
            <w:shd w:val="clear" w:color="auto" w:fill="F8FAFC"/>
          </w:tcPr>
          <w:p>
            <w:r>
              <w:rPr>
                <w:rFonts w:ascii="Calibri" w:hAnsi="Calibri"/>
                <w:sz w:val="18"/>
                <w:color w:val="1E293B"/>
              </w:rPr>
              <w:t xml:space="preserve">The controlled published version shall be made available to relevant personnel and other authorized recipients.</w:t>
            </w:r>
          </w:p>
        </w:tc>
      </w:tr>
      <w:tr>
        <w:trPr>
          <w:cantSplit/>
        </w:trPr>
        <w:tc>
          <w:tcPr>
            <w:tcW w:w="2800" w:type="dxa"/>
          </w:tcPr>
          <w:p>
            <w:r>
              <w:rPr>
                <w:rFonts w:ascii="Calibri" w:hAnsi="Calibri"/>
                <w:sz w:val="18"/>
                <w:color w:val="1E293B"/>
              </w:rPr>
              <w:t xml:space="preserve">Superseded copies</w:t>
            </w:r>
          </w:p>
        </w:tc>
        <w:tc>
          <w:tcPr>
            <w:tcW w:w="6226" w:type="dxa"/>
          </w:tcPr>
          <w:p>
            <w:r>
              <w:rPr>
                <w:rFonts w:ascii="Calibri" w:hAnsi="Calibri"/>
                <w:sz w:val="18"/>
                <w:color w:val="1E293B"/>
              </w:rPr>
              <w:t xml:space="preserve">Superseded versions shall be identifiable and prevented from unintended operational use, while retained according to records requirements.</w:t>
            </w:r>
          </w:p>
        </w:tc>
      </w:tr>
      <w:tr>
        <w:trPr>
          <w:cantSplit/>
        </w:trPr>
        <w:tc>
          <w:tcPr>
            <w:tcW w:w="2800" w:type="dxa"/>
            <w:shd w:val="clear" w:color="auto" w:fill="F8FAFC"/>
          </w:tcPr>
          <w:p>
            <w:r>
              <w:rPr>
                <w:rFonts w:ascii="Calibri" w:hAnsi="Calibri"/>
                <w:sz w:val="18"/>
                <w:color w:val="1E293B"/>
              </w:rPr>
              <w:t xml:space="preserve">Exceptions</w:t>
            </w:r>
          </w:p>
        </w:tc>
        <w:tc>
          <w:tcPr>
            <w:tcW w:w="6226" w:type="dxa"/>
            <w:shd w:val="clear" w:color="auto" w:fill="F8FAFC"/>
          </w:tcPr>
          <w:p>
            <w:r>
              <w:rPr>
                <w:rFonts w:ascii="Calibri" w:hAnsi="Calibri"/>
                <w:sz w:val="18"/>
                <w:color w:val="1E293B"/>
              </w:rPr>
              <w:t xml:space="preserve">Exceptions shall be recorded, risk-assessed, authorized, time-bound or periodically reviewed, and tracked to closure.</w:t>
            </w:r>
          </w:p>
        </w:tc>
      </w:tr>
    </w:tbl>
    <w:p>
      <w:pPr>
        <w:spacing w:before="360" w:after="120"/>
        <w:rPr>
          <w:rFonts w:ascii="Calibri" w:hAnsi="Calibri"/>
          <w:b/>
          <w:sz w:val="32"/>
          <w:color w:val="0F172A"/>
        </w:rPr>
      </w:pPr>
      <w:r>
        <w:rPr>
          <w:rFonts w:ascii="Calibri" w:hAnsi="Calibri"/>
          <w:b/>
          <w:sz w:val="32"/>
          <w:color w:val="0F172A"/>
        </w:rPr>
        <w:t xml:space="preserve">1. Purpose</w:t>
      </w:r>
    </w:p>
    <w:p>
      <w:pPr>
        <w:spacing w:after="100"/>
      </w:pPr>
      <w:r>
        <w:rPr>
          <w:rFonts w:ascii="Calibri" w:hAnsi="Calibri"/>
          <w:color w:val="1E293B"/>
          <w:sz w:val="20"/>
        </w:rPr>
        <w:t xml:space="preserve">This policy establishes management direction and mandatory principles for protecting the confidentiality, integrity and availability of information and supporting the organization’s information security management system (ISMS). It sets expectations for governance, risk-based decision-making, implementation, monitoring and continual improvement.</w:t>
      </w:r>
    </w:p>
    <w:p>
      <w:pPr>
        <w:spacing w:before="360" w:after="120"/>
        <w:rPr>
          <w:rFonts w:ascii="Calibri" w:hAnsi="Calibri"/>
          <w:b/>
          <w:sz w:val="32"/>
          <w:color w:val="0F172A"/>
        </w:rPr>
      </w:pPr>
      <w:r>
        <w:rPr>
          <w:rFonts w:ascii="Calibri" w:hAnsi="Calibri"/>
          <w:b/>
          <w:sz w:val="32"/>
          <w:color w:val="0F172A"/>
        </w:rPr>
        <w:t xml:space="preserve">2. Scope and Applicability</w:t>
      </w:r>
    </w:p>
    <w:p>
      <w:pPr>
        <w:spacing w:after="100"/>
      </w:pPr>
      <w:r>
        <w:rPr>
          <w:rFonts w:ascii="Calibri" w:hAnsi="Calibri"/>
          <w:color w:val="1E293B"/>
          <w:sz w:val="20"/>
        </w:rPr>
        <w:t xml:space="preserve">The organization shall define the ISMS scope in its approved scope statement. This policy applies to personnel, processes, information, technology, facilities and third parties to the extent they fall within that scope or interact with in-scope information assets. The organization shall document relevant interfaces, dependencies and exclusions rather than assuming universal applicability.</w:t>
      </w:r>
    </w:p>
    <w:p>
      <w:pPr>
        <w:spacing w:after="100"/>
      </w:pPr>
      <w:r>
        <w:rPr>
          <w:rFonts w:ascii="Calibri" w:hAnsi="Calibri"/>
          <w:b/>
          <w:color w:val="1E293B"/>
          <w:sz w:val="20"/>
        </w:rPr>
        <w:t xml:space="preserve">• In-Scope Locations: [Locations to be documented in approved scope statement]</w:t>
      </w:r>
    </w:p>
    <w:p>
      <w:pPr>
        <w:spacing w:after="100"/>
      </w:pPr>
      <w:r>
        <w:rPr>
          <w:rFonts w:ascii="Calibri" w:hAnsi="Calibri"/>
          <w:color w:val="1E293B"/>
          <w:sz w:val="20"/>
        </w:rPr>
        <w:t xml:space="preserve">• In-Scope Systems &amp; Services: [In-scope services and interfaces to be defined]</w:t>
      </w:r>
    </w:p>
    <w:p>
      <w:pPr>
        <w:spacing w:after="100"/>
      </w:pPr>
      <w:r>
        <w:rPr>
          <w:rFonts w:ascii="Calibri" w:hAnsi="Calibri"/>
          <w:b/>
          <w:color w:val="1E293B"/>
          <w:sz w:val="20"/>
        </w:rPr>
        <w:t xml:space="preserve">Documented Exclusions:</w:t>
      </w:r>
    </w:p>
    <w:p>
      <w:pPr>
        <w:spacing w:after="100"/>
      </w:pPr>
      <w:r>
        <w:rPr>
          <w:rFonts w:ascii="Calibri" w:hAnsi="Calibri"/>
          <w:color w:val="1E293B"/>
          <w:sz w:val="20"/>
        </w:rPr>
        <w:t xml:space="preserve">• [Specific boundary exclusions if approved by risk committee]: [Documented justification and boundary safeguards]</w:t>
      </w:r>
    </w:p>
    <w:p>
      <w:pPr>
        <w:spacing w:before="360" w:after="120"/>
        <w:rPr>
          <w:rFonts w:ascii="Calibri" w:hAnsi="Calibri"/>
          <w:b/>
          <w:sz w:val="32"/>
          <w:color w:val="0F172A"/>
        </w:rPr>
      </w:pPr>
      <w:r>
        <w:rPr>
          <w:rFonts w:ascii="Calibri" w:hAnsi="Calibri"/>
          <w:b/>
          <w:sz w:val="32"/>
          <w:color w:val="0F172A"/>
        </w:rPr>
        <w:t xml:space="preserve">3. Terms and Definitions</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600"/>
        <w:gridCol w:w="6426"/>
      </w:tblGrid>
      <w:tr>
        <w:trPr>
          <w:tblHeader/>
          <w:cantSplit/>
        </w:trPr>
        <w:tc>
          <w:tcPr>
            <w:tcW w:w="2600" w:type="dxa"/>
            <w:shd w:val="clear" w:color="auto" w:fill="0F172A"/>
          </w:tcPr>
          <w:p>
            <w:r>
              <w:rPr>
                <w:rFonts w:ascii="Calibri" w:hAnsi="Calibri"/>
                <w:b/>
                <w:color w:val="FFFFFF"/>
                <w:sz w:val="18"/>
              </w:rPr>
              <w:t xml:space="preserve">Term</w:t>
            </w:r>
          </w:p>
        </w:tc>
        <w:tc>
          <w:tcPr>
            <w:tcW w:w="6426" w:type="dxa"/>
            <w:shd w:val="clear" w:color="auto" w:fill="0F172A"/>
          </w:tcPr>
          <w:p>
            <w:r>
              <w:rPr>
                <w:rFonts w:ascii="Calibri" w:hAnsi="Calibri"/>
                <w:b/>
                <w:color w:val="FFFFFF"/>
                <w:sz w:val="18"/>
              </w:rPr>
              <w:t xml:space="preserve">Working definition (model)</w:t>
            </w:r>
          </w:p>
        </w:tc>
      </w:tr>
      <w:tr>
        <w:trPr>
          <w:cantSplit/>
        </w:trPr>
        <w:tc>
          <w:tcPr>
            <w:tcW w:w="2600" w:type="dxa"/>
          </w:tcPr>
          <w:p>
            <w:r>
              <w:rPr>
                <w:rFonts w:ascii="Calibri" w:hAnsi="Calibri"/>
                <w:sz w:val="18"/>
                <w:color w:val="1E293B"/>
              </w:rPr>
              <w:t xml:space="preserve">Information security</w:t>
            </w:r>
          </w:p>
        </w:tc>
        <w:tc>
          <w:tcPr>
            <w:tcW w:w="6426" w:type="dxa"/>
          </w:tcPr>
          <w:p>
            <w:r>
              <w:rPr>
                <w:rFonts w:ascii="Calibri" w:hAnsi="Calibri"/>
                <w:sz w:val="18"/>
                <w:color w:val="1E293B"/>
              </w:rPr>
              <w:t xml:space="preserve">Preservation of the confidentiality, integrity and availability of information.</w:t>
            </w:r>
          </w:p>
        </w:tc>
      </w:tr>
      <w:tr>
        <w:trPr>
          <w:cantSplit/>
        </w:trPr>
        <w:tc>
          <w:tcPr>
            <w:tcW w:w="2600" w:type="dxa"/>
            <w:shd w:val="clear" w:color="auto" w:fill="F8FAFC"/>
          </w:tcPr>
          <w:p>
            <w:r>
              <w:rPr>
                <w:rFonts w:ascii="Calibri" w:hAnsi="Calibri"/>
                <w:sz w:val="18"/>
                <w:color w:val="1E293B"/>
              </w:rPr>
              <w:t xml:space="preserve">ISMS</w:t>
            </w:r>
          </w:p>
        </w:tc>
        <w:tc>
          <w:tcPr>
            <w:tcW w:w="6426" w:type="dxa"/>
            <w:shd w:val="clear" w:color="auto" w:fill="F8FAFC"/>
          </w:tcPr>
          <w:p>
            <w:r>
              <w:rPr>
                <w:rFonts w:ascii="Calibri" w:hAnsi="Calibri"/>
                <w:sz w:val="18"/>
                <w:color w:val="1E293B"/>
              </w:rPr>
              <w:t xml:space="preserve">The policies, processes, roles, resources and controls the organization uses to establish, operate, monitor and improve information security within its approved scope.</w:t>
            </w:r>
          </w:p>
        </w:tc>
      </w:tr>
      <w:tr>
        <w:trPr>
          <w:cantSplit/>
        </w:trPr>
        <w:tc>
          <w:tcPr>
            <w:tcW w:w="2600" w:type="dxa"/>
          </w:tcPr>
          <w:p>
            <w:r>
              <w:rPr>
                <w:rFonts w:ascii="Calibri" w:hAnsi="Calibri"/>
                <w:sz w:val="18"/>
                <w:color w:val="1E293B"/>
              </w:rPr>
              <w:t xml:space="preserve">Risk owner</w:t>
            </w:r>
          </w:p>
        </w:tc>
        <w:tc>
          <w:tcPr>
            <w:tcW w:w="6426" w:type="dxa"/>
          </w:tcPr>
          <w:p>
            <w:r>
              <w:rPr>
                <w:rFonts w:ascii="Calibri" w:hAnsi="Calibri"/>
                <w:sz w:val="18"/>
                <w:color w:val="1E293B"/>
              </w:rPr>
              <w:t xml:space="preserve">The person or role with accountability and authority to manage an assigned risk, including treatment decisions and acceptance within delegated limits.</w:t>
            </w:r>
          </w:p>
        </w:tc>
      </w:tr>
      <w:tr>
        <w:trPr>
          <w:cantSplit/>
        </w:trPr>
        <w:tc>
          <w:tcPr>
            <w:tcW w:w="2600" w:type="dxa"/>
            <w:shd w:val="clear" w:color="auto" w:fill="F8FAFC"/>
          </w:tcPr>
          <w:p>
            <w:r>
              <w:rPr>
                <w:rFonts w:ascii="Calibri" w:hAnsi="Calibri"/>
                <w:sz w:val="18"/>
                <w:color w:val="1E293B"/>
              </w:rPr>
              <w:t xml:space="preserve">Control owner</w:t>
            </w:r>
          </w:p>
        </w:tc>
        <w:tc>
          <w:tcPr>
            <w:tcW w:w="6426" w:type="dxa"/>
            <w:shd w:val="clear" w:color="auto" w:fill="F8FAFC"/>
          </w:tcPr>
          <w:p>
            <w:r>
              <w:rPr>
                <w:rFonts w:ascii="Calibri" w:hAnsi="Calibri"/>
                <w:sz w:val="18"/>
                <w:color w:val="1E293B"/>
              </w:rPr>
              <w:t xml:space="preserve">The person or role responsible for implementing, operating and evidencing an assigned control.</w:t>
            </w:r>
          </w:p>
        </w:tc>
      </w:tr>
      <w:tr>
        <w:trPr>
          <w:cantSplit/>
        </w:trPr>
        <w:tc>
          <w:tcPr>
            <w:tcW w:w="2600" w:type="dxa"/>
          </w:tcPr>
          <w:p>
            <w:r>
              <w:rPr>
                <w:rFonts w:ascii="Calibri" w:hAnsi="Calibri"/>
                <w:sz w:val="18"/>
                <w:color w:val="1E293B"/>
              </w:rPr>
              <w:t xml:space="preserve">Exception</w:t>
            </w:r>
          </w:p>
        </w:tc>
        <w:tc>
          <w:tcPr>
            <w:tcW w:w="6426" w:type="dxa"/>
          </w:tcPr>
          <w:p>
            <w:r>
              <w:rPr>
                <w:rFonts w:ascii="Calibri" w:hAnsi="Calibri"/>
                <w:sz w:val="18"/>
                <w:color w:val="1E293B"/>
              </w:rPr>
              <w:t xml:space="preserve">A documented, risk-assessed and authorized deviation from a mandatory requirement that is time-bound or subject to periodic review.</w:t>
            </w:r>
          </w:p>
        </w:tc>
      </w:tr>
      <w:tr>
        <w:trPr>
          <w:cantSplit/>
        </w:trPr>
        <w:tc>
          <w:tcPr>
            <w:tcW w:w="2600" w:type="dxa"/>
            <w:shd w:val="clear" w:color="auto" w:fill="F8FAFC"/>
          </w:tcPr>
          <w:p>
            <w:r>
              <w:rPr>
                <w:rFonts w:ascii="Calibri" w:hAnsi="Calibri"/>
                <w:sz w:val="18"/>
                <w:color w:val="1E293B"/>
              </w:rPr>
              <w:t xml:space="preserve">Nonconformity</w:t>
            </w:r>
          </w:p>
        </w:tc>
        <w:tc>
          <w:tcPr>
            <w:tcW w:w="6426" w:type="dxa"/>
            <w:shd w:val="clear" w:color="auto" w:fill="F8FAFC"/>
          </w:tcPr>
          <w:p>
            <w:r>
              <w:rPr>
                <w:rFonts w:ascii="Calibri" w:hAnsi="Calibri"/>
                <w:sz w:val="18"/>
                <w:color w:val="1E293B"/>
              </w:rPr>
              <w:t xml:space="preserve">Failure to fulfil a requirement of this policy, a supporting controlled document, or another applicable obligation.</w:t>
            </w:r>
          </w:p>
        </w:tc>
      </w:tr>
      <w:tr>
        <w:trPr>
          <w:cantSplit/>
        </w:trPr>
        <w:tc>
          <w:tcPr>
            <w:tcW w:w="2600" w:type="dxa"/>
          </w:tcPr>
          <w:p>
            <w:r>
              <w:rPr>
                <w:rFonts w:ascii="Calibri" w:hAnsi="Calibri"/>
                <w:sz w:val="18"/>
                <w:color w:val="1E293B"/>
              </w:rPr>
              <w:t xml:space="preserve">Corrective action</w:t>
            </w:r>
          </w:p>
        </w:tc>
        <w:tc>
          <w:tcPr>
            <w:tcW w:w="6426" w:type="dxa"/>
          </w:tcPr>
          <w:p>
            <w:r>
              <w:rPr>
                <w:rFonts w:ascii="Calibri" w:hAnsi="Calibri"/>
                <w:sz w:val="18"/>
                <w:color w:val="1E293B"/>
              </w:rPr>
              <w:t xml:space="preserve">Action to eliminate the cause of a nonconformity and prevent recurrence, verified as effective before closure.</w:t>
            </w:r>
          </w:p>
        </w:tc>
      </w:tr>
      <w:tr>
        <w:trPr>
          <w:cantSplit/>
        </w:trPr>
        <w:tc>
          <w:tcPr>
            <w:tcW w:w="2600" w:type="dxa"/>
            <w:shd w:val="clear" w:color="auto" w:fill="F8FAFC"/>
          </w:tcPr>
          <w:p>
            <w:r>
              <w:rPr>
                <w:rFonts w:ascii="Calibri" w:hAnsi="Calibri"/>
                <w:sz w:val="18"/>
                <w:color w:val="1E293B"/>
              </w:rPr>
              <w:t xml:space="preserve">Evidence</w:t>
            </w:r>
          </w:p>
        </w:tc>
        <w:tc>
          <w:tcPr>
            <w:tcW w:w="6426" w:type="dxa"/>
            <w:shd w:val="clear" w:color="auto" w:fill="F8FAFC"/>
          </w:tcPr>
          <w:p>
            <w:r>
              <w:rPr>
                <w:rFonts w:ascii="Calibri" w:hAnsi="Calibri"/>
                <w:sz w:val="18"/>
                <w:color w:val="1E293B"/>
              </w:rPr>
              <w:t xml:space="preserve">Attributable, retrievable and protected records demonstrating that a requirement or control was performed as defined.</w:t>
            </w:r>
          </w:p>
        </w:tc>
      </w:tr>
    </w:tbl>
    <w:p>
      <w:pPr>
        <w:spacing w:before="360" w:after="120"/>
        <w:rPr>
          <w:rFonts w:ascii="Calibri" w:hAnsi="Calibri"/>
          <w:b/>
          <w:sz w:val="32"/>
          <w:color w:val="0F172A"/>
        </w:rPr>
      </w:pPr>
      <w:r>
        <w:rPr>
          <w:rFonts w:ascii="Calibri" w:hAnsi="Calibri"/>
          <w:b/>
          <w:sz w:val="32"/>
          <w:color w:val="0F172A"/>
        </w:rPr>
        <w:t xml:space="preserve">4. Policy Objectives</w:t>
      </w:r>
    </w:p>
    <w:p>
      <w:pPr>
        <w:spacing w:after="100"/>
      </w:pPr>
      <w:r>
        <w:rPr>
          <w:rFonts w:ascii="Calibri" w:hAnsi="Calibri"/>
          <w:color w:val="1E293B"/>
          <w:sz w:val="20"/>
        </w:rPr>
        <w:t xml:space="preserve">• Protect information against unauthorized access, disclosure, alteration, loss and disruption in a manner proportionate to its classification and risk.</w:t>
      </w:r>
    </w:p>
    <w:p>
      <w:pPr>
        <w:spacing w:after="100"/>
      </w:pPr>
      <w:r>
        <w:rPr>
          <w:rFonts w:ascii="Calibri" w:hAnsi="Calibri"/>
          <w:color w:val="1E293B"/>
          <w:sz w:val="20"/>
        </w:rPr>
        <w:t xml:space="preserve">• Establish clear accountability for information security risks, controls, exceptions and remediation.</w:t>
      </w:r>
    </w:p>
    <w:p>
      <w:pPr>
        <w:spacing w:after="100"/>
      </w:pPr>
      <w:r>
        <w:rPr>
          <w:rFonts w:ascii="Calibri" w:hAnsi="Calibri"/>
          <w:color w:val="1E293B"/>
          <w:sz w:val="20"/>
        </w:rPr>
        <w:t xml:space="preserve">• Identify and assess information security risks using an approved, repeatable methodology and maintain treatment decisions and risk acceptance records.</w:t>
      </w:r>
    </w:p>
    <w:p>
      <w:pPr>
        <w:spacing w:after="100"/>
      </w:pPr>
      <w:r>
        <w:rPr>
          <w:rFonts w:ascii="Calibri" w:hAnsi="Calibri"/>
          <w:color w:val="1E293B"/>
          <w:sz w:val="20"/>
        </w:rPr>
        <w:t xml:space="preserve">• Meet applicable legal, regulatory, contractual and other obligations that have been identified and validated for the organization.</w:t>
      </w:r>
    </w:p>
    <w:p>
      <w:pPr>
        <w:spacing w:after="100"/>
      </w:pPr>
      <w:r>
        <w:rPr>
          <w:rFonts w:ascii="Calibri" w:hAnsi="Calibri"/>
          <w:color w:val="1E293B"/>
          <w:sz w:val="20"/>
        </w:rPr>
        <w:t xml:space="preserve">• Ensure security requirements are considered in personnel lifecycle, supplier relationships, system acquisition, development, operation and change.</w:t>
      </w:r>
    </w:p>
    <w:p>
      <w:pPr>
        <w:spacing w:after="100"/>
      </w:pPr>
      <w:r>
        <w:rPr>
          <w:rFonts w:ascii="Calibri" w:hAnsi="Calibri"/>
          <w:color w:val="1E293B"/>
          <w:sz w:val="20"/>
        </w:rPr>
        <w:t xml:space="preserve">• Evaluate control operation and ISMS performance using defined evidence, monitoring, audit and management review processes.</w:t>
      </w:r>
    </w:p>
    <w:p>
      <w:pPr>
        <w:spacing w:before="360" w:after="120"/>
        <w:rPr>
          <w:rFonts w:ascii="Calibri" w:hAnsi="Calibri"/>
          <w:b/>
          <w:sz w:val="32"/>
          <w:color w:val="0F172A"/>
        </w:rPr>
      </w:pPr>
      <w:r>
        <w:rPr>
          <w:rFonts w:ascii="Calibri" w:hAnsi="Calibri"/>
          <w:b/>
          <w:sz w:val="32"/>
          <w:color w:val="0F172A"/>
        </w:rPr>
        <w:t xml:space="preserve">5. Governance and Accountability</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3000"/>
        <w:gridCol w:w="6026"/>
      </w:tblGrid>
      <w:tr>
        <w:trPr>
          <w:tblHeader/>
          <w:cantSplit/>
        </w:trPr>
        <w:tc>
          <w:tcPr>
            <w:tcW w:w="3000" w:type="dxa"/>
            <w:shd w:val="clear" w:color="auto" w:fill="0F172A"/>
          </w:tcPr>
          <w:p>
            <w:r>
              <w:rPr>
                <w:rFonts w:ascii="Calibri" w:hAnsi="Calibri"/>
                <w:b/>
                <w:color w:val="FFFFFF"/>
                <w:sz w:val="18"/>
              </w:rPr>
              <w:t xml:space="preserve">Role</w:t>
            </w:r>
          </w:p>
        </w:tc>
        <w:tc>
          <w:tcPr>
            <w:tcW w:w="6026" w:type="dxa"/>
            <w:shd w:val="clear" w:color="auto" w:fill="0F172A"/>
          </w:tcPr>
          <w:p>
            <w:r>
              <w:rPr>
                <w:rFonts w:ascii="Calibri" w:hAnsi="Calibri"/>
                <w:b/>
                <w:color w:val="FFFFFF"/>
                <w:sz w:val="18"/>
              </w:rPr>
              <w:t xml:space="preserve">Accountability (to be mapped to actual organization)</w:t>
            </w:r>
          </w:p>
        </w:tc>
      </w:tr>
      <w:tr>
        <w:trPr>
          <w:cantSplit/>
        </w:trPr>
        <w:tc>
          <w:tcPr>
            <w:tcW w:w="3000" w:type="dxa"/>
          </w:tcPr>
          <w:p>
            <w:r>
              <w:rPr>
                <w:rFonts w:ascii="Calibri" w:hAnsi="Calibri"/>
                <w:sz w:val="18"/>
                <w:color w:val="1E293B"/>
              </w:rPr>
              <w:t xml:space="preserve">Top management / executive sponsor</w:t>
            </w:r>
          </w:p>
        </w:tc>
        <w:tc>
          <w:tcPr>
            <w:tcW w:w="6026" w:type="dxa"/>
          </w:tcPr>
          <w:p>
            <w:r>
              <w:rPr>
                <w:rFonts w:ascii="Calibri" w:hAnsi="Calibri"/>
                <w:sz w:val="18"/>
                <w:color w:val="1E293B"/>
              </w:rPr>
              <w:t xml:space="preserve">Approve policy and ISMS direction; assign responsibilities; consider resources; review significant risks, performance and improvement needs.</w:t>
            </w:r>
          </w:p>
        </w:tc>
      </w:tr>
      <w:tr>
        <w:trPr>
          <w:cantSplit/>
        </w:trPr>
        <w:tc>
          <w:tcPr>
            <w:tcW w:w="3000" w:type="dxa"/>
            <w:shd w:val="clear" w:color="auto" w:fill="F8FAFC"/>
          </w:tcPr>
          <w:p>
            <w:r>
              <w:rPr>
                <w:rFonts w:ascii="Calibri" w:hAnsi="Calibri"/>
                <w:sz w:val="18"/>
                <w:color w:val="1E293B"/>
              </w:rPr>
              <w:t xml:space="preserve">ISMS owner / Information Security Manager</w:t>
            </w:r>
          </w:p>
        </w:tc>
        <w:tc>
          <w:tcPr>
            <w:tcW w:w="6026" w:type="dxa"/>
            <w:shd w:val="clear" w:color="auto" w:fill="F8FAFC"/>
          </w:tcPr>
          <w:p>
            <w:r>
              <w:rPr>
                <w:rFonts w:ascii="Calibri" w:hAnsi="Calibri"/>
                <w:sz w:val="18"/>
                <w:color w:val="1E293B"/>
              </w:rPr>
              <w:t xml:space="preserve">Coordinate ISMS operation, policy maintenance, risk and control reporting, awareness, internal audit coordination and corrective-action follow-up.</w:t>
            </w:r>
          </w:p>
        </w:tc>
      </w:tr>
      <w:tr>
        <w:trPr>
          <w:cantSplit/>
        </w:trPr>
        <w:tc>
          <w:tcPr>
            <w:tcW w:w="3000" w:type="dxa"/>
          </w:tcPr>
          <w:p>
            <w:r>
              <w:rPr>
                <w:rFonts w:ascii="Calibri" w:hAnsi="Calibri"/>
                <w:sz w:val="18"/>
                <w:color w:val="1E293B"/>
              </w:rPr>
              <w:t xml:space="preserve">Risk owners</w:t>
            </w:r>
          </w:p>
        </w:tc>
        <w:tc>
          <w:tcPr>
            <w:tcW w:w="6026" w:type="dxa"/>
          </w:tcPr>
          <w:p>
            <w:r>
              <w:rPr>
                <w:rFonts w:ascii="Calibri" w:hAnsi="Calibri"/>
                <w:sz w:val="18"/>
                <w:color w:val="1E293B"/>
              </w:rPr>
              <w:t xml:space="preserve">Assess assigned risks, select or recommend treatment, maintain action plans, and seek acceptance only from an authorized role.</w:t>
            </w:r>
          </w:p>
        </w:tc>
      </w:tr>
      <w:tr>
        <w:trPr>
          <w:cantSplit/>
        </w:trPr>
        <w:tc>
          <w:tcPr>
            <w:tcW w:w="3000" w:type="dxa"/>
            <w:shd w:val="clear" w:color="auto" w:fill="F8FAFC"/>
          </w:tcPr>
          <w:p>
            <w:r>
              <w:rPr>
                <w:rFonts w:ascii="Calibri" w:hAnsi="Calibri"/>
                <w:sz w:val="18"/>
                <w:color w:val="1E293B"/>
              </w:rPr>
              <w:t xml:space="preserve">Control owners / process owners</w:t>
            </w:r>
          </w:p>
        </w:tc>
        <w:tc>
          <w:tcPr>
            <w:tcW w:w="6026" w:type="dxa"/>
            <w:shd w:val="clear" w:color="auto" w:fill="F8FAFC"/>
          </w:tcPr>
          <w:p>
            <w:r>
              <w:rPr>
                <w:rFonts w:ascii="Calibri" w:hAnsi="Calibri"/>
                <w:sz w:val="18"/>
                <w:color w:val="1E293B"/>
              </w:rPr>
              <w:t xml:space="preserve">Implement assigned controls, maintain operating procedures and records, report failures and provide evidence for monitoring and audit.</w:t>
            </w:r>
          </w:p>
        </w:tc>
      </w:tr>
      <w:tr>
        <w:trPr>
          <w:cantSplit/>
        </w:trPr>
        <w:tc>
          <w:tcPr>
            <w:tcW w:w="3000" w:type="dxa"/>
          </w:tcPr>
          <w:p>
            <w:r>
              <w:rPr>
                <w:rFonts w:ascii="Calibri" w:hAnsi="Calibri"/>
                <w:sz w:val="18"/>
                <w:color w:val="1E293B"/>
              </w:rPr>
              <w:t xml:space="preserve">IT and engineering teams</w:t>
            </w:r>
          </w:p>
        </w:tc>
        <w:tc>
          <w:tcPr>
            <w:tcW w:w="6026" w:type="dxa"/>
          </w:tcPr>
          <w:p>
            <w:r>
              <w:rPr>
                <w:rFonts w:ascii="Calibri" w:hAnsi="Calibri"/>
                <w:sz w:val="18"/>
                <w:color w:val="1E293B"/>
              </w:rPr>
              <w:t xml:space="preserve">Implement approved technical requirements and retain operational logs and change records relevant to assigned controls.</w:t>
            </w:r>
          </w:p>
        </w:tc>
      </w:tr>
      <w:tr>
        <w:trPr>
          <w:cantSplit/>
        </w:trPr>
        <w:tc>
          <w:tcPr>
            <w:tcW w:w="3000" w:type="dxa"/>
            <w:shd w:val="clear" w:color="auto" w:fill="F8FAFC"/>
          </w:tcPr>
          <w:p>
            <w:r>
              <w:rPr>
                <w:rFonts w:ascii="Calibri" w:hAnsi="Calibri"/>
                <w:sz w:val="18"/>
                <w:color w:val="1E293B"/>
              </w:rPr>
              <w:t xml:space="preserve">People managers</w:t>
            </w:r>
          </w:p>
        </w:tc>
        <w:tc>
          <w:tcPr>
            <w:tcW w:w="6026" w:type="dxa"/>
            <w:shd w:val="clear" w:color="auto" w:fill="F8FAFC"/>
          </w:tcPr>
          <w:p>
            <w:r>
              <w:rPr>
                <w:rFonts w:ascii="Calibri" w:hAnsi="Calibri"/>
                <w:sz w:val="18"/>
                <w:color w:val="1E293B"/>
              </w:rPr>
              <w:t xml:space="preserve">Ensure personnel understand role-specific responsibilities and follow approved onboarding, access, transfer and exit processes.</w:t>
            </w:r>
          </w:p>
        </w:tc>
      </w:tr>
      <w:tr>
        <w:trPr>
          <w:cantSplit/>
        </w:trPr>
        <w:tc>
          <w:tcPr>
            <w:tcW w:w="3000" w:type="dxa"/>
          </w:tcPr>
          <w:p>
            <w:r>
              <w:rPr>
                <w:rFonts w:ascii="Calibri" w:hAnsi="Calibri"/>
                <w:sz w:val="18"/>
                <w:color w:val="1E293B"/>
              </w:rPr>
              <w:t xml:space="preserve">Personnel and contractors</w:t>
            </w:r>
          </w:p>
        </w:tc>
        <w:tc>
          <w:tcPr>
            <w:tcW w:w="6026" w:type="dxa"/>
          </w:tcPr>
          <w:p>
            <w:r>
              <w:rPr>
                <w:rFonts w:ascii="Calibri" w:hAnsi="Calibri"/>
                <w:sz w:val="18"/>
                <w:color w:val="1E293B"/>
              </w:rPr>
              <w:t xml:space="preserve">Comply with applicable requirements, protect credentials and information, complete assigned training and report suspected incidents.</w:t>
            </w:r>
          </w:p>
        </w:tc>
      </w:tr>
      <w:tr>
        <w:trPr>
          <w:cantSplit/>
        </w:trPr>
        <w:tc>
          <w:tcPr>
            <w:tcW w:w="3000" w:type="dxa"/>
            <w:shd w:val="clear" w:color="auto" w:fill="F8FAFC"/>
          </w:tcPr>
          <w:p>
            <w:r>
              <w:rPr>
                <w:rFonts w:ascii="Calibri" w:hAnsi="Calibri"/>
                <w:sz w:val="18"/>
                <w:color w:val="1E293B"/>
              </w:rPr>
              <w:t xml:space="preserve">Supplier / relationship owners</w:t>
            </w:r>
          </w:p>
        </w:tc>
        <w:tc>
          <w:tcPr>
            <w:tcW w:w="6026" w:type="dxa"/>
            <w:shd w:val="clear" w:color="auto" w:fill="F8FAFC"/>
          </w:tcPr>
          <w:p>
            <w:r>
              <w:rPr>
                <w:rFonts w:ascii="Calibri" w:hAnsi="Calibri"/>
                <w:sz w:val="18"/>
                <w:color w:val="1E293B"/>
              </w:rPr>
              <w:t xml:space="preserve">Ensure third-party due diligence, contractual requirements, access, monitoring and exit obligations are managed.</w:t>
            </w:r>
          </w:p>
        </w:tc>
      </w:tr>
      <w:tr>
        <w:trPr>
          <w:cantSplit/>
        </w:trPr>
        <w:tc>
          <w:tcPr>
            <w:tcW w:w="3000" w:type="dxa"/>
          </w:tcPr>
          <w:p>
            <w:r>
              <w:rPr>
                <w:rFonts w:ascii="Calibri" w:hAnsi="Calibri"/>
                <w:sz w:val="18"/>
                <w:color w:val="1E293B"/>
              </w:rPr>
              <w:t xml:space="preserve">Internal auditors</w:t>
            </w:r>
          </w:p>
        </w:tc>
        <w:tc>
          <w:tcPr>
            <w:tcW w:w="6026" w:type="dxa"/>
          </w:tcPr>
          <w:p>
            <w:r>
              <w:rPr>
                <w:rFonts w:ascii="Calibri" w:hAnsi="Calibri"/>
                <w:sz w:val="18"/>
                <w:color w:val="1E293B"/>
              </w:rPr>
              <w:t xml:space="preserve">Perform impartial audit activities under an approved audit programme; avoid auditing their own work.</w:t>
            </w:r>
          </w:p>
        </w:tc>
      </w:tr>
    </w:tbl>
    <w:p>
      <w:pPr>
        <w:spacing w:before="360" w:after="120"/>
        <w:rPr>
          <w:rFonts w:ascii="Calibri" w:hAnsi="Calibri"/>
          <w:b/>
          <w:sz w:val="32"/>
          <w:color w:val="0F172A"/>
        </w:rPr>
      </w:pPr>
      <w:r>
        <w:rPr>
          <w:rFonts w:ascii="Calibri" w:hAnsi="Calibri"/>
          <w:b/>
          <w:sz w:val="32"/>
          <w:color w:val="0F172A"/>
        </w:rPr>
        <w:t xml:space="preserve">6. Mandatory Policy Requirements</w:t>
      </w:r>
    </w:p>
    <w:p>
      <w:pPr>
        <w:spacing w:before="240" w:after="80"/>
        <w:rPr>
          <w:rFonts w:ascii="Calibri" w:hAnsi="Calibri"/>
          <w:b/>
          <w:sz w:val="26"/>
          <w:color w:val="1E293B"/>
        </w:rPr>
      </w:pPr>
      <w:r>
        <w:rPr>
          <w:rFonts w:ascii="Calibri" w:hAnsi="Calibri"/>
          <w:b/>
          <w:sz w:val="26"/>
          <w:color w:val="1E293B"/>
        </w:rPr>
        <w:t xml:space="preserve">6.1 Risk management</w:t>
      </w:r>
    </w:p>
    <w:p>
      <w:pPr>
        <w:spacing w:after="100"/>
      </w:pPr>
      <w:r>
        <w:rPr>
          <w:rFonts w:ascii="Calibri" w:hAnsi="Calibri"/>
          <w:color w:val="1E293B"/>
          <w:sz w:val="20"/>
        </w:rPr>
        <w:t xml:space="preserve">Information security risks shall be identified, analyzed, evaluated and treated under the approved risk methodology. Risk criteria, likelihood and impact definitions, acceptance authority, treatment options, review triggers and recordkeeping shall be documented. Risk acceptance shall be explicit, attributable to an authorized risk owner, and reviewed when assumptions or risk conditions materially change.</w:t>
      </w:r>
    </w:p>
    <w:p>
      <w:pPr>
        <w:spacing w:after="100"/>
      </w:pPr>
      <w:r>
        <w:rPr>
          <w:rFonts w:ascii="Calibri" w:hAnsi="Calibri"/>
          <w:i/>
          <w:color w:val="0284C7"/>
          <w:sz w:val="20"/>
        </w:rPr>
        <w:t xml:space="preserve">[Traceability: ISO/IEC 27001:2022 Clause 6.1.2 • Clause 6.1.3 | Controls: A.5.1, A.5.8]</w:t>
      </w:r>
    </w:p>
    <w:p>
      <w:pPr>
        <w:spacing w:before="240" w:after="80"/>
        <w:rPr>
          <w:rFonts w:ascii="Calibri" w:hAnsi="Calibri"/>
          <w:b/>
          <w:sz w:val="26"/>
          <w:color w:val="1E293B"/>
        </w:rPr>
      </w:pPr>
      <w:r>
        <w:rPr>
          <w:rFonts w:ascii="Calibri" w:hAnsi="Calibri"/>
          <w:b/>
          <w:sz w:val="26"/>
          <w:color w:val="1E293B"/>
        </w:rPr>
        <w:t xml:space="preserve">6.2 Asset ownership and information classification</w:t>
      </w:r>
    </w:p>
    <w:p>
      <w:pPr>
        <w:spacing w:after="100"/>
      </w:pPr>
      <w:r>
        <w:rPr>
          <w:rFonts w:ascii="Calibri" w:hAnsi="Calibri"/>
          <w:color w:val="1E293B"/>
          <w:sz w:val="20"/>
        </w:rPr>
        <w:t xml:space="preserve">In-scope information assets shall have assigned ownership appropriate to their nature and criticality. The organization shall define classification and handling rules, including requirements for access, storage, transmission, sharing, retention and secure disposal. The detailed classification scheme and handling rules shall be maintained in controlled supporting documents.</w:t>
      </w:r>
    </w:p>
    <w:p>
      <w:pPr>
        <w:spacing w:after="100"/>
      </w:pPr>
      <w:r>
        <w:rPr>
          <w:rFonts w:ascii="Calibri" w:hAnsi="Calibri"/>
          <w:i/>
          <w:color w:val="0284C7"/>
          <w:sz w:val="20"/>
        </w:rPr>
        <w:t xml:space="preserve">[Traceability: ISO/IEC 27001:2022 Annex A.5.9 • Annex A.5.10 • Annex A.5.12 | Controls: A.5.9, A.5.10, A.5.12]</w:t>
      </w:r>
    </w:p>
    <w:p>
      <w:pPr>
        <w:spacing w:before="240" w:after="80"/>
        <w:rPr>
          <w:rFonts w:ascii="Calibri" w:hAnsi="Calibri"/>
          <w:b/>
          <w:sz w:val="26"/>
          <w:color w:val="1E293B"/>
        </w:rPr>
      </w:pPr>
      <w:r>
        <w:rPr>
          <w:rFonts w:ascii="Calibri" w:hAnsi="Calibri"/>
          <w:b/>
          <w:sz w:val="26"/>
          <w:color w:val="1E293B"/>
        </w:rPr>
        <w:t xml:space="preserve">6.3 Identity and access management</w:t>
      </w:r>
    </w:p>
    <w:p>
      <w:pPr>
        <w:spacing w:after="100"/>
      </w:pPr>
      <w:r>
        <w:rPr>
          <w:rFonts w:ascii="Calibri" w:hAnsi="Calibri"/>
          <w:color w:val="1E293B"/>
          <w:sz w:val="20"/>
        </w:rPr>
        <w:t xml:space="preserve">Access shall be based on authorized business need and least privilege. Provisioning, modification, privileged access, periodic review and revocation shall follow approved procedures. Authentication requirements, access approval authorities, segregation-of-duties checks and review frequency shall be defined and evidenced. Shared or emergency access shall be subject to explicit controls and monitoring.</w:t>
      </w:r>
    </w:p>
    <w:p>
      <w:pPr>
        <w:spacing w:after="100"/>
      </w:pPr>
      <w:r>
        <w:rPr>
          <w:rFonts w:ascii="Calibri" w:hAnsi="Calibri"/>
          <w:i/>
          <w:color w:val="0284C7"/>
          <w:sz w:val="20"/>
        </w:rPr>
        <w:t xml:space="preserve">[Traceability: ISO/IEC 27001:2022 Annex A.5.15 • Annex A.5.16 • Annex A.5.18 | Controls: A.5.15, A.5.16, A.5.18]</w:t>
      </w:r>
    </w:p>
    <w:p>
      <w:pPr>
        <w:spacing w:before="240" w:after="80"/>
        <w:rPr>
          <w:rFonts w:ascii="Calibri" w:hAnsi="Calibri"/>
          <w:b/>
          <w:sz w:val="26"/>
          <w:color w:val="1E293B"/>
        </w:rPr>
      </w:pPr>
      <w:r>
        <w:rPr>
          <w:rFonts w:ascii="Calibri" w:hAnsi="Calibri"/>
          <w:b/>
          <w:sz w:val="26"/>
          <w:color w:val="1E293B"/>
        </w:rPr>
        <w:t xml:space="preserve">6.4 Secure operation and change</w:t>
      </w:r>
    </w:p>
    <w:p>
      <w:pPr>
        <w:spacing w:after="100"/>
      </w:pPr>
      <w:r>
        <w:rPr>
          <w:rFonts w:ascii="Calibri" w:hAnsi="Calibri"/>
          <w:color w:val="1E293B"/>
          <w:sz w:val="20"/>
        </w:rPr>
        <w:t xml:space="preserve">Systems and services shall be operated and changed under approved procedures proportionate to risk and criticality. The organization shall define requirements for secure configuration, vulnerability management, logging, monitoring, backup, recovery, change authorization and separation of duties where applicable. Exceptions shall be documented and approved before implementation except where an approved emergency process applies.</w:t>
      </w:r>
    </w:p>
    <w:p>
      <w:pPr>
        <w:spacing w:after="100"/>
      </w:pPr>
      <w:r>
        <w:rPr>
          <w:rFonts w:ascii="Calibri" w:hAnsi="Calibri"/>
          <w:i/>
          <w:color w:val="0284C7"/>
          <w:sz w:val="20"/>
        </w:rPr>
        <w:t xml:space="preserve">[Traceability: ISO/IEC 27001:2022 Annex A.8.8 • Annex A.8.9 • Annex A.8.15 • Annex A.8.32 | Controls: A.8.8, A.8.9, A.8.15, A.8.32]</w:t>
      </w:r>
    </w:p>
    <w:p>
      <w:pPr>
        <w:spacing w:before="240" w:after="80"/>
        <w:rPr>
          <w:rFonts w:ascii="Calibri" w:hAnsi="Calibri"/>
          <w:b/>
          <w:sz w:val="26"/>
          <w:color w:val="1E293B"/>
        </w:rPr>
      </w:pPr>
      <w:r>
        <w:rPr>
          <w:rFonts w:ascii="Calibri" w:hAnsi="Calibri"/>
          <w:b/>
          <w:sz w:val="26"/>
          <w:color w:val="1E293B"/>
        </w:rPr>
        <w:t xml:space="preserve">6.5 Incident management</w:t>
      </w:r>
    </w:p>
    <w:p>
      <w:pPr>
        <w:spacing w:after="100"/>
      </w:pPr>
      <w:r>
        <w:rPr>
          <w:rFonts w:ascii="Calibri" w:hAnsi="Calibri"/>
          <w:color w:val="1E293B"/>
          <w:sz w:val="20"/>
        </w:rPr>
        <w:t xml:space="preserve">Suspected information security events shall be reported through designated channels, assessed and escalated under the incident management procedure. The process shall address classification, response authority, evidence preservation, communications, recovery, lessons learned and corrective actions. Any statutory, regulatory or contractual notification requirement and deadline shall be assessed against the actual incident facts and verified applicable obligations.</w:t>
      </w:r>
    </w:p>
    <w:p>
      <w:pPr>
        <w:spacing w:after="100"/>
      </w:pPr>
      <w:r>
        <w:rPr>
          <w:rFonts w:ascii="Calibri" w:hAnsi="Calibri"/>
          <w:i/>
          <w:color w:val="0284C7"/>
          <w:sz w:val="20"/>
        </w:rPr>
        <w:t xml:space="preserve">[Traceability: ISO/IEC 27001:2022 Annex A.5.24 • Annex A.5.25 • Annex A.5.26 | Controls: A.5.24, A.5.25, A.5.26]</w:t>
      </w:r>
    </w:p>
    <w:p>
      <w:pPr>
        <w:spacing w:before="240" w:after="80"/>
        <w:rPr>
          <w:rFonts w:ascii="Calibri" w:hAnsi="Calibri"/>
          <w:b/>
          <w:sz w:val="26"/>
          <w:color w:val="1E293B"/>
        </w:rPr>
      </w:pPr>
      <w:r>
        <w:rPr>
          <w:rFonts w:ascii="Calibri" w:hAnsi="Calibri"/>
          <w:b/>
          <w:sz w:val="26"/>
          <w:color w:val="1E293B"/>
        </w:rPr>
        <w:t xml:space="preserve">6.6 Supplier and third-party security</w:t>
      </w:r>
    </w:p>
    <w:p>
      <w:pPr>
        <w:spacing w:after="100"/>
      </w:pPr>
      <w:r>
        <w:rPr>
          <w:rFonts w:ascii="Calibri" w:hAnsi="Calibri"/>
          <w:color w:val="1E293B"/>
          <w:sz w:val="20"/>
        </w:rPr>
        <w:t xml:space="preserve">Third-party risks shall be assessed according to service criticality, information sensitivity, access, processing activity and dependency. Applicable contractual controls, incident notification, subcontracting, assurance evidence, continuity, access termination and return or deletion of information shall be addressed where relevant.</w:t>
      </w:r>
    </w:p>
    <w:p>
      <w:pPr>
        <w:spacing w:after="100"/>
      </w:pPr>
      <w:r>
        <w:rPr>
          <w:rFonts w:ascii="Calibri" w:hAnsi="Calibri"/>
          <w:i/>
          <w:color w:val="0284C7"/>
          <w:sz w:val="20"/>
        </w:rPr>
        <w:t xml:space="preserve">[Traceability: ISO/IEC 27001:2022 Annex A.5.19 • Annex A.5.20 • Annex A.5.21 | Controls: A.5.19, A.5.20, A.5.21]</w:t>
      </w:r>
    </w:p>
    <w:p>
      <w:pPr>
        <w:spacing w:before="240" w:after="80"/>
        <w:rPr>
          <w:rFonts w:ascii="Calibri" w:hAnsi="Calibri"/>
          <w:b/>
          <w:sz w:val="26"/>
          <w:color w:val="1E293B"/>
        </w:rPr>
      </w:pPr>
      <w:r>
        <w:rPr>
          <w:rFonts w:ascii="Calibri" w:hAnsi="Calibri"/>
          <w:b/>
          <w:sz w:val="26"/>
          <w:color w:val="1E293B"/>
        </w:rPr>
        <w:t xml:space="preserve">6.7 Personnel awareness and responsibilities</w:t>
      </w:r>
    </w:p>
    <w:p>
      <w:pPr>
        <w:spacing w:after="100"/>
      </w:pPr>
      <w:r>
        <w:rPr>
          <w:rFonts w:ascii="Calibri" w:hAnsi="Calibri"/>
          <w:color w:val="1E293B"/>
          <w:sz w:val="20"/>
        </w:rPr>
        <w:t xml:space="preserve">Personnel shall receive information security responsibilities appropriate to their role and shall complete assigned awareness or training activities. Acknowledgement records shall identify the document version and authenticated person where feasible. Acknowledgement alone shall not be treated as proof of comprehension or effective behavior.</w:t>
      </w:r>
    </w:p>
    <w:p>
      <w:pPr>
        <w:spacing w:after="100"/>
      </w:pPr>
      <w:r>
        <w:rPr>
          <w:rFonts w:ascii="Calibri" w:hAnsi="Calibri"/>
          <w:i/>
          <w:color w:val="0284C7"/>
          <w:sz w:val="20"/>
        </w:rPr>
        <w:t xml:space="preserve">[Traceability: ISO/IEC 27001:2022 Clause 7.2 • Clause 7.3 • Annex A.6.3 | Controls: A.6.3]</w:t>
      </w:r>
    </w:p>
    <w:p>
      <w:pPr>
        <w:spacing w:before="240" w:after="80"/>
        <w:rPr>
          <w:rFonts w:ascii="Calibri" w:hAnsi="Calibri"/>
          <w:b/>
          <w:sz w:val="26"/>
          <w:color w:val="1E293B"/>
        </w:rPr>
      </w:pPr>
      <w:r>
        <w:rPr>
          <w:rFonts w:ascii="Calibri" w:hAnsi="Calibri"/>
          <w:b/>
          <w:sz w:val="26"/>
          <w:color w:val="1E293B"/>
        </w:rPr>
        <w:t xml:space="preserve">6.8 Business continuity and resilience</w:t>
      </w:r>
    </w:p>
    <w:p>
      <w:pPr>
        <w:spacing w:after="100"/>
      </w:pPr>
      <w:r>
        <w:rPr>
          <w:rFonts w:ascii="Calibri" w:hAnsi="Calibri"/>
          <w:color w:val="1E293B"/>
          <w:sz w:val="20"/>
        </w:rPr>
        <w:t xml:space="preserve">Continuity and recovery requirements shall be based on business impact, risk and approved recovery objectives. Backup, restoration and continuity arrangements shall be tested at defined intervals, with results, failures, corrective actions and retests recorded.</w:t>
      </w:r>
    </w:p>
    <w:p>
      <w:pPr>
        <w:spacing w:after="100"/>
      </w:pPr>
      <w:r>
        <w:rPr>
          <w:rFonts w:ascii="Calibri" w:hAnsi="Calibri"/>
          <w:i/>
          <w:color w:val="0284C7"/>
          <w:sz w:val="20"/>
        </w:rPr>
        <w:t xml:space="preserve">[Traceability: ISO/IEC 27001:2022 Annex A.5.29 • Annex A.5.30 | Controls: A.5.29, A.5.30]</w:t>
      </w:r>
    </w:p>
    <w:p>
      <w:pPr>
        <w:spacing w:before="240" w:after="80"/>
        <w:rPr>
          <w:rFonts w:ascii="Calibri" w:hAnsi="Calibri"/>
          <w:b/>
          <w:sz w:val="26"/>
          <w:color w:val="1E293B"/>
        </w:rPr>
      </w:pPr>
      <w:r>
        <w:rPr>
          <w:rFonts w:ascii="Calibri" w:hAnsi="Calibri"/>
          <w:b/>
          <w:sz w:val="26"/>
          <w:color w:val="1E293B"/>
        </w:rPr>
        <w:t xml:space="preserve">6.9 Legal, regulatory and contractual obligations</w:t>
      </w:r>
    </w:p>
    <w:p>
      <w:pPr>
        <w:spacing w:after="100"/>
      </w:pPr>
      <w:r>
        <w:rPr>
          <w:rFonts w:ascii="Calibri" w:hAnsi="Calibri"/>
          <w:color w:val="1E293B"/>
          <w:sz w:val="20"/>
        </w:rPr>
        <w:t xml:space="preserve">The organization shall maintain a process to identify, validate, assign ownership to, and periodically review obligations relevant to its services, locations, data, customers and suppliers. Interpretations and applicability decisions shall be recorded. This policy does not itself determine legal applicability.</w:t>
      </w:r>
    </w:p>
    <w:p>
      <w:pPr>
        <w:spacing w:after="100"/>
      </w:pPr>
      <w:r>
        <w:rPr>
          <w:rFonts w:ascii="Calibri" w:hAnsi="Calibri"/>
          <w:i/>
          <w:color w:val="0284C7"/>
          <w:sz w:val="20"/>
        </w:rPr>
        <w:t xml:space="preserve">[Traceability: ISO/IEC 27001:2022 Clause 4.2 • Annex A.5.31 | Controls: A.5.31]</w:t>
      </w:r>
    </w:p>
    <w:p>
      <w:pPr>
        <w:spacing w:before="360" w:after="120"/>
        <w:rPr>
          <w:rFonts w:ascii="Calibri" w:hAnsi="Calibri"/>
          <w:b/>
          <w:sz w:val="32"/>
          <w:color w:val="0F172A"/>
        </w:rPr>
      </w:pPr>
      <w:r>
        <w:rPr>
          <w:rFonts w:ascii="Calibri" w:hAnsi="Calibri"/>
          <w:b/>
          <w:sz w:val="32"/>
          <w:color w:val="0F172A"/>
        </w:rPr>
        <w:t xml:space="preserve">7. Control Implementation and Evidence</w:t>
      </w:r>
    </w:p>
    <w:p>
      <w:pPr>
        <w:spacing w:after="100"/>
      </w:pPr>
      <w:r>
        <w:rPr>
          <w:rFonts w:ascii="Calibri" w:hAnsi="Calibri"/>
          <w:color w:val="1E293B"/>
          <w:sz w:val="20"/>
        </w:rPr>
        <w:t xml:space="preserve">Each applicable control shall have an identified owner, defined implementation approach, expected evidence and a method for evaluating operation where required by the ISMS.</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200"/>
        <w:gridCol w:w="3826"/>
        <w:gridCol w:w="3000"/>
      </w:tblGrid>
      <w:tr>
        <w:trPr>
          <w:tblHeader/>
          <w:cantSplit/>
        </w:trPr>
        <w:tc>
          <w:tcPr>
            <w:tcW w:w="2200" w:type="dxa"/>
            <w:shd w:val="clear" w:color="auto" w:fill="0F172A"/>
          </w:tcPr>
          <w:p>
            <w:r>
              <w:rPr>
                <w:rFonts w:ascii="Calibri" w:hAnsi="Calibri"/>
                <w:b/>
                <w:color w:val="FFFFFF"/>
                <w:sz w:val="18"/>
              </w:rPr>
              <w:t xml:space="preserve">Governance object</w:t>
            </w:r>
          </w:p>
        </w:tc>
        <w:tc>
          <w:tcPr>
            <w:tcW w:w="3826" w:type="dxa"/>
            <w:shd w:val="clear" w:color="auto" w:fill="0F172A"/>
          </w:tcPr>
          <w:p>
            <w:r>
              <w:rPr>
                <w:rFonts w:ascii="Calibri" w:hAnsi="Calibri"/>
                <w:b/>
                <w:color w:val="FFFFFF"/>
                <w:sz w:val="18"/>
              </w:rPr>
              <w:t xml:space="preserve">Minimum expected record</w:t>
            </w:r>
          </w:p>
        </w:tc>
        <w:tc>
          <w:tcPr>
            <w:tcW w:w="3000" w:type="dxa"/>
            <w:shd w:val="clear" w:color="auto" w:fill="0F172A"/>
          </w:tcPr>
          <w:p>
            <w:r>
              <w:rPr>
                <w:rFonts w:ascii="Calibri" w:hAnsi="Calibri"/>
                <w:b/>
                <w:color w:val="FFFFFF"/>
                <w:sz w:val="18"/>
              </w:rPr>
              <w:t xml:space="preserve">Assurance limitation</w:t>
            </w:r>
          </w:p>
        </w:tc>
      </w:tr>
      <w:tr>
        <w:trPr>
          <w:cantSplit/>
        </w:trPr>
        <w:tc>
          <w:tcPr>
            <w:tcW w:w="2200" w:type="dxa"/>
          </w:tcPr>
          <w:p>
            <w:r>
              <w:rPr>
                <w:rFonts w:ascii="Calibri" w:hAnsi="Calibri"/>
                <w:sz w:val="18"/>
                <w:color w:val="1E293B"/>
              </w:rPr>
              <w:t xml:space="preserve">Risk</w:t>
            </w:r>
          </w:p>
        </w:tc>
        <w:tc>
          <w:tcPr>
            <w:tcW w:w="3826" w:type="dxa"/>
          </w:tcPr>
          <w:p>
            <w:r>
              <w:rPr>
                <w:rFonts w:ascii="Calibri" w:hAnsi="Calibri"/>
                <w:sz w:val="18"/>
                <w:color w:val="1E293B"/>
              </w:rPr>
              <w:t xml:space="preserve">Risk ID, scenario, owner, assessment, treatment, acceptance, review date</w:t>
            </w:r>
          </w:p>
        </w:tc>
        <w:tc>
          <w:tcPr>
            <w:tcW w:w="3000" w:type="dxa"/>
          </w:tcPr>
          <w:p>
            <w:r>
              <w:rPr>
                <w:rFonts w:ascii="Calibri" w:hAnsi="Calibri"/>
                <w:sz w:val="18"/>
                <w:color w:val="1E293B"/>
              </w:rPr>
              <w:t xml:space="preserve">A completed register does not by itself prove risks are adequately assessed.</w:t>
            </w:r>
          </w:p>
        </w:tc>
      </w:tr>
      <w:tr>
        <w:trPr>
          <w:cantSplit/>
        </w:trPr>
        <w:tc>
          <w:tcPr>
            <w:tcW w:w="2200" w:type="dxa"/>
            <w:shd w:val="clear" w:color="auto" w:fill="F8FAFC"/>
          </w:tcPr>
          <w:p>
            <w:r>
              <w:rPr>
                <w:rFonts w:ascii="Calibri" w:hAnsi="Calibri"/>
                <w:sz w:val="18"/>
                <w:color w:val="1E293B"/>
              </w:rPr>
              <w:t xml:space="preserve">Control</w:t>
            </w:r>
          </w:p>
        </w:tc>
        <w:tc>
          <w:tcPr>
            <w:tcW w:w="3826" w:type="dxa"/>
            <w:shd w:val="clear" w:color="auto" w:fill="F8FAFC"/>
          </w:tcPr>
          <w:p>
            <w:r>
              <w:rPr>
                <w:rFonts w:ascii="Calibri" w:hAnsi="Calibri"/>
                <w:sz w:val="18"/>
                <w:color w:val="1E293B"/>
              </w:rPr>
              <w:t xml:space="preserve">Control ID, owner, implementation status, procedure, evidence, test result</w:t>
            </w:r>
          </w:p>
        </w:tc>
        <w:tc>
          <w:tcPr>
            <w:tcW w:w="3000" w:type="dxa"/>
            <w:shd w:val="clear" w:color="auto" w:fill="F8FAFC"/>
          </w:tcPr>
          <w:p>
            <w:r>
              <w:rPr>
                <w:rFonts w:ascii="Calibri" w:hAnsi="Calibri"/>
                <w:sz w:val="18"/>
                <w:color w:val="1E293B"/>
              </w:rPr>
              <w:t xml:space="preserve">A declared implementation status is not proof of operating effectiveness.</w:t>
            </w:r>
          </w:p>
        </w:tc>
      </w:tr>
      <w:tr>
        <w:trPr>
          <w:cantSplit/>
        </w:trPr>
        <w:tc>
          <w:tcPr>
            <w:tcW w:w="2200" w:type="dxa"/>
          </w:tcPr>
          <w:p>
            <w:r>
              <w:rPr>
                <w:rFonts w:ascii="Calibri" w:hAnsi="Calibri"/>
                <w:sz w:val="18"/>
                <w:color w:val="1E293B"/>
              </w:rPr>
              <w:t xml:space="preserve">Exception</w:t>
            </w:r>
          </w:p>
        </w:tc>
        <w:tc>
          <w:tcPr>
            <w:tcW w:w="3826" w:type="dxa"/>
          </w:tcPr>
          <w:p>
            <w:r>
              <w:rPr>
                <w:rFonts w:ascii="Calibri" w:hAnsi="Calibri"/>
                <w:sz w:val="18"/>
                <w:color w:val="1E293B"/>
              </w:rPr>
              <w:t xml:space="preserve">Requirement, justification, risk, approver, safeguards, expiry/review, closure</w:t>
            </w:r>
          </w:p>
        </w:tc>
        <w:tc>
          <w:tcPr>
            <w:tcW w:w="3000" w:type="dxa"/>
          </w:tcPr>
          <w:p>
            <w:r>
              <w:rPr>
                <w:rFonts w:ascii="Calibri" w:hAnsi="Calibri"/>
                <w:sz w:val="18"/>
                <w:color w:val="1E293B"/>
              </w:rPr>
              <w:t xml:space="preserve">Approval does not eliminate the underlying risk.</w:t>
            </w:r>
          </w:p>
        </w:tc>
      </w:tr>
      <w:tr>
        <w:trPr>
          <w:cantSplit/>
        </w:trPr>
        <w:tc>
          <w:tcPr>
            <w:tcW w:w="2200" w:type="dxa"/>
            <w:shd w:val="clear" w:color="auto" w:fill="F8FAFC"/>
          </w:tcPr>
          <w:p>
            <w:r>
              <w:rPr>
                <w:rFonts w:ascii="Calibri" w:hAnsi="Calibri"/>
                <w:sz w:val="18"/>
                <w:color w:val="1E293B"/>
              </w:rPr>
              <w:t xml:space="preserve">Incident</w:t>
            </w:r>
          </w:p>
        </w:tc>
        <w:tc>
          <w:tcPr>
            <w:tcW w:w="3826" w:type="dxa"/>
            <w:shd w:val="clear" w:color="auto" w:fill="F8FAFC"/>
          </w:tcPr>
          <w:p>
            <w:r>
              <w:rPr>
                <w:rFonts w:ascii="Calibri" w:hAnsi="Calibri"/>
                <w:sz w:val="18"/>
                <w:color w:val="1E293B"/>
              </w:rPr>
              <w:t xml:space="preserve">Timeline, classification, actions, evidence, decisions, closure and lessons learned</w:t>
            </w:r>
          </w:p>
        </w:tc>
        <w:tc>
          <w:tcPr>
            <w:tcW w:w="3000" w:type="dxa"/>
            <w:shd w:val="clear" w:color="auto" w:fill="F8FAFC"/>
          </w:tcPr>
          <w:p>
            <w:r>
              <w:rPr>
                <w:rFonts w:ascii="Calibri" w:hAnsi="Calibri"/>
                <w:sz w:val="18"/>
                <w:color w:val="1E293B"/>
              </w:rPr>
              <w:t xml:space="preserve">A closed ticket alone does not prove complete response or required notification.</w:t>
            </w:r>
          </w:p>
        </w:tc>
      </w:tr>
      <w:tr>
        <w:trPr>
          <w:cantSplit/>
        </w:trPr>
        <w:tc>
          <w:tcPr>
            <w:tcW w:w="2200" w:type="dxa"/>
          </w:tcPr>
          <w:p>
            <w:r>
              <w:rPr>
                <w:rFonts w:ascii="Calibri" w:hAnsi="Calibri"/>
                <w:sz w:val="18"/>
                <w:color w:val="1E293B"/>
              </w:rPr>
              <w:t xml:space="preserve">Training / acknowledgement</w:t>
            </w:r>
          </w:p>
        </w:tc>
        <w:tc>
          <w:tcPr>
            <w:tcW w:w="3826" w:type="dxa"/>
          </w:tcPr>
          <w:p>
            <w:r>
              <w:rPr>
                <w:rFonts w:ascii="Calibri" w:hAnsi="Calibri"/>
                <w:sz w:val="18"/>
                <w:color w:val="1E293B"/>
              </w:rPr>
              <w:t xml:space="preserve">Person, document version, timestamp, outcome and record integrity</w:t>
            </w:r>
          </w:p>
        </w:tc>
        <w:tc>
          <w:tcPr>
            <w:tcW w:w="3000" w:type="dxa"/>
          </w:tcPr>
          <w:p>
            <w:r>
              <w:rPr>
                <w:rFonts w:ascii="Calibri" w:hAnsi="Calibri"/>
                <w:sz w:val="18"/>
                <w:color w:val="1E293B"/>
              </w:rPr>
              <w:t xml:space="preserve">A record does not prove understanding or compliance.</w:t>
            </w:r>
          </w:p>
        </w:tc>
      </w:tr>
      <w:tr>
        <w:trPr>
          <w:cantSplit/>
        </w:trPr>
        <w:tc>
          <w:tcPr>
            <w:tcW w:w="2200" w:type="dxa"/>
            <w:shd w:val="clear" w:color="auto" w:fill="F8FAFC"/>
          </w:tcPr>
          <w:p>
            <w:r>
              <w:rPr>
                <w:rFonts w:ascii="Calibri" w:hAnsi="Calibri"/>
                <w:sz w:val="18"/>
                <w:color w:val="1E293B"/>
              </w:rPr>
              <w:t xml:space="preserve">Internal audit finding</w:t>
            </w:r>
          </w:p>
        </w:tc>
        <w:tc>
          <w:tcPr>
            <w:tcW w:w="3826" w:type="dxa"/>
            <w:shd w:val="clear" w:color="auto" w:fill="F8FAFC"/>
          </w:tcPr>
          <w:p>
            <w:r>
              <w:rPr>
                <w:rFonts w:ascii="Calibri" w:hAnsi="Calibri"/>
                <w:sz w:val="18"/>
                <w:color w:val="1E293B"/>
              </w:rPr>
              <w:t xml:space="preserve">Criteria, evidence, finding, owner, root cause, action, due date, retest</w:t>
            </w:r>
          </w:p>
        </w:tc>
        <w:tc>
          <w:tcPr>
            <w:tcW w:w="3000" w:type="dxa"/>
            <w:shd w:val="clear" w:color="auto" w:fill="F8FAFC"/>
          </w:tcPr>
          <w:p>
            <w:r>
              <w:rPr>
                <w:rFonts w:ascii="Calibri" w:hAnsi="Calibri"/>
                <w:sz w:val="18"/>
                <w:color w:val="1E293B"/>
              </w:rPr>
              <w:t xml:space="preserve">A corrective action is not effective until appropriately verified.</w:t>
            </w:r>
          </w:p>
        </w:tc>
      </w:tr>
    </w:tbl>
    <w:p>
      <w:pPr>
        <w:spacing w:before="360" w:after="120"/>
        <w:rPr>
          <w:rFonts w:ascii="Calibri" w:hAnsi="Calibri"/>
          <w:b/>
          <w:sz w:val="32"/>
          <w:color w:val="0F172A"/>
        </w:rPr>
      </w:pPr>
      <w:r>
        <w:rPr>
          <w:rFonts w:ascii="Calibri" w:hAnsi="Calibri"/>
          <w:b/>
          <w:sz w:val="32"/>
          <w:color w:val="0F172A"/>
        </w:rPr>
        <w:t xml:space="preserve">Exceptions and Risk Acceptance</w:t>
      </w:r>
    </w:p>
    <w:p>
      <w:pPr>
        <w:spacing w:after="100"/>
      </w:pPr>
      <w:r>
        <w:rPr>
          <w:rFonts w:ascii="Calibri" w:hAnsi="Calibri"/>
          <w:color w:val="1E293B"/>
          <w:sz w:val="20"/>
        </w:rPr>
        <w:t xml:space="preserve">An exception request shall identify the requirement and affected scope, business rationale, risk assessment, compensating controls, accountable owner, authorized approver, start and expiry/review dates, monitoring arrangements and closure criteria. The requester shall not approve their own exception where segregation of duties is required. Overdue exceptions shall be escalated according to the approved governance process.</w:t>
      </w:r>
    </w:p>
    <w:p>
      <w:pPr>
        <w:spacing w:before="360" w:after="120"/>
        <w:rPr>
          <w:rFonts w:ascii="Calibri" w:hAnsi="Calibri"/>
          <w:b/>
          <w:sz w:val="32"/>
          <w:color w:val="0F172A"/>
        </w:rPr>
      </w:pPr>
      <w:r>
        <w:rPr>
          <w:rFonts w:ascii="Calibri" w:hAnsi="Calibri"/>
          <w:b/>
          <w:sz w:val="32"/>
          <w:color w:val="0F172A"/>
        </w:rPr>
        <w:t xml:space="preserve">Monitoring, Audit and Management Review</w:t>
      </w:r>
    </w:p>
    <w:p>
      <w:pPr>
        <w:spacing w:after="100"/>
      </w:pPr>
      <w:r>
        <w:rPr>
          <w:rFonts w:ascii="Calibri" w:hAnsi="Calibri"/>
          <w:color w:val="1E293B"/>
          <w:sz w:val="20"/>
        </w:rPr>
        <w:t xml:space="preserve">The organization shall define measures that support evaluation of ISMS performance and control operation. Internal audits shall be planned using defined criteria, scope, frequency and impartiality safeguards. Findings shall be recorded and addressed through corrective action. Management review shall consider relevant changes, audit results, risk status, objective performance, incidents, nonconformities, interested-party feedback, resources and improvement opportunities.</w:t>
      </w:r>
    </w:p>
    <w:p>
      <w:pPr>
        <w:spacing w:before="360" w:after="120"/>
        <w:rPr>
          <w:rFonts w:ascii="Calibri" w:hAnsi="Calibri"/>
          <w:b/>
          <w:sz w:val="32"/>
          <w:color w:val="0F172A"/>
        </w:rPr>
      </w:pPr>
      <w:r>
        <w:rPr>
          <w:rFonts w:ascii="Calibri" w:hAnsi="Calibri"/>
          <w:b/>
          <w:sz w:val="32"/>
          <w:color w:val="0F172A"/>
        </w:rPr>
        <w:t xml:space="preserve">Nonconformity and Continual Improvement</w:t>
      </w:r>
    </w:p>
    <w:p>
      <w:pPr>
        <w:spacing w:after="100"/>
      </w:pPr>
      <w:r>
        <w:rPr>
          <w:rFonts w:ascii="Calibri" w:hAnsi="Calibri"/>
          <w:color w:val="1E293B"/>
          <w:sz w:val="20"/>
        </w:rPr>
        <w:t xml:space="preserve">When a nonconformity occurs, the responsible owner shall contain or correct the issue as appropriate, assess consequences, determine root cause where warranted, implement proportionate corrective action, and evaluate effectiveness. Closure shall be supported by evidence and independent retesting where required. Recurring issues shall be escalated for systemic review.</w:t>
      </w:r>
    </w:p>
    <w:p>
      <w:pPr>
        <w:spacing w:before="360" w:after="120"/>
        <w:rPr>
          <w:rFonts w:ascii="Calibri" w:hAnsi="Calibri"/>
          <w:b/>
          <w:sz w:val="32"/>
          <w:color w:val="0F172A"/>
        </w:rPr>
      </w:pPr>
      <w:r>
        <w:rPr>
          <w:rFonts w:ascii="Calibri" w:hAnsi="Calibri"/>
          <w:b/>
          <w:sz w:val="32"/>
          <w:color w:val="0F172A"/>
        </w:rPr>
        <w:t xml:space="preserve">Communication, Publication and Enforcement</w:t>
      </w:r>
    </w:p>
    <w:p>
      <w:pPr>
        <w:spacing w:after="100"/>
      </w:pPr>
      <w:r>
        <w:rPr>
          <w:rFonts w:ascii="Calibri" w:hAnsi="Calibri"/>
          <w:color w:val="1E293B"/>
          <w:sz w:val="20"/>
        </w:rPr>
        <w:t xml:space="preserve">The document owner shall ensure the current approved version is communicated to relevant interested parties and made accessible according to classification and need. Only the controlled published version is authoritative.</w:t>
      </w:r>
    </w:p>
    <w:p>
      <w:pPr>
        <w:spacing w:before="360" w:after="120"/>
        <w:rPr>
          <w:rFonts w:ascii="Calibri" w:hAnsi="Calibri"/>
          <w:b/>
          <w:sz w:val="32"/>
          <w:color w:val="0F172A"/>
        </w:rPr>
      </w:pPr>
      <w:r>
        <w:rPr>
          <w:rFonts w:ascii="Calibri" w:hAnsi="Calibri"/>
          <w:b/>
          <w:sz w:val="32"/>
          <w:color w:val="0F172A"/>
        </w:rPr>
        <w:t xml:space="preserve">Related Controlled Documents &amp; Systems</w:t>
      </w:r>
    </w:p>
    <w:p>
      <w:pPr>
        <w:spacing w:after="100"/>
      </w:pPr>
      <w:r>
        <w:rPr>
          <w:rFonts w:ascii="Calibri" w:hAnsi="Calibri"/>
          <w:color w:val="1E293B"/>
          <w:sz w:val="20"/>
        </w:rPr>
        <w:t xml:space="preserve">• ISMS Scope Statement and ISMS objectives</w:t>
      </w:r>
    </w:p>
    <w:p>
      <w:pPr>
        <w:spacing w:after="100"/>
      </w:pPr>
      <w:r>
        <w:rPr>
          <w:rFonts w:ascii="Calibri" w:hAnsi="Calibri"/>
          <w:color w:val="1E293B"/>
          <w:sz w:val="20"/>
        </w:rPr>
        <w:t xml:space="preserve">• Risk Assessment and Risk Treatment Methodology</w:t>
      </w:r>
    </w:p>
    <w:p>
      <w:pPr>
        <w:spacing w:after="100"/>
      </w:pPr>
      <w:r>
        <w:rPr>
          <w:rFonts w:ascii="Calibri" w:hAnsi="Calibri"/>
          <w:color w:val="1E293B"/>
          <w:sz w:val="20"/>
        </w:rPr>
        <w:t xml:space="preserve">• Statement of Applicability and Risk Treatment Plan</w:t>
      </w:r>
    </w:p>
    <w:p>
      <w:pPr>
        <w:spacing w:after="100"/>
      </w:pPr>
      <w:r>
        <w:rPr>
          <w:rFonts w:ascii="Calibri" w:hAnsi="Calibri"/>
          <w:color w:val="1E293B"/>
          <w:sz w:val="20"/>
        </w:rPr>
        <w:t xml:space="preserve">• Asset Inventory and Information Classification Standard</w:t>
      </w:r>
    </w:p>
    <w:p>
      <w:pPr>
        <w:spacing w:after="100"/>
      </w:pPr>
      <w:r>
        <w:rPr>
          <w:rFonts w:ascii="Calibri" w:hAnsi="Calibri"/>
          <w:color w:val="1E293B"/>
          <w:sz w:val="20"/>
        </w:rPr>
        <w:t xml:space="preserve">• Identity and Access Management Policy / Procedures</w:t>
      </w:r>
    </w:p>
    <w:p>
      <w:pPr>
        <w:spacing w:after="100"/>
      </w:pPr>
      <w:r>
        <w:rPr>
          <w:rFonts w:ascii="Calibri" w:hAnsi="Calibri"/>
          <w:color w:val="1E293B"/>
          <w:sz w:val="20"/>
        </w:rPr>
        <w:t xml:space="preserve">• Incident Management Procedure</w:t>
      </w:r>
    </w:p>
    <w:p>
      <w:pPr>
        <w:spacing w:after="100"/>
      </w:pPr>
      <w:r>
        <w:rPr>
          <w:rFonts w:ascii="Calibri" w:hAnsi="Calibri"/>
          <w:color w:val="1E293B"/>
          <w:sz w:val="20"/>
        </w:rPr>
        <w:t xml:space="preserve">• Supplier Security and Third-Party Risk Procedure</w:t>
      </w:r>
    </w:p>
    <w:p>
      <w:pPr>
        <w:spacing w:after="100"/>
      </w:pPr>
      <w:r>
        <w:rPr>
          <w:rFonts w:ascii="Calibri" w:hAnsi="Calibri"/>
          <w:color w:val="1E293B"/>
          <w:sz w:val="20"/>
        </w:rPr>
        <w:t xml:space="preserve">• Business Continuity and Disaster Recovery Plans</w:t>
      </w:r>
    </w:p>
    <w:p>
      <w:pPr>
        <w:spacing w:after="100"/>
      </w:pPr>
      <w:r>
        <w:rPr>
          <w:rFonts w:ascii="Calibri" w:hAnsi="Calibri"/>
          <w:color w:val="1E293B"/>
          <w:sz w:val="20"/>
        </w:rPr>
        <w:t xml:space="preserve">• Internal Audit Programme and Corrective Action Procedure</w:t>
      </w:r>
    </w:p>
    <w:p>
      <w:pPr>
        <w:spacing w:after="100"/>
      </w:pPr>
      <w:r>
        <w:rPr>
          <w:rFonts w:ascii="Calibri" w:hAnsi="Calibri"/>
          <w:color w:val="1E293B"/>
          <w:sz w:val="20"/>
        </w:rPr>
        <w:t xml:space="preserve">• Legal, Regulatory and Contractual Obligations Register</w:t>
      </w:r>
    </w:p>
    <w:p>
      <w:pPr>
        <w:spacing w:before="360" w:after="120"/>
        <w:rPr>
          <w:rFonts w:ascii="Calibri" w:hAnsi="Calibri"/>
          <w:b/>
          <w:sz w:val="32"/>
          <w:color w:val="0F172A"/>
        </w:rPr>
      </w:pPr>
      <w:r>
        <w:rPr>
          <w:rFonts w:ascii="Calibri" w:hAnsi="Calibri"/>
          <w:b/>
          <w:sz w:val="32"/>
          <w:color w:val="0F172A"/>
        </w:rPr>
        <w:t xml:space="preserve">Document Review and Change Control</w:t>
      </w:r>
    </w:p>
    <w:p>
      <w:pPr>
        <w:spacing w:after="100"/>
      </w:pPr>
      <w:r>
        <w:rPr>
          <w:rFonts w:ascii="Calibri" w:hAnsi="Calibri"/>
          <w:color w:val="1E293B"/>
          <w:sz w:val="20"/>
        </w:rPr>
        <w:t xml:space="preserve">The owner shall review this policy at the approved interval and upon material changes in organizational scope, services, technology, threat environment, risk, incidents, audit findings or applicable obligations. Revisions shall follow controlled review and approval. Prior published versions and their approval records shall be retained according to the records schedule and protected from unauthorized alteration.</w:t>
      </w:r>
    </w:p>
    <w:p>
      <w:pPr>
        <w:spacing w:before="360" w:after="120"/>
        <w:rPr>
          <w:rFonts w:ascii="Calibri" w:hAnsi="Calibri"/>
          <w:b/>
          <w:sz w:val="32"/>
          <w:color w:val="0F172A"/>
        </w:rPr>
      </w:pPr>
      <w:r>
        <w:rPr>
          <w:rFonts w:ascii="Calibri" w:hAnsi="Calibri"/>
          <w:b/>
          <w:sz w:val="32"/>
          <w:color w:val="0F172A"/>
        </w:rPr>
        <w:t xml:space="preserve">Appendix A — Approval Record</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200"/>
        <w:gridCol w:w="2000"/>
        <w:gridCol w:w="1600"/>
        <w:gridCol w:w="1400"/>
        <w:gridCol w:w="1826"/>
      </w:tblGrid>
      <w:tr>
        <w:trPr>
          <w:tblHeader/>
          <w:cantSplit/>
        </w:trPr>
        <w:tc>
          <w:tcPr>
            <w:tcW w:w="2200" w:type="dxa"/>
            <w:shd w:val="clear" w:color="auto" w:fill="0F172A"/>
          </w:tcPr>
          <w:p>
            <w:r>
              <w:rPr>
                <w:rFonts w:ascii="Calibri" w:hAnsi="Calibri"/>
                <w:b/>
                <w:color w:val="FFFFFF"/>
                <w:sz w:val="18"/>
              </w:rPr>
              <w:t xml:space="preserve">Role</w:t>
            </w:r>
          </w:p>
        </w:tc>
        <w:tc>
          <w:tcPr>
            <w:tcW w:w="2000" w:type="dxa"/>
            <w:shd w:val="clear" w:color="auto" w:fill="0F172A"/>
          </w:tcPr>
          <w:p>
            <w:r>
              <w:rPr>
                <w:rFonts w:ascii="Calibri" w:hAnsi="Calibri"/>
                <w:b/>
                <w:color w:val="FFFFFF"/>
                <w:sz w:val="18"/>
              </w:rPr>
              <w:t xml:space="preserve">Name / identity</w:t>
            </w:r>
          </w:p>
        </w:tc>
        <w:tc>
          <w:tcPr>
            <w:tcW w:w="1600" w:type="dxa"/>
            <w:shd w:val="clear" w:color="auto" w:fill="0F172A"/>
          </w:tcPr>
          <w:p>
            <w:r>
              <w:rPr>
                <w:rFonts w:ascii="Calibri" w:hAnsi="Calibri"/>
                <w:b/>
                <w:color w:val="FFFFFF"/>
                <w:sz w:val="18"/>
              </w:rPr>
              <w:t xml:space="preserve">Decision</w:t>
            </w:r>
          </w:p>
        </w:tc>
        <w:tc>
          <w:tcPr>
            <w:tcW w:w="1400" w:type="dxa"/>
            <w:shd w:val="clear" w:color="auto" w:fill="0F172A"/>
          </w:tcPr>
          <w:p>
            <w:r>
              <w:rPr>
                <w:rFonts w:ascii="Calibri" w:hAnsi="Calibri"/>
                <w:b/>
                <w:color w:val="FFFFFF"/>
                <w:sz w:val="18"/>
              </w:rPr>
              <w:t xml:space="preserve">Date</w:t>
            </w:r>
          </w:p>
        </w:tc>
        <w:tc>
          <w:tcPr>
            <w:tcW w:w="1826" w:type="dxa"/>
            <w:shd w:val="clear" w:color="auto" w:fill="0F172A"/>
          </w:tcPr>
          <w:p>
            <w:r>
              <w:rPr>
                <w:rFonts w:ascii="Calibri" w:hAnsi="Calibri"/>
                <w:b/>
                <w:color w:val="FFFFFF"/>
                <w:sz w:val="18"/>
              </w:rPr>
              <w:t xml:space="preserve">Evidence reference</w:t>
            </w:r>
          </w:p>
        </w:tc>
      </w:tr>
      <w:tr>
        <w:trPr>
          <w:cantSplit/>
        </w:trPr>
        <w:tc>
          <w:tcPr>
            <w:tcW w:w="2200" w:type="dxa"/>
          </w:tcPr>
          <w:p>
            <w:r>
              <w:rPr>
                <w:rFonts w:ascii="Calibri" w:hAnsi="Calibri"/>
                <w:sz w:val="18"/>
                <w:color w:val="1E293B"/>
              </w:rPr>
              <w:t xml:space="preserve">Policy owner</w:t>
            </w:r>
          </w:p>
        </w:tc>
        <w:tc>
          <w:tcPr>
            <w:tcW w:w="2000" w:type="dxa"/>
          </w:tcPr>
          <w:p>
            <w:r>
              <w:rPr>
                <w:rFonts w:ascii="Calibri" w:hAnsi="Calibri"/>
                <w:sz w:val="18"/>
                <w:color w:val="1E293B"/>
              </w:rPr>
              <w:t xml:space="preserve">To be assigned</w:t>
            </w:r>
          </w:p>
        </w:tc>
        <w:tc>
          <w:tcPr>
            <w:tcW w:w="1600" w:type="dxa"/>
          </w:tcPr>
          <w:p>
            <w:r>
              <w:rPr>
                <w:rFonts w:ascii="Calibri" w:hAnsi="Calibri"/>
                <w:sz w:val="18"/>
                <w:color w:val="1E293B"/>
              </w:rPr>
              <w:t xml:space="preserve">Review pending</w:t>
            </w:r>
          </w:p>
        </w:tc>
        <w:tc>
          <w:tcPr>
            <w:tcW w:w="1400" w:type="dxa"/>
          </w:tcPr>
          <w:p>
            <w:r>
              <w:rPr>
                <w:rFonts w:ascii="Calibri" w:hAnsi="Calibri"/>
                <w:sz w:val="18"/>
                <w:color w:val="1E293B"/>
              </w:rPr>
              <w:t xml:space="preserve">Not assigned</w:t>
            </w:r>
          </w:p>
        </w:tc>
        <w:tc>
          <w:tcPr>
            <w:tcW w:w="1826" w:type="dxa"/>
          </w:tcPr>
          <w:p>
            <w:r>
              <w:rPr>
                <w:rFonts w:ascii="Calibri" w:hAnsi="Calibri"/>
                <w:sz w:val="18"/>
                <w:color w:val="1E293B"/>
              </w:rPr>
              <w:t xml:space="preserve">Not assigned</w:t>
            </w:r>
          </w:p>
        </w:tc>
      </w:tr>
      <w:tr>
        <w:trPr>
          <w:cantSplit/>
        </w:trPr>
        <w:tc>
          <w:tcPr>
            <w:tcW w:w="2200" w:type="dxa"/>
            <w:shd w:val="clear" w:color="auto" w:fill="F8FAFC"/>
          </w:tcPr>
          <w:p>
            <w:r>
              <w:rPr>
                <w:rFonts w:ascii="Calibri" w:hAnsi="Calibri"/>
                <w:sz w:val="18"/>
                <w:color w:val="1E293B"/>
              </w:rPr>
              <w:t xml:space="preserve">Security / risk reviewer</w:t>
            </w:r>
          </w:p>
        </w:tc>
        <w:tc>
          <w:tcPr>
            <w:tcW w:w="2000" w:type="dxa"/>
            <w:shd w:val="clear" w:color="auto" w:fill="F8FAFC"/>
          </w:tcPr>
          <w:p>
            <w:r>
              <w:rPr>
                <w:rFonts w:ascii="Calibri" w:hAnsi="Calibri"/>
                <w:sz w:val="18"/>
                <w:color w:val="1E293B"/>
              </w:rPr>
              <w:t xml:space="preserve">To be assigned</w:t>
            </w:r>
          </w:p>
        </w:tc>
        <w:tc>
          <w:tcPr>
            <w:tcW w:w="1600" w:type="dxa"/>
            <w:shd w:val="clear" w:color="auto" w:fill="F8FAFC"/>
          </w:tcPr>
          <w:p>
            <w:r>
              <w:rPr>
                <w:rFonts w:ascii="Calibri" w:hAnsi="Calibri"/>
                <w:sz w:val="18"/>
                <w:color w:val="1E293B"/>
              </w:rPr>
              <w:t xml:space="preserve">Review pending</w:t>
            </w:r>
          </w:p>
        </w:tc>
        <w:tc>
          <w:tcPr>
            <w:tcW w:w="1400" w:type="dxa"/>
            <w:shd w:val="clear" w:color="auto" w:fill="F8FAFC"/>
          </w:tcPr>
          <w:p>
            <w:r>
              <w:rPr>
                <w:rFonts w:ascii="Calibri" w:hAnsi="Calibri"/>
                <w:sz w:val="18"/>
                <w:color w:val="1E293B"/>
              </w:rPr>
              <w:t xml:space="preserve">Not assigned</w:t>
            </w:r>
          </w:p>
        </w:tc>
        <w:tc>
          <w:tcPr>
            <w:tcW w:w="1826" w:type="dxa"/>
            <w:shd w:val="clear" w:color="auto" w:fill="F8FAFC"/>
          </w:tcPr>
          <w:p>
            <w:r>
              <w:rPr>
                <w:rFonts w:ascii="Calibri" w:hAnsi="Calibri"/>
                <w:sz w:val="18"/>
                <w:color w:val="1E293B"/>
              </w:rPr>
              <w:t xml:space="preserve">Not assigned</w:t>
            </w:r>
          </w:p>
        </w:tc>
      </w:tr>
      <w:tr>
        <w:trPr>
          <w:cantSplit/>
        </w:trPr>
        <w:tc>
          <w:tcPr>
            <w:tcW w:w="2200" w:type="dxa"/>
          </w:tcPr>
          <w:p>
            <w:r>
              <w:rPr>
                <w:rFonts w:ascii="Calibri" w:hAnsi="Calibri"/>
                <w:sz w:val="18"/>
                <w:color w:val="1E293B"/>
              </w:rPr>
              <w:t xml:space="preserve">Executive approver</w:t>
            </w:r>
          </w:p>
        </w:tc>
        <w:tc>
          <w:tcPr>
            <w:tcW w:w="2000" w:type="dxa"/>
          </w:tcPr>
          <w:p>
            <w:r>
              <w:rPr>
                <w:rFonts w:ascii="Calibri" w:hAnsi="Calibri"/>
                <w:sz w:val="18"/>
                <w:color w:val="1E293B"/>
              </w:rPr>
              <w:t xml:space="preserve">Authorized person to be assigned</w:t>
            </w:r>
          </w:p>
        </w:tc>
        <w:tc>
          <w:tcPr>
            <w:tcW w:w="1600" w:type="dxa"/>
          </w:tcPr>
          <w:p>
            <w:r>
              <w:rPr>
                <w:rFonts w:ascii="Calibri" w:hAnsi="Calibri"/>
                <w:sz w:val="18"/>
                <w:color w:val="1E293B"/>
              </w:rPr>
              <w:t xml:space="preserve">Approval pending</w:t>
            </w:r>
          </w:p>
        </w:tc>
        <w:tc>
          <w:tcPr>
            <w:tcW w:w="1400" w:type="dxa"/>
          </w:tcPr>
          <w:p>
            <w:r>
              <w:rPr>
                <w:rFonts w:ascii="Calibri" w:hAnsi="Calibri"/>
                <w:sz w:val="18"/>
                <w:color w:val="1E293B"/>
              </w:rPr>
              <w:t xml:space="preserve">Not assigned</w:t>
            </w:r>
          </w:p>
        </w:tc>
        <w:tc>
          <w:tcPr>
            <w:tcW w:w="1826" w:type="dxa"/>
          </w:tcPr>
          <w:p>
            <w:r>
              <w:rPr>
                <w:rFonts w:ascii="Calibri" w:hAnsi="Calibri"/>
                <w:sz w:val="18"/>
                <w:color w:val="1E293B"/>
              </w:rPr>
              <w:t xml:space="preserve">Not assigned</w:t>
            </w:r>
          </w:p>
        </w:tc>
      </w:tr>
    </w:tbl>
    <w:p>
      <w:pPr>
        <w:spacing w:before="360" w:after="120"/>
        <w:rPr>
          <w:rFonts w:ascii="Calibri" w:hAnsi="Calibri"/>
          <w:b/>
          <w:sz w:val="32"/>
          <w:color w:val="0F172A"/>
        </w:rPr>
      </w:pPr>
      <w:r>
        <w:rPr>
          <w:rFonts w:ascii="Calibri" w:hAnsi="Calibri"/>
          <w:b/>
          <w:sz w:val="32"/>
          <w:color w:val="0F172A"/>
        </w:rPr>
        <w:t xml:space="preserve">Appendix C — Pre-Publication Tailoring Checklist</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1600"/>
        <w:gridCol w:w="5626"/>
        <w:gridCol w:w="1800"/>
      </w:tblGrid>
      <w:tr>
        <w:trPr>
          <w:tblHeader/>
          <w:cantSplit/>
        </w:trPr>
        <w:tc>
          <w:tcPr>
            <w:tcW w:w="1600" w:type="dxa"/>
            <w:shd w:val="clear" w:color="auto" w:fill="0F172A"/>
          </w:tcPr>
          <w:p>
            <w:r>
              <w:rPr>
                <w:rFonts w:ascii="Calibri" w:hAnsi="Calibri"/>
                <w:b/>
                <w:color w:val="FFFFFF"/>
                <w:sz w:val="18"/>
              </w:rPr>
              <w:t xml:space="preserve">Checklist ID</w:t>
            </w:r>
          </w:p>
        </w:tc>
        <w:tc>
          <w:tcPr>
            <w:tcW w:w="5626" w:type="dxa"/>
            <w:shd w:val="clear" w:color="auto" w:fill="0F172A"/>
          </w:tcPr>
          <w:p>
            <w:r>
              <w:rPr>
                <w:rFonts w:ascii="Calibri" w:hAnsi="Calibri"/>
                <w:b/>
                <w:color w:val="FFFFFF"/>
                <w:sz w:val="18"/>
              </w:rPr>
              <w:t xml:space="preserve">Description</w:t>
            </w:r>
          </w:p>
        </w:tc>
        <w:tc>
          <w:tcPr>
            <w:tcW w:w="1800" w:type="dxa"/>
            <w:shd w:val="clear" w:color="auto" w:fill="0F172A"/>
          </w:tcPr>
          <w:p>
            <w:r>
              <w:rPr>
                <w:rFonts w:ascii="Calibri" w:hAnsi="Calibri"/>
                <w:b/>
                <w:color w:val="FFFFFF"/>
                <w:sz w:val="18"/>
              </w:rPr>
              <w:t xml:space="preserve">Status</w:t>
            </w:r>
          </w:p>
        </w:tc>
      </w:tr>
      <w:tr>
        <w:trPr>
          <w:cantSplit/>
        </w:trPr>
        <w:tc>
          <w:tcPr>
            <w:tcW w:w="1600" w:type="dxa"/>
          </w:tcPr>
          <w:p>
            <w:r>
              <w:rPr>
                <w:rFonts w:ascii="Calibri" w:hAnsi="Calibri"/>
                <w:sz w:val="18"/>
                <w:color w:val="1E293B"/>
              </w:rPr>
              <w:t xml:space="preserve">CHK-01</w:t>
            </w:r>
          </w:p>
        </w:tc>
        <w:tc>
          <w:tcPr>
            <w:tcW w:w="5626" w:type="dxa"/>
          </w:tcPr>
          <w:p>
            <w:r>
              <w:rPr>
                <w:rFonts w:ascii="Calibri" w:hAnsi="Calibri"/>
                <w:sz w:val="18"/>
                <w:color w:val="1E293B"/>
              </w:rPr>
              <w:t xml:space="preserve">Confirm legal entity and ISMS scope.</w:t>
            </w:r>
          </w:p>
        </w:tc>
        <w:tc>
          <w:tcPr>
            <w:tcW w:w="1800" w:type="dxa"/>
          </w:tcPr>
          <w:p>
            <w:r>
              <w:rPr>
                <w:rFonts w:ascii="Calibri" w:hAnsi="Calibri"/>
                <w:sz w:val="18"/>
                <w:color w:val="1E293B"/>
              </w:rPr>
              <w:t xml:space="preserve">[ ] Pending Tailoring</w:t>
            </w:r>
          </w:p>
        </w:tc>
      </w:tr>
      <w:tr>
        <w:trPr>
          <w:cantSplit/>
        </w:trPr>
        <w:tc>
          <w:tcPr>
            <w:tcW w:w="1600" w:type="dxa"/>
            <w:shd w:val="clear" w:color="auto" w:fill="F8FAFC"/>
          </w:tcPr>
          <w:p>
            <w:r>
              <w:rPr>
                <w:rFonts w:ascii="Calibri" w:hAnsi="Calibri"/>
                <w:sz w:val="18"/>
                <w:color w:val="1E293B"/>
              </w:rPr>
              <w:t xml:space="preserve">CHK-02</w:t>
            </w:r>
          </w:p>
        </w:tc>
        <w:tc>
          <w:tcPr>
            <w:tcW w:w="5626" w:type="dxa"/>
            <w:shd w:val="clear" w:color="auto" w:fill="F8FAFC"/>
          </w:tcPr>
          <w:p>
            <w:r>
              <w:rPr>
                <w:rFonts w:ascii="Calibri" w:hAnsi="Calibri"/>
                <w:sz w:val="18"/>
                <w:color w:val="1E293B"/>
              </w:rPr>
              <w:t xml:space="preserve">Map role titles to approved organization chart and delegations.</w:t>
            </w:r>
          </w:p>
        </w:tc>
        <w:tc>
          <w:tcPr>
            <w:tcW w:w="1800" w:type="dxa"/>
            <w:shd w:val="clear" w:color="auto" w:fill="F8FAFC"/>
          </w:tcPr>
          <w:p>
            <w:r>
              <w:rPr>
                <w:rFonts w:ascii="Calibri" w:hAnsi="Calibri"/>
                <w:sz w:val="18"/>
                <w:color w:val="1E293B"/>
              </w:rPr>
              <w:t xml:space="preserve">[ ] Pending Tailoring</w:t>
            </w:r>
          </w:p>
        </w:tc>
      </w:tr>
      <w:tr>
        <w:trPr>
          <w:cantSplit/>
        </w:trPr>
        <w:tc>
          <w:tcPr>
            <w:tcW w:w="1600" w:type="dxa"/>
          </w:tcPr>
          <w:p>
            <w:r>
              <w:rPr>
                <w:rFonts w:ascii="Calibri" w:hAnsi="Calibri"/>
                <w:sz w:val="18"/>
                <w:color w:val="1E293B"/>
              </w:rPr>
              <w:t xml:space="preserve">CHK-03</w:t>
            </w:r>
          </w:p>
        </w:tc>
        <w:tc>
          <w:tcPr>
            <w:tcW w:w="5626" w:type="dxa"/>
          </w:tcPr>
          <w:p>
            <w:r>
              <w:rPr>
                <w:rFonts w:ascii="Calibri" w:hAnsi="Calibri"/>
                <w:sz w:val="18"/>
                <w:color w:val="1E293B"/>
              </w:rPr>
              <w:t xml:space="preserve">Validate the applicable requirements and framework mappings against authoritative sources.</w:t>
            </w:r>
          </w:p>
        </w:tc>
        <w:tc>
          <w:tcPr>
            <w:tcW w:w="1800" w:type="dxa"/>
          </w:tcPr>
          <w:p>
            <w:r>
              <w:rPr>
                <w:rFonts w:ascii="Calibri" w:hAnsi="Calibri"/>
                <w:sz w:val="18"/>
                <w:color w:val="1E293B"/>
              </w:rPr>
              <w:t xml:space="preserve">[ ] Pending Tailoring</w:t>
            </w:r>
          </w:p>
        </w:tc>
      </w:tr>
      <w:tr>
        <w:trPr>
          <w:cantSplit/>
        </w:trPr>
        <w:tc>
          <w:tcPr>
            <w:tcW w:w="1600" w:type="dxa"/>
            <w:shd w:val="clear" w:color="auto" w:fill="F8FAFC"/>
          </w:tcPr>
          <w:p>
            <w:r>
              <w:rPr>
                <w:rFonts w:ascii="Calibri" w:hAnsi="Calibri"/>
                <w:sz w:val="18"/>
                <w:color w:val="1E293B"/>
              </w:rPr>
              <w:t xml:space="preserve">CHK-04</w:t>
            </w:r>
          </w:p>
        </w:tc>
        <w:tc>
          <w:tcPr>
            <w:tcW w:w="5626" w:type="dxa"/>
            <w:shd w:val="clear" w:color="auto" w:fill="F8FAFC"/>
          </w:tcPr>
          <w:p>
            <w:r>
              <w:rPr>
                <w:rFonts w:ascii="Calibri" w:hAnsi="Calibri"/>
                <w:sz w:val="18"/>
                <w:color w:val="1E293B"/>
              </w:rPr>
              <w:t xml:space="preserve">Link to actual procedures, registers, systems and evidence locations.</w:t>
            </w:r>
          </w:p>
        </w:tc>
        <w:tc>
          <w:tcPr>
            <w:tcW w:w="1800" w:type="dxa"/>
            <w:shd w:val="clear" w:color="auto" w:fill="F8FAFC"/>
          </w:tcPr>
          <w:p>
            <w:r>
              <w:rPr>
                <w:rFonts w:ascii="Calibri" w:hAnsi="Calibri"/>
                <w:sz w:val="18"/>
                <w:color w:val="1E293B"/>
              </w:rPr>
              <w:t xml:space="preserve">[ ] Pending Tailoring</w:t>
            </w:r>
          </w:p>
        </w:tc>
      </w:tr>
      <w:tr>
        <w:trPr>
          <w:cantSplit/>
        </w:trPr>
        <w:tc>
          <w:tcPr>
            <w:tcW w:w="1600" w:type="dxa"/>
          </w:tcPr>
          <w:p>
            <w:r>
              <w:rPr>
                <w:rFonts w:ascii="Calibri" w:hAnsi="Calibri"/>
                <w:sz w:val="18"/>
                <w:color w:val="1E293B"/>
              </w:rPr>
              <w:t xml:space="preserve">CHK-05</w:t>
            </w:r>
          </w:p>
        </w:tc>
        <w:tc>
          <w:tcPr>
            <w:tcW w:w="5626" w:type="dxa"/>
          </w:tcPr>
          <w:p>
            <w:r>
              <w:rPr>
                <w:rFonts w:ascii="Calibri" w:hAnsi="Calibri"/>
                <w:sz w:val="18"/>
                <w:color w:val="1E293B"/>
              </w:rPr>
              <w:t xml:space="preserve">Define measurable objectives, owners, review frequencies and escalation routes.</w:t>
            </w:r>
          </w:p>
        </w:tc>
        <w:tc>
          <w:tcPr>
            <w:tcW w:w="1800" w:type="dxa"/>
          </w:tcPr>
          <w:p>
            <w:r>
              <w:rPr>
                <w:rFonts w:ascii="Calibri" w:hAnsi="Calibri"/>
                <w:sz w:val="18"/>
                <w:color w:val="1E293B"/>
              </w:rPr>
              <w:t xml:space="preserve">[ ] Pending Tailoring</w:t>
            </w:r>
          </w:p>
        </w:tc>
      </w:tr>
      <w:tr>
        <w:trPr>
          <w:cantSplit/>
        </w:trPr>
        <w:tc>
          <w:tcPr>
            <w:tcW w:w="1600" w:type="dxa"/>
            <w:shd w:val="clear" w:color="auto" w:fill="F8FAFC"/>
          </w:tcPr>
          <w:p>
            <w:r>
              <w:rPr>
                <w:rFonts w:ascii="Calibri" w:hAnsi="Calibri"/>
                <w:sz w:val="18"/>
                <w:color w:val="1E293B"/>
              </w:rPr>
              <w:t xml:space="preserve">CHK-06</w:t>
            </w:r>
          </w:p>
        </w:tc>
        <w:tc>
          <w:tcPr>
            <w:tcW w:w="5626" w:type="dxa"/>
            <w:shd w:val="clear" w:color="auto" w:fill="F8FAFC"/>
          </w:tcPr>
          <w:p>
            <w:r>
              <w:rPr>
                <w:rFonts w:ascii="Calibri" w:hAnsi="Calibri"/>
                <w:sz w:val="18"/>
                <w:color w:val="1E293B"/>
              </w:rPr>
              <w:t xml:space="preserve">Validate exception, risk acceptance and audit arrangements.</w:t>
            </w:r>
          </w:p>
        </w:tc>
        <w:tc>
          <w:tcPr>
            <w:tcW w:w="1800" w:type="dxa"/>
            <w:shd w:val="clear" w:color="auto" w:fill="F8FAFC"/>
          </w:tcPr>
          <w:p>
            <w:r>
              <w:rPr>
                <w:rFonts w:ascii="Calibri" w:hAnsi="Calibri"/>
                <w:sz w:val="18"/>
                <w:color w:val="1E293B"/>
              </w:rPr>
              <w:t xml:space="preserve">[ ] Pending Tailoring</w:t>
            </w:r>
          </w:p>
        </w:tc>
      </w:tr>
      <w:tr>
        <w:trPr>
          <w:cantSplit/>
        </w:trPr>
        <w:tc>
          <w:tcPr>
            <w:tcW w:w="1600" w:type="dxa"/>
          </w:tcPr>
          <w:p>
            <w:r>
              <w:rPr>
                <w:rFonts w:ascii="Calibri" w:hAnsi="Calibri"/>
                <w:sz w:val="18"/>
                <w:color w:val="1E293B"/>
              </w:rPr>
              <w:t xml:space="preserve">CHK-07</w:t>
            </w:r>
          </w:p>
        </w:tc>
        <w:tc>
          <w:tcPr>
            <w:tcW w:w="5626" w:type="dxa"/>
          </w:tcPr>
          <w:p>
            <w:r>
              <w:rPr>
                <w:rFonts w:ascii="Calibri" w:hAnsi="Calibri"/>
                <w:sz w:val="18"/>
                <w:color w:val="1E293B"/>
              </w:rPr>
              <w:t xml:space="preserve">Obtain required review and approval before publication.</w:t>
            </w:r>
          </w:p>
        </w:tc>
        <w:tc>
          <w:tcPr>
            <w:tcW w:w="1800" w:type="dxa"/>
          </w:tcPr>
          <w:p>
            <w:r>
              <w:rPr>
                <w:rFonts w:ascii="Calibri" w:hAnsi="Calibri"/>
                <w:sz w:val="18"/>
                <w:color w:val="1E293B"/>
              </w:rPr>
              <w:t xml:space="preserve">[ ] Pending Tailoring</w:t>
            </w:r>
          </w:p>
        </w:tc>
      </w:tr>
    </w:tbl>
    <w:sectPr>
      <w:headerReference w:type="default" r:id="rId2"/>
      <w:footerReference w:type="default" r:id="rId3"/>
      <w:pgSz w:w="11906" w:h="16838"/>
      <w:pgMar w:top="1440" w:right="1440" w:bottom="1440" w:left="1440" w:header="720" w:footer="720"/>
    </w:sectPr>
  </w:body>
</w:document>
</file>

<file path=word/footer1.xml><?xml version="1.0" encoding="utf-8"?>
<w:ftr xmlns:w="http://schemas.openxmlformats.org/wordprocessingml/2006/main">
  <w:p>
    <w:pPr>
      <w:pBdr>
        <w:top w:val="single" w:sz="6" w:space="4" w:color="CBD5E1"/>
      </w:pBdr>
      <w:tabs>
        <w:tab w:val="right" w:pos="9360"/>
      </w:tabs>
    </w:pPr>
    <w:r>
      <w:rPr>
        <w:rFonts w:ascii="Calibri" w:hAnsi="Calibri"/>
        <w:sz w:val="16"/>
        <w:color w:val="64748B"/>
      </w:rPr>
      <w:t xml:space="preserve">CONTROLLED SAMPLE | SKANDA DOCUMENTATION</w:t>
    </w:r>
    <w:r>
      <w:tab/>
      <w:rPr>
        <w:rFonts w:ascii="Calibri" w:hAnsi="Calibri"/>
        <w:sz w:val="16"/>
        <w:color w:val="64748B"/>
      </w:rPr>
      <w:t xml:space="preserve">Page </w:t>
    </w:r>
    <w:fldSimple w:instr="PAGE"/>
    <w:r>
      <w:rPr>
        <w:rFonts w:ascii="Calibri" w:hAnsi="Calibri"/>
        <w:sz w:val="16"/>
        <w:color w:val="64748B"/>
      </w:rPr>
      <w:t xml:space="preserve"> of </w:t>
    </w:r>
    <w:fldSimple w:instr="NUMPAGES"/>
  </w:p>
</w:ftr>
</file>

<file path=word/header1.xml><?xml version="1.0" encoding="utf-8"?>
<w:hdr xmlns:w="http://schemas.openxmlformats.org/wordprocessingml/2006/main">
  <w:p>
    <w:pPr>
      <w:pBdr>
        <w:bottom w:val="single" w:sz="6" w:space="4" w:color="CBD5E1"/>
      </w:pBdr>
      <w:jc w:val="right"/>
    </w:pPr>
    <w:r>
      <w:rPr>
        <w:rFonts w:ascii="Calibri" w:hAnsi="Calibri"/>
        <w:sz w:val="16"/>
        <w:color w:val="64748B"/>
        <w:b/>
      </w:rPr>
      <w:t xml:space="preserve">SKANDA / GOVERNANCE, RISK &amp; COMPLIANCE | ISMS-POL-001</w:t>
    </w:r>
  </w:p>
</w:hdr>
</file>

<file path=word/styles.xml><?xml version="1.0" encoding="utf-8"?>
<w:styles xmlns:w="http://schemas.openxmlformats.org/wordprocessingml/2006/main">
  <w:docDefaults>
    <w:rPrDefault>
      <w:rPr>
        <w:rFonts w:ascii="Calibri" w:hAnsi="Calibri"/>
        <w:sz w:val="20"/>
        <w:color w:val="1E293B"/>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s>
</file>