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w:body>
    <w:p>
      <w:pPr>
        <w:jc w:val="right"/>
      </w:pPr>
      <w:r>
        <w:rPr>
          <w:sz w:val="16"/>
          <w:color w:val="64748B"/>
          <w:b/>
        </w:rPr>
        <w:t xml:space="preserve">SKANDA / GOVERNANCE, RISK &amp; COMPLIANCE</w:t>
      </w:r>
    </w:p>
    <w:p>
      <w:pPr>
        <w:spacing w:before="120" w:after="60"/>
      </w:pPr>
      <w:r>
        <w:rPr>
          <w:sz w:val="18"/>
          <w:color w:val="0284C7"/>
          <w:b/>
        </w:rPr>
        <w:t xml:space="preserve">ENTERPRISE MANAGEMENT SYSTEM / REGISTER_LOG</w:t>
      </w:r>
    </w:p>
    <w:p>
      <w:pPr>
        <w:spacing w:before="120" w:after="120"/>
      </w:pPr>
      <w:r>
        <w:rPr>
          <w:sz w:val="48"/>
          <w:b/>
          <w:color w:val="0F172A"/>
        </w:rPr>
        <w:t xml:space="preserve">Processing Activity Register</w:t>
      </w:r>
    </w:p>
    <w:p>
      <w:pPr>
        <w:spacing w:after="240"/>
      </w:pPr>
      <w:r>
        <w:rPr>
          <w:sz w:val="24"/>
          <w:i/>
          <w:color w:val="475569"/>
        </w:rPr>
        <w:t xml:space="preserve">Consulting Benchmark Sample — Provide structured, auditable Article 30 / Section 8 Register of Processing Activities (RoPA): processing purposes, data categories, recipients, cross-border transfers, and retention.</w:t>
      </w:r>
    </w:p>
    <w:tbl>
      <w:tblPr>
        <w:tblW w:w="0" w:type="auto"/>
        <w:tblBorders>
          <w:top w:val="single" w:sz="6" w:space="0" w:color="FCD34D"/>
          <w:bottom w:val="single" w:sz="6" w:space="0" w:color="FCD34D"/>
          <w:left w:val="single" w:sz="24" w:space="0" w:color="D97706"/>
          <w:right w:val="single" w:sz="6" w:space="0" w:color="FCD34D"/>
        </w:tblBorders>
        <w:tblCellMar>
          <w:top w:w="160" w:type="dxa"/>
          <w:left w:w="200" w:type="dxa"/>
          <w:bottom w:w="160" w:type="dxa"/>
          <w:right w:w="200" w:type="dxa"/>
        </w:tblCellMar>
      </w:tblPr>
      <w:tr>
        <w:tc>
          <w:tcPr>
            <w:tcW w:w="9026" w:type="dxa"/>
            <w:shd w:val="clear" w:color="auto" w:fill="FEF3C7"/>
          </w:tcPr>
          <w:p>
            <w:r>
              <w:rPr>
                <w:rFonts w:ascii="Calibri" w:hAnsi="Calibri"/>
                <w:b/>
                <w:color w:val="92400E"/>
                <w:sz w:val="18"/>
              </w:rPr>
              <w:t xml:space="preserve">[!WARNING] CONTROLLED DOCUMENT NOTICE</w:t>
            </w:r>
          </w:p>
          <w:p>
            <w:r>
              <w:rPr>
                <w:rFonts w:ascii="Calibri" w:hAnsi="Calibri"/>
                <w:i/>
                <w:color w:val="78350F"/>
                <w:sz w:val="18"/>
              </w:rPr>
              <w:t xml:space="preserve">ILLUSTRATIVE MODEL DOCUMENT — MUST BE TAILORED AND APPROVED BEFORE USE</w:t>
            </w:r>
          </w:p>
        </w:tc>
      </w:tr>
    </w:tbl>
    <w:p>
      <w:pPr>
        <w:spacing w:after="160"/>
      </w:pPr>
    </w:p>
    <w:p>
      <w:pPr>
        <w:spacing w:before="240" w:after="80"/>
        <w:rPr>
          <w:rFonts w:ascii="Calibri" w:hAnsi="Calibri"/>
          <w:b/>
          <w:sz w:val="26"/>
          <w:color w:val="1E293B"/>
        </w:rPr>
      </w:pPr>
      <w:r>
        <w:rPr>
          <w:rFonts w:ascii="Calibri" w:hAnsi="Calibri"/>
          <w:b/>
          <w:sz w:val="26"/>
          <w:color w:val="1E293B"/>
        </w:rPr>
        <w:t xml:space="preserve">Document Control Field</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3000"/>
        <w:gridCol w:w="6026"/>
      </w:tblGrid>
      <w:tr>
        <w:trPr>
          <w:tblHeader/>
          <w:cantSplit/>
        </w:trPr>
        <w:tc>
          <w:tcPr>
            <w:tcW w:w="3000" w:type="dxa"/>
            <w:shd w:val="clear" w:color="auto" w:fill="0F172A"/>
          </w:tcPr>
          <w:p>
            <w:r>
              <w:rPr>
                <w:rFonts w:ascii="Calibri" w:hAnsi="Calibri"/>
                <w:b/>
                <w:color w:val="FFFFFF"/>
                <w:sz w:val="18"/>
              </w:rPr>
              <w:t xml:space="preserve">DOCUMENT CONTROL FIELD</w:t>
            </w:r>
          </w:p>
        </w:tc>
        <w:tc>
          <w:tcPr>
            <w:tcW w:w="6026" w:type="dxa"/>
            <w:shd w:val="clear" w:color="auto" w:fill="0F172A"/>
          </w:tcPr>
          <w:p>
            <w:r>
              <w:rPr>
                <w:rFonts w:ascii="Calibri" w:hAnsi="Calibri"/>
                <w:b/>
                <w:color w:val="FFFFFF"/>
                <w:sz w:val="18"/>
              </w:rPr>
              <w:t xml:space="preserve">MODEL VALUE</w:t>
            </w:r>
          </w:p>
        </w:tc>
      </w:tr>
      <w:tr>
        <w:trPr>
          <w:cantSplit/>
        </w:trPr>
        <w:tc>
          <w:tcPr>
            <w:tcW w:w="3000" w:type="dxa"/>
          </w:tcPr>
          <w:p>
            <w:r>
              <w:rPr>
                <w:rFonts w:ascii="Calibri" w:hAnsi="Calibri"/>
                <w:sz w:val="18"/>
                <w:color w:val="1E293B"/>
              </w:rPr>
              <w:t xml:space="preserve">Document ID</w:t>
            </w:r>
          </w:p>
        </w:tc>
        <w:tc>
          <w:tcPr>
            <w:tcW w:w="6026" w:type="dxa"/>
          </w:tcPr>
          <w:p>
            <w:r>
              <w:rPr>
                <w:rFonts w:ascii="Calibri" w:hAnsi="Calibri"/>
                <w:sz w:val="18"/>
                <w:color w:val="1E293B"/>
              </w:rPr>
              <w:t xml:space="preserve">REG-ROPA-001-MODEL</w:t>
            </w:r>
          </w:p>
        </w:tc>
      </w:tr>
      <w:tr>
        <w:trPr>
          <w:cantSplit/>
        </w:trPr>
        <w:tc>
          <w:tcPr>
            <w:tcW w:w="3000" w:type="dxa"/>
            <w:shd w:val="clear" w:color="auto" w:fill="F8FAFC"/>
          </w:tcPr>
          <w:p>
            <w:r>
              <w:rPr>
                <w:rFonts w:ascii="Calibri" w:hAnsi="Calibri"/>
                <w:sz w:val="18"/>
                <w:color w:val="1E293B"/>
              </w:rPr>
              <w:t xml:space="preserve">Version / status</w:t>
            </w:r>
          </w:p>
        </w:tc>
        <w:tc>
          <w:tcPr>
            <w:tcW w:w="6026" w:type="dxa"/>
            <w:shd w:val="clear" w:color="auto" w:fill="F8FAFC"/>
          </w:tcPr>
          <w:p>
            <w:r>
              <w:rPr>
                <w:rFonts w:ascii="Calibri" w:hAnsi="Calibri"/>
                <w:sz w:val="18"/>
                <w:color w:val="1E293B"/>
              </w:rPr>
              <w:t xml:space="preserve">1.0 — Model sample (illustrative benchmark) — Model sample — not approved; not effective</w:t>
            </w:r>
          </w:p>
        </w:tc>
      </w:tr>
      <w:tr>
        <w:trPr>
          <w:cantSplit/>
        </w:trPr>
        <w:tc>
          <w:tcPr>
            <w:tcW w:w="3000" w:type="dxa"/>
          </w:tcPr>
          <w:p>
            <w:r>
              <w:rPr>
                <w:rFonts w:ascii="Calibri" w:hAnsi="Calibri"/>
                <w:sz w:val="18"/>
                <w:color w:val="1E293B"/>
              </w:rPr>
              <w:t xml:space="preserve">Document owner</w:t>
            </w:r>
          </w:p>
        </w:tc>
        <w:tc>
          <w:tcPr>
            <w:tcW w:w="6026" w:type="dxa"/>
          </w:tcPr>
          <w:p>
            <w:r>
              <w:rPr>
                <w:rFonts w:ascii="Calibri" w:hAnsi="Calibri"/>
                <w:sz w:val="18"/>
                <w:color w:val="1E293B"/>
              </w:rPr>
              <w:t xml:space="preserve">DPO &amp; Privacy Lead (Illustrative Benchmark)</w:t>
            </w:r>
          </w:p>
        </w:tc>
      </w:tr>
      <w:tr>
        <w:trPr>
          <w:cantSplit/>
        </w:trPr>
        <w:tc>
          <w:tcPr>
            <w:tcW w:w="3000" w:type="dxa"/>
            <w:shd w:val="clear" w:color="auto" w:fill="F8FAFC"/>
          </w:tcPr>
          <w:p>
            <w:r>
              <w:rPr>
                <w:rFonts w:ascii="Calibri" w:hAnsi="Calibri"/>
                <w:sz w:val="18"/>
                <w:color w:val="1E293B"/>
              </w:rPr>
              <w:t xml:space="preserve">Approver</w:t>
            </w:r>
          </w:p>
        </w:tc>
        <w:tc>
          <w:tcPr>
            <w:tcW w:w="6026" w:type="dxa"/>
            <w:shd w:val="clear" w:color="auto" w:fill="F8FAFC"/>
          </w:tcPr>
          <w:p>
            <w:r>
              <w:rPr>
                <w:rFonts w:ascii="Calibri" w:hAnsi="Calibri"/>
                <w:sz w:val="18"/>
                <w:color w:val="1E293B"/>
              </w:rPr>
              <w:t xml:space="preserve">General Counsel (Illustrative Benchmark)</w:t>
            </w:r>
          </w:p>
        </w:tc>
      </w:tr>
      <w:tr>
        <w:trPr>
          <w:cantSplit/>
        </w:trPr>
        <w:tc>
          <w:tcPr>
            <w:tcW w:w="3000" w:type="dxa"/>
          </w:tcPr>
          <w:p>
            <w:r>
              <w:rPr>
                <w:rFonts w:ascii="Calibri" w:hAnsi="Calibri"/>
                <w:sz w:val="18"/>
                <w:color w:val="1E293B"/>
              </w:rPr>
              <w:t xml:space="preserve">Effective date</w:t>
            </w:r>
          </w:p>
        </w:tc>
        <w:tc>
          <w:tcPr>
            <w:tcW w:w="6026" w:type="dxa"/>
          </w:tcPr>
          <w:p>
            <w:r>
              <w:rPr>
                <w:rFonts w:ascii="Calibri" w:hAnsi="Calibri"/>
                <w:sz w:val="18"/>
                <w:color w:val="1E293B"/>
              </w:rPr>
              <w:t xml:space="preserve">Not effective until formally tailored and approved</w:t>
            </w:r>
          </w:p>
        </w:tc>
      </w:tr>
      <w:tr>
        <w:trPr>
          <w:cantSplit/>
        </w:trPr>
        <w:tc>
          <w:tcPr>
            <w:tcW w:w="3000" w:type="dxa"/>
            <w:shd w:val="clear" w:color="auto" w:fill="F8FAFC"/>
          </w:tcPr>
          <w:p>
            <w:r>
              <w:rPr>
                <w:rFonts w:ascii="Calibri" w:hAnsi="Calibri"/>
                <w:sz w:val="18"/>
                <w:color w:val="1E293B"/>
              </w:rPr>
              <w:t xml:space="preserve">Classification</w:t>
            </w:r>
          </w:p>
        </w:tc>
        <w:tc>
          <w:tcPr>
            <w:tcW w:w="6026" w:type="dxa"/>
            <w:shd w:val="clear" w:color="auto" w:fill="F8FAFC"/>
          </w:tcPr>
          <w:p>
            <w:r>
              <w:rPr>
                <w:rFonts w:ascii="Calibri" w:hAnsi="Calibri"/>
                <w:sz w:val="18"/>
                <w:color w:val="1E293B"/>
              </w:rPr>
              <w:t xml:space="preserve">INTERNAL_ILLUSTRATIVE</w:t>
            </w:r>
          </w:p>
        </w:tc>
      </w:tr>
      <w:tr>
        <w:trPr>
          <w:cantSplit/>
        </w:trPr>
        <w:tc>
          <w:tcPr>
            <w:tcW w:w="3000" w:type="dxa"/>
          </w:tcPr>
          <w:p>
            <w:r>
              <w:rPr>
                <w:rFonts w:ascii="Calibri" w:hAnsi="Calibri"/>
                <w:sz w:val="18"/>
                <w:color w:val="1E293B"/>
              </w:rPr>
              <w:t xml:space="preserve">Review trigger</w:t>
            </w:r>
          </w:p>
        </w:tc>
        <w:tc>
          <w:tcPr>
            <w:tcW w:w="6026" w:type="dxa"/>
          </w:tcPr>
          <w:p>
            <w:r>
              <w:rPr>
                <w:rFonts w:ascii="Calibri" w:hAnsi="Calibri"/>
                <w:sz w:val="18"/>
                <w:color w:val="1E293B"/>
              </w:rPr>
              <w:t xml:space="preserve">Scheduled annual review and material business, technology, risk or regulatory change</w:t>
            </w:r>
          </w:p>
        </w:tc>
      </w:tr>
    </w:tbl>
    <w:p>
      <w:pPr>
        <w:spacing w:before="160" w:after="160"/>
      </w:pPr>
      <w:r>
        <w:rPr>
          <w:i/>
          <w:sz w:val="18"/>
          <w:color w:val="64748B"/>
        </w:rPr>
        <w:t xml:space="preserve">This document demonstrates the depth, structure, and operational specificity expected of an enterprise consulting-grade artifact. It does not represent an actual organization and cannot be submitted to auditors without tailoring.</w:t>
      </w:r>
    </w:p>
    <w:p>
      <w:r>
        <w:br w:type="page"/>
      </w:r>
    </w:p>
    <w:p>
      <w:pPr>
        <w:spacing w:before="360" w:after="120"/>
        <w:rPr>
          <w:rFonts w:ascii="Calibri" w:hAnsi="Calibri"/>
          <w:b/>
          <w:sz w:val="32"/>
          <w:color w:val="0F172A"/>
        </w:rPr>
      </w:pPr>
      <w:r>
        <w:rPr>
          <w:rFonts w:ascii="Calibri" w:hAnsi="Calibri"/>
          <w:b/>
          <w:sz w:val="32"/>
          <w:color w:val="0F172A"/>
        </w:rPr>
        <w:t xml:space="preserve">Contents &amp; Document Governance</w:t>
      </w:r>
    </w:p>
    <w:p>
      <w:pPr>
        <w:spacing w:after="100"/>
      </w:pPr>
      <w:r>
        <w:rPr>
          <w:rFonts w:ascii="Calibri" w:hAnsi="Calibri"/>
          <w:color w:val="1E293B"/>
          <w:sz w:val="20"/>
        </w:rPr>
        <w:t xml:space="preserve">Controlled management-system copy maintained in SKANDA Authoritative Document Register.</w:t>
      </w:r>
    </w:p>
    <w:p>
      <w:pPr>
        <w:spacing w:before="240" w:after="80"/>
        <w:rPr>
          <w:rFonts w:ascii="Calibri" w:hAnsi="Calibri"/>
          <w:b/>
          <w:sz w:val="26"/>
          <w:color w:val="1E293B"/>
        </w:rPr>
      </w:pPr>
      <w:r>
        <w:rPr>
          <w:rFonts w:ascii="Calibri" w:hAnsi="Calibri"/>
          <w:b/>
          <w:sz w:val="26"/>
          <w:color w:val="1E293B"/>
        </w:rPr>
        <w:t xml:space="preserve">Revision History</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1000"/>
        <w:gridCol w:w="1400"/>
        <w:gridCol w:w="3426"/>
        <w:gridCol w:w="1800"/>
        <w:gridCol w:w="1400"/>
      </w:tblGrid>
      <w:tr>
        <w:trPr>
          <w:tblHeader/>
          <w:cantSplit/>
        </w:trPr>
        <w:tc>
          <w:tcPr>
            <w:tcW w:w="1000" w:type="dxa"/>
            <w:shd w:val="clear" w:color="auto" w:fill="0F172A"/>
          </w:tcPr>
          <w:p>
            <w:r>
              <w:rPr>
                <w:rFonts w:ascii="Calibri" w:hAnsi="Calibri"/>
                <w:b/>
                <w:color w:val="FFFFFF"/>
                <w:sz w:val="18"/>
              </w:rPr>
              <w:t xml:space="preserve">Version</w:t>
            </w:r>
          </w:p>
        </w:tc>
        <w:tc>
          <w:tcPr>
            <w:tcW w:w="1400" w:type="dxa"/>
            <w:shd w:val="clear" w:color="auto" w:fill="0F172A"/>
          </w:tcPr>
          <w:p>
            <w:r>
              <w:rPr>
                <w:rFonts w:ascii="Calibri" w:hAnsi="Calibri"/>
                <w:b/>
                <w:color w:val="FFFFFF"/>
                <w:sz w:val="18"/>
              </w:rPr>
              <w:t xml:space="preserve">Date</w:t>
            </w:r>
          </w:p>
        </w:tc>
        <w:tc>
          <w:tcPr>
            <w:tcW w:w="3426" w:type="dxa"/>
            <w:shd w:val="clear" w:color="auto" w:fill="0F172A"/>
          </w:tcPr>
          <w:p>
            <w:r>
              <w:rPr>
                <w:rFonts w:ascii="Calibri" w:hAnsi="Calibri"/>
                <w:b/>
                <w:color w:val="FFFFFF"/>
                <w:sz w:val="18"/>
              </w:rPr>
              <w:t xml:space="preserve">Summary of change</w:t>
            </w:r>
          </w:p>
        </w:tc>
        <w:tc>
          <w:tcPr>
            <w:tcW w:w="1800" w:type="dxa"/>
            <w:shd w:val="clear" w:color="auto" w:fill="0F172A"/>
          </w:tcPr>
          <w:p>
            <w:r>
              <w:rPr>
                <w:rFonts w:ascii="Calibri" w:hAnsi="Calibri"/>
                <w:b/>
                <w:color w:val="FFFFFF"/>
                <w:sz w:val="18"/>
              </w:rPr>
              <w:t xml:space="preserve">Prepared by</w:t>
            </w:r>
          </w:p>
        </w:tc>
        <w:tc>
          <w:tcPr>
            <w:tcW w:w="1400" w:type="dxa"/>
            <w:shd w:val="clear" w:color="auto" w:fill="0F172A"/>
          </w:tcPr>
          <w:p>
            <w:r>
              <w:rPr>
                <w:rFonts w:ascii="Calibri" w:hAnsi="Calibri"/>
                <w:b/>
                <w:color w:val="FFFFFF"/>
                <w:sz w:val="18"/>
              </w:rPr>
              <w:t xml:space="preserve">Approval status</w:t>
            </w:r>
          </w:p>
        </w:tc>
      </w:tr>
      <w:tr>
        <w:trPr>
          <w:cantSplit/>
        </w:trPr>
        <w:tc>
          <w:tcPr>
            <w:tcW w:w="1000" w:type="dxa"/>
          </w:tcPr>
          <w:p>
            <w:r>
              <w:rPr>
                <w:rFonts w:ascii="Calibri" w:hAnsi="Calibri"/>
                <w:sz w:val="18"/>
                <w:color w:val="1E293B"/>
              </w:rPr>
              <w:t xml:space="preserve">1.0</w:t>
            </w:r>
          </w:p>
        </w:tc>
        <w:tc>
          <w:tcPr>
            <w:tcW w:w="1400" w:type="dxa"/>
          </w:tcPr>
          <w:p>
            <w:r>
              <w:rPr>
                <w:rFonts w:ascii="Calibri" w:hAnsi="Calibri"/>
                <w:sz w:val="18"/>
                <w:color w:val="1E293B"/>
              </w:rPr>
              <w:t xml:space="preserve">2026-10-12</w:t>
            </w:r>
          </w:p>
        </w:tc>
        <w:tc>
          <w:tcPr>
            <w:tcW w:w="3426" w:type="dxa"/>
          </w:tcPr>
          <w:p>
            <w:r>
              <w:rPr>
                <w:rFonts w:ascii="Calibri" w:hAnsi="Calibri"/>
                <w:sz w:val="18"/>
                <w:color w:val="1E293B"/>
              </w:rPr>
              <w:t xml:space="preserve">Baseline illustrative model sample generated for Processing Activity Register fulfilling Article 30, Section 8.</w:t>
            </w:r>
          </w:p>
        </w:tc>
        <w:tc>
          <w:tcPr>
            <w:tcW w:w="1800" w:type="dxa"/>
          </w:tcPr>
          <w:p>
            <w:r>
              <w:rPr>
                <w:rFonts w:ascii="Calibri" w:hAnsi="Calibri"/>
                <w:sz w:val="18"/>
                <w:color w:val="1E293B"/>
              </w:rPr>
              <w:t xml:space="preserve">Business Unit Leads (SKANDA Benchmark Engine)</w:t>
            </w:r>
          </w:p>
        </w:tc>
        <w:tc>
          <w:tcPr>
            <w:tcW w:w="1400" w:type="dxa"/>
          </w:tcPr>
          <w:p>
            <w:r>
              <w:rPr>
                <w:rFonts w:ascii="Calibri" w:hAnsi="Calibri"/>
                <w:sz w:val="18"/>
                <w:color w:val="1E293B"/>
              </w:rPr>
              <w:t xml:space="preserve">Model sample — not approved</w:t>
            </w:r>
          </w:p>
        </w:tc>
      </w:tr>
    </w:tbl>
    <w:p>
      <w:pPr>
        <w:spacing w:after="100"/>
      </w:pPr>
      <w:r>
        <w:rPr>
          <w:rFonts w:ascii="Calibri" w:hAnsi="Calibri"/>
          <w:i/>
          <w:color w:val="64748B"/>
          <w:sz w:val="20"/>
        </w:rPr>
        <w:t xml:space="preserve">Revision entries record changes to this model sample only. Organization-specific revisions must be recorded in the tenant-owned controlled copy.</w:t>
      </w:r>
    </w:p>
    <w:p>
      <w:pPr>
        <w:spacing w:before="360" w:after="120"/>
        <w:rPr>
          <w:rFonts w:ascii="Calibri" w:hAnsi="Calibri"/>
          <w:b/>
          <w:sz w:val="32"/>
          <w:color w:val="0F172A"/>
        </w:rPr>
      </w:pPr>
      <w:r>
        <w:rPr>
          <w:rFonts w:ascii="Calibri" w:hAnsi="Calibri"/>
          <w:b/>
          <w:sz w:val="32"/>
          <w:color w:val="0F172A"/>
        </w:rPr>
        <w:t xml:space="preserve">1. Purpose</w:t>
      </w:r>
    </w:p>
    <w:p>
      <w:pPr>
        <w:spacing w:after="100"/>
      </w:pPr>
      <w:r>
        <w:rPr>
          <w:rFonts w:ascii="Calibri" w:hAnsi="Calibri"/>
          <w:color w:val="1E293B"/>
          <w:sz w:val="20"/>
        </w:rPr>
        <w:t xml:space="preserve">Establish an authoritative, structured, and auditable register_log framework for Regulatory Registers &amp; RoPA. This document fulfills the requirements of GDPR (Article 30), DPDP_ACT_2023 (Section 8) while ensuring clear separation between management intent, operational execution, and verifiable evidence.</w:t>
      </w:r>
    </w:p>
    <w:p>
      <w:pPr>
        <w:spacing w:before="360" w:after="120"/>
        <w:rPr>
          <w:rFonts w:ascii="Calibri" w:hAnsi="Calibri"/>
          <w:b/>
          <w:sz w:val="32"/>
          <w:color w:val="0F172A"/>
        </w:rPr>
      </w:pPr>
      <w:r>
        <w:rPr>
          <w:rFonts w:ascii="Calibri" w:hAnsi="Calibri"/>
          <w:b/>
          <w:sz w:val="32"/>
          <w:color w:val="0F172A"/>
        </w:rPr>
        <w:t xml:space="preserve">2. Scope and Applicability</w:t>
      </w:r>
    </w:p>
    <w:p>
      <w:pPr>
        <w:spacing w:after="100"/>
      </w:pPr>
      <w:r>
        <w:rPr>
          <w:rFonts w:ascii="Calibri" w:hAnsi="Calibri"/>
          <w:color w:val="1E293B"/>
          <w:sz w:val="20"/>
        </w:rPr>
        <w:t xml:space="preserve">This register_log applies across all illustrative enterprise environments, production cloud clusters, data storage repositories, and personnel supporting Regulatory Registers &amp; RoPA.</w:t>
      </w:r>
    </w:p>
    <w:p>
      <w:pPr>
        <w:spacing w:after="100"/>
      </w:pPr>
      <w:r>
        <w:rPr>
          <w:rFonts w:ascii="Calibri" w:hAnsi="Calibri"/>
          <w:b/>
          <w:color w:val="1E293B"/>
          <w:sz w:val="20"/>
        </w:rPr>
        <w:t xml:space="preserve">• In-Scope Locations: Global Headquarters (Singapore), Primary Cloud Region (AWS US-East-1), Disaster Recovery Region (AWS AP-Southeast-1)</w:t>
      </w:r>
    </w:p>
    <w:p>
      <w:pPr>
        <w:spacing w:after="100"/>
      </w:pPr>
      <w:r>
        <w:rPr>
          <w:rFonts w:ascii="Calibri" w:hAnsi="Calibri"/>
          <w:color w:val="1E293B"/>
          <w:sz w:val="20"/>
        </w:rPr>
        <w:t xml:space="preserve">• In-Scope Systems &amp; Services: Production Transaction Switch, Enterprise Identity Provider (Okta), Continuous Deployment Pipelines, Authoritative Records Vault</w:t>
      </w:r>
    </w:p>
    <w:p>
      <w:pPr>
        <w:spacing w:after="100"/>
      </w:pPr>
      <w:r>
        <w:rPr>
          <w:rFonts w:ascii="Calibri" w:hAnsi="Calibri"/>
          <w:b/>
          <w:color w:val="1E293B"/>
          <w:sz w:val="20"/>
        </w:rPr>
        <w:t xml:space="preserve">Documented Exclusions:</w:t>
      </w:r>
    </w:p>
    <w:p>
      <w:pPr>
        <w:spacing w:after="100"/>
      </w:pPr>
      <w:r>
        <w:rPr>
          <w:rFonts w:ascii="Calibri" w:hAnsi="Calibri"/>
          <w:color w:val="1E293B"/>
          <w:sz w:val="20"/>
        </w:rPr>
        <w:t xml:space="preserve">• Decommissioned Legacy Batch Server (DC-01): Fully air-gapped and retired in Q1 2026; zero customer data processed.</w:t>
      </w:r>
    </w:p>
    <w:p>
      <w:pPr>
        <w:spacing w:before="360" w:after="120"/>
        <w:rPr>
          <w:rFonts w:ascii="Calibri" w:hAnsi="Calibri"/>
          <w:b/>
          <w:sz w:val="32"/>
          <w:color w:val="0F172A"/>
        </w:rPr>
      </w:pPr>
      <w:r>
        <w:rPr>
          <w:rFonts w:ascii="Calibri" w:hAnsi="Calibri"/>
          <w:b/>
          <w:sz w:val="32"/>
          <w:color w:val="0F172A"/>
        </w:rPr>
        <w:t xml:space="preserve">3. Terms and Definitions</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600"/>
        <w:gridCol w:w="6426"/>
      </w:tblGrid>
      <w:tr>
        <w:trPr>
          <w:tblHeader/>
          <w:cantSplit/>
        </w:trPr>
        <w:tc>
          <w:tcPr>
            <w:tcW w:w="2600" w:type="dxa"/>
            <w:shd w:val="clear" w:color="auto" w:fill="0F172A"/>
          </w:tcPr>
          <w:p>
            <w:r>
              <w:rPr>
                <w:rFonts w:ascii="Calibri" w:hAnsi="Calibri"/>
                <w:b/>
                <w:color w:val="FFFFFF"/>
                <w:sz w:val="18"/>
              </w:rPr>
              <w:t xml:space="preserve">Term</w:t>
            </w:r>
          </w:p>
        </w:tc>
        <w:tc>
          <w:tcPr>
            <w:tcW w:w="6426" w:type="dxa"/>
            <w:shd w:val="clear" w:color="auto" w:fill="0F172A"/>
          </w:tcPr>
          <w:p>
            <w:r>
              <w:rPr>
                <w:rFonts w:ascii="Calibri" w:hAnsi="Calibri"/>
                <w:b/>
                <w:color w:val="FFFFFF"/>
                <w:sz w:val="18"/>
              </w:rPr>
              <w:t xml:space="preserve">Working definition (model)</w:t>
            </w:r>
          </w:p>
        </w:tc>
      </w:tr>
      <w:tr>
        <w:trPr>
          <w:cantSplit/>
        </w:trPr>
        <w:tc>
          <w:tcPr>
            <w:tcW w:w="2600" w:type="dxa"/>
          </w:tcPr>
          <w:p>
            <w:r>
              <w:rPr>
                <w:rFonts w:ascii="Calibri" w:hAnsi="Calibri"/>
                <w:sz w:val="18"/>
                <w:color w:val="1E293B"/>
              </w:rPr>
              <w:t xml:space="preserve">Documented Information</w:t>
            </w:r>
          </w:p>
        </w:tc>
        <w:tc>
          <w:tcPr>
            <w:tcW w:w="6426" w:type="dxa"/>
          </w:tcPr>
          <w:p>
            <w:r>
              <w:rPr>
                <w:rFonts w:ascii="Calibri" w:hAnsi="Calibri"/>
                <w:sz w:val="18"/>
                <w:color w:val="1E293B"/>
              </w:rPr>
              <w:t xml:space="preserve">Information required to be controlled and maintained by the organization (ISO/IEC 27001:2022 Clause 7.5).</w:t>
            </w:r>
          </w:p>
        </w:tc>
      </w:tr>
      <w:tr>
        <w:trPr>
          <w:cantSplit/>
        </w:trPr>
        <w:tc>
          <w:tcPr>
            <w:tcW w:w="2600" w:type="dxa"/>
            <w:shd w:val="clear" w:color="auto" w:fill="F8FAFC"/>
          </w:tcPr>
          <w:p>
            <w:r>
              <w:rPr>
                <w:rFonts w:ascii="Calibri" w:hAnsi="Calibri"/>
                <w:sz w:val="18"/>
                <w:color w:val="1E293B"/>
              </w:rPr>
              <w:t xml:space="preserve">Accountable Role</w:t>
            </w:r>
          </w:p>
        </w:tc>
        <w:tc>
          <w:tcPr>
            <w:tcW w:w="6426" w:type="dxa"/>
            <w:shd w:val="clear" w:color="auto" w:fill="F8FAFC"/>
          </w:tcPr>
          <w:p>
            <w:r>
              <w:rPr>
                <w:rFonts w:ascii="Calibri" w:hAnsi="Calibri"/>
                <w:sz w:val="18"/>
                <w:color w:val="1E293B"/>
              </w:rPr>
              <w:t xml:space="preserve">The single operational role with ultimate decision-making authority and veto for the activity.</w:t>
            </w:r>
          </w:p>
        </w:tc>
      </w:tr>
      <w:tr>
        <w:trPr>
          <w:cantSplit/>
        </w:trPr>
        <w:tc>
          <w:tcPr>
            <w:tcW w:w="2600" w:type="dxa"/>
          </w:tcPr>
          <w:p>
            <w:r>
              <w:rPr>
                <w:rFonts w:ascii="Calibri" w:hAnsi="Calibri"/>
                <w:sz w:val="18"/>
                <w:color w:val="1E293B"/>
              </w:rPr>
              <w:t xml:space="preserve">Verifiable Evidence</w:t>
            </w:r>
          </w:p>
        </w:tc>
        <w:tc>
          <w:tcPr>
            <w:tcW w:w="6426" w:type="dxa"/>
          </w:tcPr>
          <w:p>
            <w:r>
              <w:rPr>
                <w:rFonts w:ascii="Calibri" w:hAnsi="Calibri"/>
                <w:sz w:val="18"/>
                <w:color w:val="1E293B"/>
              </w:rPr>
              <w:t xml:space="preserve">Attributable, timestamped, immutable record confirming that a requirement was performed in practice.</w:t>
            </w:r>
          </w:p>
        </w:tc>
      </w:tr>
      <w:tr>
        <w:trPr>
          <w:cantSplit/>
        </w:trPr>
        <w:tc>
          <w:tcPr>
            <w:tcW w:w="2600" w:type="dxa"/>
            <w:shd w:val="clear" w:color="auto" w:fill="F8FAFC"/>
          </w:tcPr>
          <w:p>
            <w:r>
              <w:rPr>
                <w:rFonts w:ascii="Calibri" w:hAnsi="Calibri"/>
                <w:sz w:val="18"/>
                <w:color w:val="1E293B"/>
              </w:rPr>
              <w:t xml:space="preserve">Operating Effectiveness</w:t>
            </w:r>
          </w:p>
        </w:tc>
        <w:tc>
          <w:tcPr>
            <w:tcW w:w="6426" w:type="dxa"/>
            <w:shd w:val="clear" w:color="auto" w:fill="F8FAFC"/>
          </w:tcPr>
          <w:p>
            <w:r>
              <w:rPr>
                <w:rFonts w:ascii="Calibri" w:hAnsi="Calibri"/>
                <w:sz w:val="18"/>
                <w:color w:val="1E293B"/>
              </w:rPr>
              <w:t xml:space="preserve">Confirmation through systematic testing and evidence sampling that a control operates reliably over a period of time.</w:t>
            </w:r>
          </w:p>
        </w:tc>
      </w:tr>
    </w:tbl>
    <w:p>
      <w:pPr>
        <w:spacing w:before="360" w:after="120"/>
        <w:rPr>
          <w:rFonts w:ascii="Calibri" w:hAnsi="Calibri"/>
          <w:b/>
          <w:sz w:val="32"/>
          <w:color w:val="0F172A"/>
        </w:rPr>
      </w:pPr>
      <w:r>
        <w:rPr>
          <w:rFonts w:ascii="Calibri" w:hAnsi="Calibri"/>
          <w:b/>
          <w:sz w:val="32"/>
          <w:color w:val="0F172A"/>
        </w:rPr>
        <w:t xml:space="preserve">Register Schema &amp; Column Specifications</w:t>
      </w:r>
    </w:p>
    <w:p>
      <w:pPr>
        <w:spacing w:after="100"/>
      </w:pPr>
      <w:r>
        <w:rPr>
          <w:rFonts w:ascii="Calibri" w:hAnsi="Calibri"/>
          <w:color w:val="1E293B"/>
          <w:sz w:val="20"/>
        </w:rPr>
        <w:t xml:space="preserve">Statutory data attributes and validation rules governing register records:</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000"/>
        <w:gridCol w:w="1200"/>
        <w:gridCol w:w="1200"/>
        <w:gridCol w:w="2200"/>
        <w:gridCol w:w="2426"/>
      </w:tblGrid>
      <w:tr>
        <w:trPr>
          <w:tblHeader/>
          <w:cantSplit/>
        </w:trPr>
        <w:tc>
          <w:tcPr>
            <w:tcW w:w="2000" w:type="dxa"/>
            <w:shd w:val="clear" w:color="auto" w:fill="0F172A"/>
          </w:tcPr>
          <w:p>
            <w:r>
              <w:rPr>
                <w:rFonts w:ascii="Calibri" w:hAnsi="Calibri"/>
                <w:b/>
                <w:color w:val="FFFFFF"/>
                <w:sz w:val="18"/>
              </w:rPr>
              <w:t xml:space="preserve">Field Name</w:t>
            </w:r>
          </w:p>
        </w:tc>
        <w:tc>
          <w:tcPr>
            <w:tcW w:w="1200" w:type="dxa"/>
            <w:shd w:val="clear" w:color="auto" w:fill="0F172A"/>
          </w:tcPr>
          <w:p>
            <w:r>
              <w:rPr>
                <w:rFonts w:ascii="Calibri" w:hAnsi="Calibri"/>
                <w:b/>
                <w:color w:val="FFFFFF"/>
                <w:sz w:val="18"/>
              </w:rPr>
              <w:t xml:space="preserve">Data Type</w:t>
            </w:r>
          </w:p>
        </w:tc>
        <w:tc>
          <w:tcPr>
            <w:tcW w:w="1200" w:type="dxa"/>
            <w:shd w:val="clear" w:color="auto" w:fill="0F172A"/>
          </w:tcPr>
          <w:p>
            <w:r>
              <w:rPr>
                <w:rFonts w:ascii="Calibri" w:hAnsi="Calibri"/>
                <w:b/>
                <w:color w:val="FFFFFF"/>
                <w:sz w:val="18"/>
              </w:rPr>
              <w:t xml:space="preserve">Mandatory</w:t>
            </w:r>
          </w:p>
        </w:tc>
        <w:tc>
          <w:tcPr>
            <w:tcW w:w="2200" w:type="dxa"/>
            <w:shd w:val="clear" w:color="auto" w:fill="0F172A"/>
          </w:tcPr>
          <w:p>
            <w:r>
              <w:rPr>
                <w:rFonts w:ascii="Calibri" w:hAnsi="Calibri"/>
                <w:b/>
                <w:color w:val="FFFFFF"/>
                <w:sz w:val="18"/>
              </w:rPr>
              <w:t xml:space="preserve">Regulatory Source</w:t>
            </w:r>
          </w:p>
        </w:tc>
        <w:tc>
          <w:tcPr>
            <w:tcW w:w="2426" w:type="dxa"/>
            <w:shd w:val="clear" w:color="auto" w:fill="0F172A"/>
          </w:tcPr>
          <w:p>
            <w:r>
              <w:rPr>
                <w:rFonts w:ascii="Calibri" w:hAnsi="Calibri"/>
                <w:b/>
                <w:color w:val="FFFFFF"/>
                <w:sz w:val="18"/>
              </w:rPr>
              <w:t xml:space="preserve">Description</w:t>
            </w:r>
          </w:p>
        </w:tc>
      </w:tr>
      <w:tr>
        <w:trPr>
          <w:cantSplit/>
        </w:trPr>
        <w:tc>
          <w:tcPr>
            <w:tcW w:w="2000" w:type="dxa"/>
          </w:tcPr>
          <w:p>
            <w:r>
              <w:rPr>
                <w:rFonts w:ascii="Calibri" w:hAnsi="Calibri"/>
                <w:sz w:val="18"/>
                <w:color w:val="1E293B"/>
              </w:rPr>
              <w:t xml:space="preserve">Controller &amp; DPO Contact Details</w:t>
            </w:r>
          </w:p>
        </w:tc>
        <w:tc>
          <w:tcPr>
            <w:tcW w:w="1200" w:type="dxa"/>
          </w:tcPr>
          <w:p>
            <w:r>
              <w:rPr>
                <w:rFonts w:ascii="Calibri" w:hAnsi="Calibri"/>
                <w:sz w:val="18"/>
                <w:color w:val="1E293B"/>
              </w:rPr>
              <w:t xml:space="preserve">String</w:t>
            </w:r>
          </w:p>
        </w:tc>
        <w:tc>
          <w:tcPr>
            <w:tcW w:w="1200" w:type="dxa"/>
          </w:tcPr>
          <w:p>
            <w:r>
              <w:rPr>
                <w:rFonts w:ascii="Calibri" w:hAnsi="Calibri"/>
                <w:sz w:val="18"/>
                <w:color w:val="1E293B"/>
              </w:rPr>
              <w:t xml:space="preserve">Yes</w:t>
            </w:r>
          </w:p>
        </w:tc>
        <w:tc>
          <w:tcPr>
            <w:tcW w:w="2200" w:type="dxa"/>
          </w:tcPr>
          <w:p>
            <w:r>
              <w:rPr>
                <w:rFonts w:ascii="Calibri" w:hAnsi="Calibri"/>
                <w:sz w:val="18"/>
                <w:color w:val="1E293B"/>
              </w:rPr>
              <w:t xml:space="preserve">EU GDPR Art 30(1)(a)</w:t>
            </w:r>
          </w:p>
        </w:tc>
        <w:tc>
          <w:tcPr>
            <w:tcW w:w="2426" w:type="dxa"/>
          </w:tcPr>
          <w:p>
            <w:r>
              <w:rPr>
                <w:rFonts w:ascii="Calibri" w:hAnsi="Calibri"/>
                <w:sz w:val="18"/>
                <w:color w:val="1E293B"/>
              </w:rPr>
              <w:t xml:space="preserve">Name and contact details of the controller and, where applicable, the joint controller, representative, and data protection officer</w:t>
            </w:r>
          </w:p>
        </w:tc>
      </w:tr>
      <w:tr>
        <w:trPr>
          <w:cantSplit/>
        </w:trPr>
        <w:tc>
          <w:tcPr>
            <w:tcW w:w="2000" w:type="dxa"/>
            <w:shd w:val="clear" w:color="auto" w:fill="F8FAFC"/>
          </w:tcPr>
          <w:p>
            <w:r>
              <w:rPr>
                <w:rFonts w:ascii="Calibri" w:hAnsi="Calibri"/>
                <w:sz w:val="18"/>
                <w:color w:val="1E293B"/>
              </w:rPr>
              <w:t xml:space="preserve">Purpose of Processing</w:t>
            </w:r>
          </w:p>
        </w:tc>
        <w:tc>
          <w:tcPr>
            <w:tcW w:w="1200" w:type="dxa"/>
            <w:shd w:val="clear" w:color="auto" w:fill="F8FAFC"/>
          </w:tcPr>
          <w:p>
            <w:r>
              <w:rPr>
                <w:rFonts w:ascii="Calibri" w:hAnsi="Calibri"/>
                <w:sz w:val="18"/>
                <w:color w:val="1E293B"/>
              </w:rPr>
              <w:t xml:space="preserve">String</w:t>
            </w:r>
          </w:p>
        </w:tc>
        <w:tc>
          <w:tcPr>
            <w:tcW w:w="1200" w:type="dxa"/>
            <w:shd w:val="clear" w:color="auto" w:fill="F8FAFC"/>
          </w:tcPr>
          <w:p>
            <w:r>
              <w:rPr>
                <w:rFonts w:ascii="Calibri" w:hAnsi="Calibri"/>
                <w:sz w:val="18"/>
                <w:color w:val="1E293B"/>
              </w:rPr>
              <w:t xml:space="preserve">Yes</w:t>
            </w:r>
          </w:p>
        </w:tc>
        <w:tc>
          <w:tcPr>
            <w:tcW w:w="2200" w:type="dxa"/>
            <w:shd w:val="clear" w:color="auto" w:fill="F8FAFC"/>
          </w:tcPr>
          <w:p>
            <w:r>
              <w:rPr>
                <w:rFonts w:ascii="Calibri" w:hAnsi="Calibri"/>
                <w:sz w:val="18"/>
                <w:color w:val="1E293B"/>
              </w:rPr>
              <w:t xml:space="preserve">EU GDPR Art 30(1)(b)</w:t>
            </w:r>
          </w:p>
        </w:tc>
        <w:tc>
          <w:tcPr>
            <w:tcW w:w="2426" w:type="dxa"/>
            <w:shd w:val="clear" w:color="auto" w:fill="F8FAFC"/>
          </w:tcPr>
          <w:p>
            <w:r>
              <w:rPr>
                <w:rFonts w:ascii="Calibri" w:hAnsi="Calibri"/>
                <w:sz w:val="18"/>
                <w:color w:val="1E293B"/>
              </w:rPr>
              <w:t xml:space="preserve">The specific purposes of the processing operation</w:t>
            </w:r>
          </w:p>
        </w:tc>
      </w:tr>
      <w:tr>
        <w:trPr>
          <w:cantSplit/>
        </w:trPr>
        <w:tc>
          <w:tcPr>
            <w:tcW w:w="2000" w:type="dxa"/>
          </w:tcPr>
          <w:p>
            <w:r>
              <w:rPr>
                <w:rFonts w:ascii="Calibri" w:hAnsi="Calibri"/>
                <w:sz w:val="18"/>
                <w:color w:val="1E293B"/>
              </w:rPr>
              <w:t xml:space="preserve">Categories of Data Subjects</w:t>
            </w:r>
          </w:p>
        </w:tc>
        <w:tc>
          <w:tcPr>
            <w:tcW w:w="1200" w:type="dxa"/>
          </w:tcPr>
          <w:p>
            <w:r>
              <w:rPr>
                <w:rFonts w:ascii="Calibri" w:hAnsi="Calibri"/>
                <w:sz w:val="18"/>
                <w:color w:val="1E293B"/>
              </w:rPr>
              <w:t xml:space="preserve">StringList</w:t>
            </w:r>
          </w:p>
        </w:tc>
        <w:tc>
          <w:tcPr>
            <w:tcW w:w="1200" w:type="dxa"/>
          </w:tcPr>
          <w:p>
            <w:r>
              <w:rPr>
                <w:rFonts w:ascii="Calibri" w:hAnsi="Calibri"/>
                <w:sz w:val="18"/>
                <w:color w:val="1E293B"/>
              </w:rPr>
              <w:t xml:space="preserve">Yes</w:t>
            </w:r>
          </w:p>
        </w:tc>
        <w:tc>
          <w:tcPr>
            <w:tcW w:w="2200" w:type="dxa"/>
          </w:tcPr>
          <w:p>
            <w:r>
              <w:rPr>
                <w:rFonts w:ascii="Calibri" w:hAnsi="Calibri"/>
                <w:sz w:val="18"/>
                <w:color w:val="1E293B"/>
              </w:rPr>
              <w:t xml:space="preserve">EU GDPR Art 30(1)(c)</w:t>
            </w:r>
          </w:p>
        </w:tc>
        <w:tc>
          <w:tcPr>
            <w:tcW w:w="2426" w:type="dxa"/>
          </w:tcPr>
          <w:p>
            <w:r>
              <w:rPr>
                <w:rFonts w:ascii="Calibri" w:hAnsi="Calibri"/>
                <w:sz w:val="18"/>
                <w:color w:val="1E293B"/>
              </w:rPr>
              <w:t xml:space="preserve">Description of the categories of data subjects (e.g. employees, retail consumers, prospects)</w:t>
            </w:r>
          </w:p>
        </w:tc>
      </w:tr>
      <w:tr>
        <w:trPr>
          <w:cantSplit/>
        </w:trPr>
        <w:tc>
          <w:tcPr>
            <w:tcW w:w="2000" w:type="dxa"/>
            <w:shd w:val="clear" w:color="auto" w:fill="F8FAFC"/>
          </w:tcPr>
          <w:p>
            <w:r>
              <w:rPr>
                <w:rFonts w:ascii="Calibri" w:hAnsi="Calibri"/>
                <w:sz w:val="18"/>
                <w:color w:val="1E293B"/>
              </w:rPr>
              <w:t xml:space="preserve">Categories of Personal Data</w:t>
            </w:r>
          </w:p>
        </w:tc>
        <w:tc>
          <w:tcPr>
            <w:tcW w:w="1200" w:type="dxa"/>
            <w:shd w:val="clear" w:color="auto" w:fill="F8FAFC"/>
          </w:tcPr>
          <w:p>
            <w:r>
              <w:rPr>
                <w:rFonts w:ascii="Calibri" w:hAnsi="Calibri"/>
                <w:sz w:val="18"/>
                <w:color w:val="1E293B"/>
              </w:rPr>
              <w:t xml:space="preserve">StringList</w:t>
            </w:r>
          </w:p>
        </w:tc>
        <w:tc>
          <w:tcPr>
            <w:tcW w:w="1200" w:type="dxa"/>
            <w:shd w:val="clear" w:color="auto" w:fill="F8FAFC"/>
          </w:tcPr>
          <w:p>
            <w:r>
              <w:rPr>
                <w:rFonts w:ascii="Calibri" w:hAnsi="Calibri"/>
                <w:sz w:val="18"/>
                <w:color w:val="1E293B"/>
              </w:rPr>
              <w:t xml:space="preserve">Yes</w:t>
            </w:r>
          </w:p>
        </w:tc>
        <w:tc>
          <w:tcPr>
            <w:tcW w:w="2200" w:type="dxa"/>
            <w:shd w:val="clear" w:color="auto" w:fill="F8FAFC"/>
          </w:tcPr>
          <w:p>
            <w:r>
              <w:rPr>
                <w:rFonts w:ascii="Calibri" w:hAnsi="Calibri"/>
                <w:sz w:val="18"/>
                <w:color w:val="1E293B"/>
              </w:rPr>
              <w:t xml:space="preserve">EU GDPR Art 30(1)(c)</w:t>
            </w:r>
          </w:p>
        </w:tc>
        <w:tc>
          <w:tcPr>
            <w:tcW w:w="2426" w:type="dxa"/>
            <w:shd w:val="clear" w:color="auto" w:fill="F8FAFC"/>
          </w:tcPr>
          <w:p>
            <w:r>
              <w:rPr>
                <w:rFonts w:ascii="Calibri" w:hAnsi="Calibri"/>
                <w:sz w:val="18"/>
                <w:color w:val="1E293B"/>
              </w:rPr>
              <w:t xml:space="preserve">Description of the categories of personal data (e.g. contact identifiers, financial, special category)</w:t>
            </w:r>
          </w:p>
        </w:tc>
      </w:tr>
      <w:tr>
        <w:trPr>
          <w:cantSplit/>
        </w:trPr>
        <w:tc>
          <w:tcPr>
            <w:tcW w:w="2000" w:type="dxa"/>
          </w:tcPr>
          <w:p>
            <w:r>
              <w:rPr>
                <w:rFonts w:ascii="Calibri" w:hAnsi="Calibri"/>
                <w:sz w:val="18"/>
                <w:color w:val="1E293B"/>
              </w:rPr>
              <w:t xml:space="preserve">Categories of Recipients &amp; Processors</w:t>
            </w:r>
          </w:p>
        </w:tc>
        <w:tc>
          <w:tcPr>
            <w:tcW w:w="1200" w:type="dxa"/>
          </w:tcPr>
          <w:p>
            <w:r>
              <w:rPr>
                <w:rFonts w:ascii="Calibri" w:hAnsi="Calibri"/>
                <w:sz w:val="18"/>
                <w:color w:val="1E293B"/>
              </w:rPr>
              <w:t xml:space="preserve">StringList</w:t>
            </w:r>
          </w:p>
        </w:tc>
        <w:tc>
          <w:tcPr>
            <w:tcW w:w="1200" w:type="dxa"/>
          </w:tcPr>
          <w:p>
            <w:r>
              <w:rPr>
                <w:rFonts w:ascii="Calibri" w:hAnsi="Calibri"/>
                <w:sz w:val="18"/>
                <w:color w:val="1E293B"/>
              </w:rPr>
              <w:t xml:space="preserve">Yes</w:t>
            </w:r>
          </w:p>
        </w:tc>
        <w:tc>
          <w:tcPr>
            <w:tcW w:w="2200" w:type="dxa"/>
          </w:tcPr>
          <w:p>
            <w:r>
              <w:rPr>
                <w:rFonts w:ascii="Calibri" w:hAnsi="Calibri"/>
                <w:sz w:val="18"/>
                <w:color w:val="1E293B"/>
              </w:rPr>
              <w:t xml:space="preserve">EU GDPR Art 30(1)(d)</w:t>
            </w:r>
          </w:p>
        </w:tc>
        <w:tc>
          <w:tcPr>
            <w:tcW w:w="2426" w:type="dxa"/>
          </w:tcPr>
          <w:p>
            <w:r>
              <w:rPr>
                <w:rFonts w:ascii="Calibri" w:hAnsi="Calibri"/>
                <w:sz w:val="18"/>
                <w:color w:val="1E293B"/>
              </w:rPr>
              <w:t xml:space="preserve">The categories of recipients to whom personal data have been or will be disclosed, including third-party processors</w:t>
            </w:r>
          </w:p>
        </w:tc>
      </w:tr>
      <w:tr>
        <w:trPr>
          <w:cantSplit/>
        </w:trPr>
        <w:tc>
          <w:tcPr>
            <w:tcW w:w="2000" w:type="dxa"/>
            <w:shd w:val="clear" w:color="auto" w:fill="F8FAFC"/>
          </w:tcPr>
          <w:p>
            <w:r>
              <w:rPr>
                <w:rFonts w:ascii="Calibri" w:hAnsi="Calibri"/>
                <w:sz w:val="18"/>
                <w:color w:val="1E293B"/>
              </w:rPr>
              <w:t xml:space="preserve">Cross-Border Transfers &amp; Safeguards</w:t>
            </w:r>
          </w:p>
        </w:tc>
        <w:tc>
          <w:tcPr>
            <w:tcW w:w="1200" w:type="dxa"/>
            <w:shd w:val="clear" w:color="auto" w:fill="F8FAFC"/>
          </w:tcPr>
          <w:p>
            <w:r>
              <w:rPr>
                <w:rFonts w:ascii="Calibri" w:hAnsi="Calibri"/>
                <w:sz w:val="18"/>
                <w:color w:val="1E293B"/>
              </w:rPr>
              <w:t xml:space="preserve">String</w:t>
            </w:r>
          </w:p>
        </w:tc>
        <w:tc>
          <w:tcPr>
            <w:tcW w:w="1200" w:type="dxa"/>
            <w:shd w:val="clear" w:color="auto" w:fill="F8FAFC"/>
          </w:tcPr>
          <w:p>
            <w:r>
              <w:rPr>
                <w:rFonts w:ascii="Calibri" w:hAnsi="Calibri"/>
                <w:sz w:val="18"/>
                <w:color w:val="1E293B"/>
              </w:rPr>
              <w:t xml:space="preserve">Yes</w:t>
            </w:r>
          </w:p>
        </w:tc>
        <w:tc>
          <w:tcPr>
            <w:tcW w:w="2200" w:type="dxa"/>
            <w:shd w:val="clear" w:color="auto" w:fill="F8FAFC"/>
          </w:tcPr>
          <w:p>
            <w:r>
              <w:rPr>
                <w:rFonts w:ascii="Calibri" w:hAnsi="Calibri"/>
                <w:sz w:val="18"/>
                <w:color w:val="1E293B"/>
              </w:rPr>
              <w:t xml:space="preserve">EU GDPR Art 30(1)(e)</w:t>
            </w:r>
          </w:p>
        </w:tc>
        <w:tc>
          <w:tcPr>
            <w:tcW w:w="2426" w:type="dxa"/>
            <w:shd w:val="clear" w:color="auto" w:fill="F8FAFC"/>
          </w:tcPr>
          <w:p>
            <w:r>
              <w:rPr>
                <w:rFonts w:ascii="Calibri" w:hAnsi="Calibri"/>
                <w:sz w:val="18"/>
                <w:color w:val="1E293B"/>
              </w:rPr>
              <w:t xml:space="preserve">Identification of third country or international organisation and documentation of suitable safeguards (e.g. Standard Contractual Clauses under Art 46)</w:t>
            </w:r>
          </w:p>
        </w:tc>
      </w:tr>
      <w:tr>
        <w:trPr>
          <w:cantSplit/>
        </w:trPr>
        <w:tc>
          <w:tcPr>
            <w:tcW w:w="2000" w:type="dxa"/>
          </w:tcPr>
          <w:p>
            <w:r>
              <w:rPr>
                <w:rFonts w:ascii="Calibri" w:hAnsi="Calibri"/>
                <w:sz w:val="18"/>
                <w:color w:val="1E293B"/>
              </w:rPr>
              <w:t xml:space="preserve">Time Limits for Erasure &amp; Retention Schedule</w:t>
            </w:r>
          </w:p>
        </w:tc>
        <w:tc>
          <w:tcPr>
            <w:tcW w:w="1200" w:type="dxa"/>
          </w:tcPr>
          <w:p>
            <w:r>
              <w:rPr>
                <w:rFonts w:ascii="Calibri" w:hAnsi="Calibri"/>
                <w:sz w:val="18"/>
                <w:color w:val="1E293B"/>
              </w:rPr>
              <w:t xml:space="preserve">String</w:t>
            </w:r>
          </w:p>
        </w:tc>
        <w:tc>
          <w:tcPr>
            <w:tcW w:w="1200" w:type="dxa"/>
          </w:tcPr>
          <w:p>
            <w:r>
              <w:rPr>
                <w:rFonts w:ascii="Calibri" w:hAnsi="Calibri"/>
                <w:sz w:val="18"/>
                <w:color w:val="1E293B"/>
              </w:rPr>
              <w:t xml:space="preserve">Yes</w:t>
            </w:r>
          </w:p>
        </w:tc>
        <w:tc>
          <w:tcPr>
            <w:tcW w:w="2200" w:type="dxa"/>
          </w:tcPr>
          <w:p>
            <w:r>
              <w:rPr>
                <w:rFonts w:ascii="Calibri" w:hAnsi="Calibri"/>
                <w:sz w:val="18"/>
                <w:color w:val="1E293B"/>
              </w:rPr>
              <w:t xml:space="preserve">EU GDPR Art 30(1)(f)</w:t>
            </w:r>
          </w:p>
        </w:tc>
        <w:tc>
          <w:tcPr>
            <w:tcW w:w="2426" w:type="dxa"/>
          </w:tcPr>
          <w:p>
            <w:r>
              <w:rPr>
                <w:rFonts w:ascii="Calibri" w:hAnsi="Calibri"/>
                <w:sz w:val="18"/>
                <w:color w:val="1E293B"/>
              </w:rPr>
              <w:t xml:space="preserve">Envisaged statutory and operational time limits for erasure of the different categories of data</w:t>
            </w:r>
          </w:p>
        </w:tc>
      </w:tr>
      <w:tr>
        <w:trPr>
          <w:cantSplit/>
        </w:trPr>
        <w:tc>
          <w:tcPr>
            <w:tcW w:w="2000" w:type="dxa"/>
            <w:shd w:val="clear" w:color="auto" w:fill="F8FAFC"/>
          </w:tcPr>
          <w:p>
            <w:r>
              <w:rPr>
                <w:rFonts w:ascii="Calibri" w:hAnsi="Calibri"/>
                <w:sz w:val="18"/>
                <w:color w:val="1E293B"/>
              </w:rPr>
              <w:t xml:space="preserve">Technical &amp; Organisational Security Measures (TOMs)</w:t>
            </w:r>
          </w:p>
        </w:tc>
        <w:tc>
          <w:tcPr>
            <w:tcW w:w="1200" w:type="dxa"/>
            <w:shd w:val="clear" w:color="auto" w:fill="F8FAFC"/>
          </w:tcPr>
          <w:p>
            <w:r>
              <w:rPr>
                <w:rFonts w:ascii="Calibri" w:hAnsi="Calibri"/>
                <w:sz w:val="18"/>
                <w:color w:val="1E293B"/>
              </w:rPr>
              <w:t xml:space="preserve">String</w:t>
            </w:r>
          </w:p>
        </w:tc>
        <w:tc>
          <w:tcPr>
            <w:tcW w:w="1200" w:type="dxa"/>
            <w:shd w:val="clear" w:color="auto" w:fill="F8FAFC"/>
          </w:tcPr>
          <w:p>
            <w:r>
              <w:rPr>
                <w:rFonts w:ascii="Calibri" w:hAnsi="Calibri"/>
                <w:sz w:val="18"/>
                <w:color w:val="1E293B"/>
              </w:rPr>
              <w:t xml:space="preserve">Yes</w:t>
            </w:r>
          </w:p>
        </w:tc>
        <w:tc>
          <w:tcPr>
            <w:tcW w:w="2200" w:type="dxa"/>
            <w:shd w:val="clear" w:color="auto" w:fill="F8FAFC"/>
          </w:tcPr>
          <w:p>
            <w:r>
              <w:rPr>
                <w:rFonts w:ascii="Calibri" w:hAnsi="Calibri"/>
                <w:sz w:val="18"/>
                <w:color w:val="1E293B"/>
              </w:rPr>
              <w:t xml:space="preserve">EU GDPR Art 30(1)(g) / Art 32</w:t>
            </w:r>
          </w:p>
        </w:tc>
        <w:tc>
          <w:tcPr>
            <w:tcW w:w="2426" w:type="dxa"/>
            <w:shd w:val="clear" w:color="auto" w:fill="F8FAFC"/>
          </w:tcPr>
          <w:p>
            <w:r>
              <w:rPr>
                <w:rFonts w:ascii="Calibri" w:hAnsi="Calibri"/>
                <w:sz w:val="18"/>
                <w:color w:val="1E293B"/>
              </w:rPr>
              <w:t xml:space="preserve">General description of technical and organisational security measures pursuant to Article 32(1)</w:t>
            </w:r>
          </w:p>
        </w:tc>
      </w:tr>
      <w:tr>
        <w:trPr>
          <w:cantSplit/>
        </w:trPr>
        <w:tc>
          <w:tcPr>
            <w:tcW w:w="2000" w:type="dxa"/>
          </w:tcPr>
          <w:p>
            <w:r>
              <w:rPr>
                <w:rFonts w:ascii="Calibri" w:hAnsi="Calibri"/>
                <w:sz w:val="18"/>
                <w:color w:val="1E293B"/>
              </w:rPr>
              <w:t xml:space="preserve">DPDP Notice Reference &amp; Lawful Ground</w:t>
            </w:r>
          </w:p>
        </w:tc>
        <w:tc>
          <w:tcPr>
            <w:tcW w:w="1200" w:type="dxa"/>
          </w:tcPr>
          <w:p>
            <w:r>
              <w:rPr>
                <w:rFonts w:ascii="Calibri" w:hAnsi="Calibri"/>
                <w:sz w:val="18"/>
                <w:color w:val="1E293B"/>
              </w:rPr>
              <w:t xml:space="preserve">String</w:t>
            </w:r>
          </w:p>
        </w:tc>
        <w:tc>
          <w:tcPr>
            <w:tcW w:w="1200" w:type="dxa"/>
          </w:tcPr>
          <w:p>
            <w:r>
              <w:rPr>
                <w:rFonts w:ascii="Calibri" w:hAnsi="Calibri"/>
                <w:sz w:val="18"/>
                <w:color w:val="1E293B"/>
              </w:rPr>
              <w:t xml:space="preserve">Yes</w:t>
            </w:r>
          </w:p>
        </w:tc>
        <w:tc>
          <w:tcPr>
            <w:tcW w:w="2200" w:type="dxa"/>
          </w:tcPr>
          <w:p>
            <w:r>
              <w:rPr>
                <w:rFonts w:ascii="Calibri" w:hAnsi="Calibri"/>
                <w:sz w:val="18"/>
                <w:color w:val="1E293B"/>
              </w:rPr>
              <w:t xml:space="preserve">DPDP Act 2023 Sec 4 &amp; 5</w:t>
            </w:r>
          </w:p>
        </w:tc>
        <w:tc>
          <w:tcPr>
            <w:tcW w:w="2426" w:type="dxa"/>
          </w:tcPr>
          <w:p>
            <w:r>
              <w:rPr>
                <w:rFonts w:ascii="Calibri" w:hAnsi="Calibri"/>
                <w:sz w:val="18"/>
                <w:color w:val="1E293B"/>
              </w:rPr>
              <w:t xml:space="preserve">Reference to Section 5 notice and lawful ground: consent under Sec 6 or certain legitimate uses under Sec 4(2) / Sec 7</w:t>
            </w:r>
          </w:p>
        </w:tc>
      </w:tr>
      <w:tr>
        <w:trPr>
          <w:cantSplit/>
        </w:trPr>
        <w:tc>
          <w:tcPr>
            <w:tcW w:w="2000" w:type="dxa"/>
            <w:shd w:val="clear" w:color="auto" w:fill="F8FAFC"/>
          </w:tcPr>
          <w:p>
            <w:r>
              <w:rPr>
                <w:rFonts w:ascii="Calibri" w:hAnsi="Calibri"/>
                <w:sz w:val="18"/>
                <w:color w:val="1E293B"/>
              </w:rPr>
              <w:t xml:space="preserve">Minor / Disabled Data Principal Flag</w:t>
            </w:r>
          </w:p>
        </w:tc>
        <w:tc>
          <w:tcPr>
            <w:tcW w:w="1200" w:type="dxa"/>
            <w:shd w:val="clear" w:color="auto" w:fill="F8FAFC"/>
          </w:tcPr>
          <w:p>
            <w:r>
              <w:rPr>
                <w:rFonts w:ascii="Calibri" w:hAnsi="Calibri"/>
                <w:sz w:val="18"/>
                <w:color w:val="1E293B"/>
              </w:rPr>
              <w:t xml:space="preserve">Boolean</w:t>
            </w:r>
          </w:p>
        </w:tc>
        <w:tc>
          <w:tcPr>
            <w:tcW w:w="1200" w:type="dxa"/>
            <w:shd w:val="clear" w:color="auto" w:fill="F8FAFC"/>
          </w:tcPr>
          <w:p>
            <w:r>
              <w:rPr>
                <w:rFonts w:ascii="Calibri" w:hAnsi="Calibri"/>
                <w:sz w:val="18"/>
                <w:color w:val="1E293B"/>
              </w:rPr>
              <w:t xml:space="preserve">Yes</w:t>
            </w:r>
          </w:p>
        </w:tc>
        <w:tc>
          <w:tcPr>
            <w:tcW w:w="2200" w:type="dxa"/>
            <w:shd w:val="clear" w:color="auto" w:fill="F8FAFC"/>
          </w:tcPr>
          <w:p>
            <w:r>
              <w:rPr>
                <w:rFonts w:ascii="Calibri" w:hAnsi="Calibri"/>
                <w:sz w:val="18"/>
                <w:color w:val="1E293B"/>
              </w:rPr>
              <w:t xml:space="preserve">DPDP Act 2023 Sec 9</w:t>
            </w:r>
          </w:p>
        </w:tc>
        <w:tc>
          <w:tcPr>
            <w:tcW w:w="2426" w:type="dxa"/>
            <w:shd w:val="clear" w:color="auto" w:fill="F8FAFC"/>
          </w:tcPr>
          <w:p>
            <w:r>
              <w:rPr>
                <w:rFonts w:ascii="Calibri" w:hAnsi="Calibri"/>
                <w:sz w:val="18"/>
                <w:color w:val="1E293B"/>
              </w:rPr>
              <w:t xml:space="preserve">Indicates whether personal data of children (&lt; 18 years) is processed; triggers verifiable parental consent and prohibition on tracking</w:t>
            </w:r>
          </w:p>
        </w:tc>
      </w:tr>
      <w:tr>
        <w:trPr>
          <w:cantSplit/>
        </w:trPr>
        <w:tc>
          <w:tcPr>
            <w:tcW w:w="2000" w:type="dxa"/>
          </w:tcPr>
          <w:p>
            <w:r>
              <w:rPr>
                <w:rFonts w:ascii="Calibri" w:hAnsi="Calibri"/>
                <w:sz w:val="18"/>
                <w:color w:val="1E293B"/>
              </w:rPr>
              <w:t xml:space="preserve">DPDP Grievance Redressal Mechanism</w:t>
            </w:r>
          </w:p>
        </w:tc>
        <w:tc>
          <w:tcPr>
            <w:tcW w:w="1200" w:type="dxa"/>
          </w:tcPr>
          <w:p>
            <w:r>
              <w:rPr>
                <w:rFonts w:ascii="Calibri" w:hAnsi="Calibri"/>
                <w:sz w:val="18"/>
                <w:color w:val="1E293B"/>
              </w:rPr>
              <w:t xml:space="preserve">String</w:t>
            </w:r>
          </w:p>
        </w:tc>
        <w:tc>
          <w:tcPr>
            <w:tcW w:w="1200" w:type="dxa"/>
          </w:tcPr>
          <w:p>
            <w:r>
              <w:rPr>
                <w:rFonts w:ascii="Calibri" w:hAnsi="Calibri"/>
                <w:sz w:val="18"/>
                <w:color w:val="1E293B"/>
              </w:rPr>
              <w:t xml:space="preserve">Yes</w:t>
            </w:r>
          </w:p>
        </w:tc>
        <w:tc>
          <w:tcPr>
            <w:tcW w:w="2200" w:type="dxa"/>
          </w:tcPr>
          <w:p>
            <w:r>
              <w:rPr>
                <w:rFonts w:ascii="Calibri" w:hAnsi="Calibri"/>
                <w:sz w:val="18"/>
                <w:color w:val="1E293B"/>
              </w:rPr>
              <w:t xml:space="preserve">DPDP Act 2023 Sec 8(9)</w:t>
            </w:r>
          </w:p>
        </w:tc>
        <w:tc>
          <w:tcPr>
            <w:tcW w:w="2426" w:type="dxa"/>
          </w:tcPr>
          <w:p>
            <w:r>
              <w:rPr>
                <w:rFonts w:ascii="Calibri" w:hAnsi="Calibri"/>
                <w:sz w:val="18"/>
                <w:color w:val="1E293B"/>
              </w:rPr>
              <w:t xml:space="preserve">Readily available mechanism and contact details for redressing grievances of Data Principals</w:t>
            </w:r>
          </w:p>
        </w:tc>
      </w:tr>
      <w:tr>
        <w:trPr>
          <w:cantSplit/>
        </w:trPr>
        <w:tc>
          <w:tcPr>
            <w:tcW w:w="2000" w:type="dxa"/>
            <w:shd w:val="clear" w:color="auto" w:fill="F8FAFC"/>
          </w:tcPr>
          <w:p>
            <w:r>
              <w:rPr>
                <w:rFonts w:ascii="Calibri" w:hAnsi="Calibri"/>
                <w:sz w:val="18"/>
                <w:color w:val="1E293B"/>
              </w:rPr>
              <w:t xml:space="preserve">DPDP Purpose Fulfillment Erasure Trigger</w:t>
            </w:r>
          </w:p>
        </w:tc>
        <w:tc>
          <w:tcPr>
            <w:tcW w:w="1200" w:type="dxa"/>
            <w:shd w:val="clear" w:color="auto" w:fill="F8FAFC"/>
          </w:tcPr>
          <w:p>
            <w:r>
              <w:rPr>
                <w:rFonts w:ascii="Calibri" w:hAnsi="Calibri"/>
                <w:sz w:val="18"/>
                <w:color w:val="1E293B"/>
              </w:rPr>
              <w:t xml:space="preserve">String</w:t>
            </w:r>
          </w:p>
        </w:tc>
        <w:tc>
          <w:tcPr>
            <w:tcW w:w="1200" w:type="dxa"/>
            <w:shd w:val="clear" w:color="auto" w:fill="F8FAFC"/>
          </w:tcPr>
          <w:p>
            <w:r>
              <w:rPr>
                <w:rFonts w:ascii="Calibri" w:hAnsi="Calibri"/>
                <w:sz w:val="18"/>
                <w:color w:val="1E293B"/>
              </w:rPr>
              <w:t xml:space="preserve">Yes</w:t>
            </w:r>
          </w:p>
        </w:tc>
        <w:tc>
          <w:tcPr>
            <w:tcW w:w="2200" w:type="dxa"/>
            <w:shd w:val="clear" w:color="auto" w:fill="F8FAFC"/>
          </w:tcPr>
          <w:p>
            <w:r>
              <w:rPr>
                <w:rFonts w:ascii="Calibri" w:hAnsi="Calibri"/>
                <w:sz w:val="18"/>
                <w:color w:val="1E293B"/>
              </w:rPr>
              <w:t xml:space="preserve">DPDP Act 2023 Sec 8(7)</w:t>
            </w:r>
          </w:p>
        </w:tc>
        <w:tc>
          <w:tcPr>
            <w:tcW w:w="2426" w:type="dxa"/>
            <w:shd w:val="clear" w:color="auto" w:fill="F8FAFC"/>
          </w:tcPr>
          <w:p>
            <w:r>
              <w:rPr>
                <w:rFonts w:ascii="Calibri" w:hAnsi="Calibri"/>
                <w:sz w:val="18"/>
                <w:color w:val="1E293B"/>
              </w:rPr>
              <w:t xml:space="preserve">Criteria determining when purpose is no longer being served, triggering mandatory erasure of personal data</w:t>
            </w:r>
          </w:p>
        </w:tc>
      </w:tr>
      <w:tr>
        <w:trPr>
          <w:cantSplit/>
        </w:trPr>
        <w:tc>
          <w:tcPr>
            <w:tcW w:w="2000" w:type="dxa"/>
          </w:tcPr>
          <w:p>
            <w:r>
              <w:rPr>
                <w:rFonts w:ascii="Calibri" w:hAnsi="Calibri"/>
                <w:sz w:val="18"/>
                <w:color w:val="1E293B"/>
              </w:rPr>
              <w:t xml:space="preserve">Internal Process Identifier (Process ID)</w:t>
            </w:r>
          </w:p>
        </w:tc>
        <w:tc>
          <w:tcPr>
            <w:tcW w:w="1200" w:type="dxa"/>
          </w:tcPr>
          <w:p>
            <w:r>
              <w:rPr>
                <w:rFonts w:ascii="Calibri" w:hAnsi="Calibri"/>
                <w:sz w:val="18"/>
                <w:color w:val="1E293B"/>
              </w:rPr>
              <w:t xml:space="preserve">String</w:t>
            </w:r>
          </w:p>
        </w:tc>
        <w:tc>
          <w:tcPr>
            <w:tcW w:w="1200" w:type="dxa"/>
          </w:tcPr>
          <w:p>
            <w:r>
              <w:rPr>
                <w:rFonts w:ascii="Calibri" w:hAnsi="Calibri"/>
                <w:sz w:val="18"/>
                <w:color w:val="1E293B"/>
              </w:rPr>
              <w:t xml:space="preserve">Yes</w:t>
            </w:r>
          </w:p>
        </w:tc>
        <w:tc>
          <w:tcPr>
            <w:tcW w:w="2200" w:type="dxa"/>
          </w:tcPr>
          <w:p>
            <w:r>
              <w:rPr>
                <w:rFonts w:ascii="Calibri" w:hAnsi="Calibri"/>
                <w:sz w:val="18"/>
                <w:color w:val="1E293B"/>
              </w:rPr>
              <w:t xml:space="preserve">Enterprise Governance Standard</w:t>
            </w:r>
          </w:p>
        </w:tc>
        <w:tc>
          <w:tcPr>
            <w:tcW w:w="2426" w:type="dxa"/>
          </w:tcPr>
          <w:p>
            <w:r>
              <w:rPr>
                <w:rFonts w:ascii="Calibri" w:hAnsi="Calibri"/>
                <w:sz w:val="18"/>
                <w:color w:val="1E293B"/>
              </w:rPr>
              <w:t xml:space="preserve">Unique internal inventory identifier assigned to the processing activity</w:t>
            </w:r>
          </w:p>
        </w:tc>
      </w:tr>
      <w:tr>
        <w:trPr>
          <w:cantSplit/>
        </w:trPr>
        <w:tc>
          <w:tcPr>
            <w:tcW w:w="2000" w:type="dxa"/>
            <w:shd w:val="clear" w:color="auto" w:fill="F8FAFC"/>
          </w:tcPr>
          <w:p>
            <w:r>
              <w:rPr>
                <w:rFonts w:ascii="Calibri" w:hAnsi="Calibri"/>
                <w:sz w:val="18"/>
                <w:color w:val="1E293B"/>
              </w:rPr>
              <w:t xml:space="preserve">Lawful Basis under GDPR Art 6</w:t>
            </w:r>
          </w:p>
        </w:tc>
        <w:tc>
          <w:tcPr>
            <w:tcW w:w="1200" w:type="dxa"/>
            <w:shd w:val="clear" w:color="auto" w:fill="F8FAFC"/>
          </w:tcPr>
          <w:p>
            <w:r>
              <w:rPr>
                <w:rFonts w:ascii="Calibri" w:hAnsi="Calibri"/>
                <w:sz w:val="18"/>
                <w:color w:val="1E293B"/>
              </w:rPr>
              <w:t xml:space="preserve">Enum</w:t>
            </w:r>
          </w:p>
        </w:tc>
        <w:tc>
          <w:tcPr>
            <w:tcW w:w="1200" w:type="dxa"/>
            <w:shd w:val="clear" w:color="auto" w:fill="F8FAFC"/>
          </w:tcPr>
          <w:p>
            <w:r>
              <w:rPr>
                <w:rFonts w:ascii="Calibri" w:hAnsi="Calibri"/>
                <w:sz w:val="18"/>
                <w:color w:val="1E293B"/>
              </w:rPr>
              <w:t xml:space="preserve">Yes</w:t>
            </w:r>
          </w:p>
        </w:tc>
        <w:tc>
          <w:tcPr>
            <w:tcW w:w="2200" w:type="dxa"/>
            <w:shd w:val="clear" w:color="auto" w:fill="F8FAFC"/>
          </w:tcPr>
          <w:p>
            <w:r>
              <w:rPr>
                <w:rFonts w:ascii="Calibri" w:hAnsi="Calibri"/>
                <w:sz w:val="18"/>
                <w:color w:val="1E293B"/>
              </w:rPr>
              <w:t xml:space="preserve">EDPB / ICO RoPA Guidance</w:t>
            </w:r>
          </w:p>
        </w:tc>
        <w:tc>
          <w:tcPr>
            <w:tcW w:w="2426" w:type="dxa"/>
            <w:shd w:val="clear" w:color="auto" w:fill="F8FAFC"/>
          </w:tcPr>
          <w:p>
            <w:r>
              <w:rPr>
                <w:rFonts w:ascii="Calibri" w:hAnsi="Calibri"/>
                <w:sz w:val="18"/>
                <w:color w:val="1E293B"/>
              </w:rPr>
              <w:t xml:space="preserve">Specific lawful ground under GDPR Art 6(1): Consent (a), Contract (b), Legal Obligation (c), Vital Interests (d), Public Task (e), or Legitimate Interests (f)</w:t>
            </w:r>
          </w:p>
        </w:tc>
      </w:tr>
      <w:tr>
        <w:trPr>
          <w:cantSplit/>
        </w:trPr>
        <w:tc>
          <w:tcPr>
            <w:tcW w:w="2000" w:type="dxa"/>
          </w:tcPr>
          <w:p>
            <w:r>
              <w:rPr>
                <w:rFonts w:ascii="Calibri" w:hAnsi="Calibri"/>
                <w:sz w:val="18"/>
                <w:color w:val="1E293B"/>
              </w:rPr>
              <w:t xml:space="preserve">DPIA Reference &amp; Risk Rating</w:t>
            </w:r>
          </w:p>
        </w:tc>
        <w:tc>
          <w:tcPr>
            <w:tcW w:w="1200" w:type="dxa"/>
          </w:tcPr>
          <w:p>
            <w:r>
              <w:rPr>
                <w:rFonts w:ascii="Calibri" w:hAnsi="Calibri"/>
                <w:sz w:val="18"/>
                <w:color w:val="1E293B"/>
              </w:rPr>
              <w:t xml:space="preserve">String</w:t>
            </w:r>
          </w:p>
        </w:tc>
        <w:tc>
          <w:tcPr>
            <w:tcW w:w="1200" w:type="dxa"/>
          </w:tcPr>
          <w:p>
            <w:r>
              <w:rPr>
                <w:rFonts w:ascii="Calibri" w:hAnsi="Calibri"/>
                <w:sz w:val="18"/>
                <w:color w:val="1E293B"/>
              </w:rPr>
              <w:t xml:space="preserve">No</w:t>
            </w:r>
          </w:p>
        </w:tc>
        <w:tc>
          <w:tcPr>
            <w:tcW w:w="2200" w:type="dxa"/>
          </w:tcPr>
          <w:p>
            <w:r>
              <w:rPr>
                <w:rFonts w:ascii="Calibri" w:hAnsi="Calibri"/>
                <w:sz w:val="18"/>
                <w:color w:val="1E293B"/>
              </w:rPr>
              <w:t xml:space="preserve">GDPR Art 35 / DPDP Sec 10 Guidance</w:t>
            </w:r>
          </w:p>
        </w:tc>
        <w:tc>
          <w:tcPr>
            <w:tcW w:w="2426" w:type="dxa"/>
          </w:tcPr>
          <w:p>
            <w:r>
              <w:rPr>
                <w:rFonts w:ascii="Calibri" w:hAnsi="Calibri"/>
                <w:sz w:val="18"/>
                <w:color w:val="1E293B"/>
              </w:rPr>
              <w:t xml:space="preserve">Cross-reference to Data Protection Impact Assessment record and residual privacy risk determination</w:t>
            </w:r>
          </w:p>
        </w:tc>
      </w:tr>
      <w:tr>
        <w:trPr>
          <w:cantSplit/>
        </w:trPr>
        <w:tc>
          <w:tcPr>
            <w:tcW w:w="2000" w:type="dxa"/>
            <w:shd w:val="clear" w:color="auto" w:fill="F8FAFC"/>
          </w:tcPr>
          <w:p>
            <w:r>
              <w:rPr>
                <w:rFonts w:ascii="Calibri" w:hAnsi="Calibri"/>
                <w:sz w:val="18"/>
                <w:color w:val="1E293B"/>
              </w:rPr>
              <w:t xml:space="preserve">Operating Business Unit &amp; Custodian</w:t>
            </w:r>
          </w:p>
        </w:tc>
        <w:tc>
          <w:tcPr>
            <w:tcW w:w="1200" w:type="dxa"/>
            <w:shd w:val="clear" w:color="auto" w:fill="F8FAFC"/>
          </w:tcPr>
          <w:p>
            <w:r>
              <w:rPr>
                <w:rFonts w:ascii="Calibri" w:hAnsi="Calibri"/>
                <w:sz w:val="18"/>
                <w:color w:val="1E293B"/>
              </w:rPr>
              <w:t xml:space="preserve">String</w:t>
            </w:r>
          </w:p>
        </w:tc>
        <w:tc>
          <w:tcPr>
            <w:tcW w:w="1200" w:type="dxa"/>
            <w:shd w:val="clear" w:color="auto" w:fill="F8FAFC"/>
          </w:tcPr>
          <w:p>
            <w:r>
              <w:rPr>
                <w:rFonts w:ascii="Calibri" w:hAnsi="Calibri"/>
                <w:sz w:val="18"/>
                <w:color w:val="1E293B"/>
              </w:rPr>
              <w:t xml:space="preserve">Yes</w:t>
            </w:r>
          </w:p>
        </w:tc>
        <w:tc>
          <w:tcPr>
            <w:tcW w:w="2200" w:type="dxa"/>
            <w:shd w:val="clear" w:color="auto" w:fill="F8FAFC"/>
          </w:tcPr>
          <w:p>
            <w:r>
              <w:rPr>
                <w:rFonts w:ascii="Calibri" w:hAnsi="Calibri"/>
                <w:sz w:val="18"/>
                <w:color w:val="1E293B"/>
              </w:rPr>
              <w:t xml:space="preserve">ISO/IEC 27701 Cl 5.2.1</w:t>
            </w:r>
          </w:p>
        </w:tc>
        <w:tc>
          <w:tcPr>
            <w:tcW w:w="2426" w:type="dxa"/>
            <w:shd w:val="clear" w:color="auto" w:fill="F8FAFC"/>
          </w:tcPr>
          <w:p>
            <w:r>
              <w:rPr>
                <w:rFonts w:ascii="Calibri" w:hAnsi="Calibri"/>
                <w:sz w:val="18"/>
                <w:color w:val="1E293B"/>
              </w:rPr>
              <w:t xml:space="preserve">Operating department and individual business owner managing the data processing activity</w:t>
            </w:r>
          </w:p>
        </w:tc>
      </w:tr>
    </w:tbl>
    <w:p>
      <w:pPr>
        <w:sectPr>
          <w:headerReference w:type="default" r:id="rId2"/>
          <w:footerReference w:type="default" r:id="rId3"/>
          <w:pgSz w:w="11906" w:h="16838"/>
          <w:pgMar w:top="1440" w:right="1440" w:bottom="1440" w:left="1440" w:header="720" w:footer="720"/>
        </w:sectPr>
      </w:pPr>
    </w:p>
    <w:p>
      <w:pPr>
        <w:spacing w:before="360" w:after="120"/>
        <w:rPr>
          <w:rFonts w:ascii="Calibri" w:hAnsi="Calibri"/>
          <w:b/>
          <w:sz w:val="32"/>
          <w:color w:val="0F172A"/>
        </w:rPr>
      </w:pPr>
      <w:r>
        <w:rPr>
          <w:rFonts w:ascii="Calibri" w:hAnsi="Calibri"/>
          <w:b/>
          <w:sz w:val="32"/>
          <w:color w:val="0F172A"/>
        </w:rPr>
        <w:t xml:space="preserve">Register Records &amp; Operational Log Entries</w:t>
      </w:r>
    </w:p>
    <w:p>
      <w:pPr>
        <w:spacing w:after="100"/>
      </w:pPr>
      <w:r>
        <w:rPr>
          <w:rFonts w:ascii="Calibri" w:hAnsi="Calibri"/>
          <w:color w:val="1E293B"/>
          <w:sz w:val="20"/>
        </w:rPr>
        <w:t xml:space="preserve">Controlled records of processing operations and evidence entries:</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1800"/>
        <w:gridCol w:w="2000"/>
        <w:gridCol w:w="3600"/>
        <w:gridCol w:w="2800"/>
        <w:gridCol w:w="2600"/>
        <w:gridCol w:w="1878"/>
      </w:tblGrid>
      <w:tr>
        <w:trPr>
          <w:tblHeader/>
          <w:cantSplit/>
        </w:trPr>
        <w:tc>
          <w:tcPr>
            <w:tcW w:w="1800" w:type="dxa"/>
            <w:shd w:val="clear" w:color="auto" w:fill="0F172A"/>
          </w:tcPr>
          <w:p>
            <w:r>
              <w:rPr>
                <w:rFonts w:ascii="Calibri" w:hAnsi="Calibri"/>
                <w:b/>
                <w:color w:val="FFFFFF"/>
                <w:sz w:val="18"/>
              </w:rPr>
              <w:t xml:space="preserve">Record ID</w:t>
            </w:r>
          </w:p>
        </w:tc>
        <w:tc>
          <w:tcPr>
            <w:tcW w:w="2000" w:type="dxa"/>
            <w:shd w:val="clear" w:color="auto" w:fill="0F172A"/>
          </w:tcPr>
          <w:p>
            <w:r>
              <w:rPr>
                <w:rFonts w:ascii="Calibri" w:hAnsi="Calibri"/>
                <w:b/>
                <w:color w:val="FFFFFF"/>
                <w:sz w:val="18"/>
              </w:rPr>
              <w:t xml:space="preserve">Category</w:t>
            </w:r>
          </w:p>
        </w:tc>
        <w:tc>
          <w:tcPr>
            <w:tcW w:w="3600" w:type="dxa"/>
            <w:shd w:val="clear" w:color="auto" w:fill="0F172A"/>
          </w:tcPr>
          <w:p>
            <w:r>
              <w:rPr>
                <w:rFonts w:ascii="Calibri" w:hAnsi="Calibri"/>
                <w:b/>
                <w:color w:val="FFFFFF"/>
                <w:sz w:val="18"/>
              </w:rPr>
              <w:t xml:space="preserve">Activity / Purpose</w:t>
            </w:r>
          </w:p>
        </w:tc>
        <w:tc>
          <w:tcPr>
            <w:tcW w:w="2800" w:type="dxa"/>
            <w:shd w:val="clear" w:color="auto" w:fill="0F172A"/>
          </w:tcPr>
          <w:p>
            <w:r>
              <w:rPr>
                <w:rFonts w:ascii="Calibri" w:hAnsi="Calibri"/>
                <w:b/>
                <w:color w:val="FFFFFF"/>
                <w:sz w:val="18"/>
              </w:rPr>
              <w:t xml:space="preserve">Legal Basis / Scope</w:t>
            </w:r>
          </w:p>
        </w:tc>
        <w:tc>
          <w:tcPr>
            <w:tcW w:w="2600" w:type="dxa"/>
            <w:shd w:val="clear" w:color="auto" w:fill="0F172A"/>
          </w:tcPr>
          <w:p>
            <w:r>
              <w:rPr>
                <w:rFonts w:ascii="Calibri" w:hAnsi="Calibri"/>
                <w:b/>
                <w:color w:val="FFFFFF"/>
                <w:sz w:val="18"/>
              </w:rPr>
              <w:t xml:space="preserve">Safeguards / TOMs</w:t>
            </w:r>
          </w:p>
        </w:tc>
        <w:tc>
          <w:tcPr>
            <w:tcW w:w="1878" w:type="dxa"/>
            <w:shd w:val="clear" w:color="auto" w:fill="0F172A"/>
          </w:tcPr>
          <w:p>
            <w:r>
              <w:rPr>
                <w:rFonts w:ascii="Calibri" w:hAnsi="Calibri"/>
                <w:b/>
                <w:color w:val="FFFFFF"/>
                <w:sz w:val="18"/>
              </w:rPr>
              <w:t xml:space="preserve">Status</w:t>
            </w:r>
          </w:p>
        </w:tc>
      </w:tr>
      <w:tr>
        <w:trPr>
          <w:cantSplit/>
        </w:trPr>
        <w:tc>
          <w:tcPr>
            <w:tcW w:w="1800" w:type="dxa"/>
          </w:tcPr>
          <w:p>
            <w:r>
              <w:rPr>
                <w:rFonts w:ascii="Calibri" w:hAnsi="Calibri"/>
                <w:sz w:val="18"/>
                <w:color w:val="1E293B"/>
              </w:rPr>
              <w:t xml:space="preserve">ROPA-ACT-001</w:t>
            </w:r>
          </w:p>
        </w:tc>
        <w:tc>
          <w:tcPr>
            <w:tcW w:w="2000" w:type="dxa"/>
          </w:tcPr>
          <w:p>
            <w:r>
              <w:rPr>
                <w:rFonts w:ascii="Calibri" w:hAnsi="Calibri"/>
                <w:sz w:val="18"/>
                <w:color w:val="1E293B"/>
              </w:rPr>
              <w:t xml:space="preserve">Customer Operations</w:t>
            </w:r>
          </w:p>
        </w:tc>
        <w:tc>
          <w:tcPr>
            <w:tcW w:w="3600" w:type="dxa"/>
          </w:tcPr>
          <w:p>
            <w:r>
              <w:rPr>
                <w:rFonts w:ascii="Calibri" w:hAnsi="Calibri"/>
                <w:sz w:val="18"/>
                <w:color w:val="1E293B"/>
              </w:rPr>
              <w:t xml:space="preserve">Customer Onboarding &amp; Identity Verification (KYC)
Fulfill statutory identity verification and Anti-Money Laundering (AML) mandates</w:t>
            </w:r>
          </w:p>
        </w:tc>
        <w:tc>
          <w:tcPr>
            <w:tcW w:w="2800" w:type="dxa"/>
          </w:tcPr>
          <w:p>
            <w:r>
              <w:rPr>
                <w:rFonts w:ascii="Calibri" w:hAnsi="Calibri"/>
                <w:sz w:val="18"/>
                <w:color w:val="1E293B"/>
              </w:rPr>
              <w:t xml:space="preserve">Legal Obligation (GDPR Art 6(1)(c))</w:t>
            </w:r>
          </w:p>
        </w:tc>
        <w:tc>
          <w:tcPr>
            <w:tcW w:w="2600" w:type="dxa"/>
          </w:tcPr>
          <w:p>
            <w:r>
              <w:rPr>
                <w:rFonts w:ascii="Calibri" w:hAnsi="Calibri"/>
                <w:sz w:val="18"/>
                <w:color w:val="1E293B"/>
              </w:rPr>
              <w:t xml:space="preserve">AES-256 field-level encryption, TLS 1.3 in transit, KMS envelope encryption, Role-based access</w:t>
            </w:r>
          </w:p>
        </w:tc>
        <w:tc>
          <w:tcPr>
            <w:tcW w:w="1878" w:type="dxa"/>
          </w:tcPr>
          <w:p>
            <w:r>
              <w:rPr>
                <w:rFonts w:ascii="Calibri" w:hAnsi="Calibri"/>
                <w:sz w:val="18"/>
                <w:color w:val="1E293B"/>
              </w:rPr>
              <w:t xml:space="preserve">VERIFIED_COMPLIANT</w:t>
            </w:r>
          </w:p>
        </w:tc>
      </w:tr>
      <w:tr>
        <w:trPr>
          <w:cantSplit/>
        </w:trPr>
        <w:tc>
          <w:tcPr>
            <w:tcW w:w="1800" w:type="dxa"/>
            <w:shd w:val="clear" w:color="auto" w:fill="F8FAFC"/>
          </w:tcPr>
          <w:p>
            <w:r>
              <w:rPr>
                <w:rFonts w:ascii="Calibri" w:hAnsi="Calibri"/>
                <w:sz w:val="18"/>
                <w:color w:val="1E293B"/>
              </w:rPr>
              <w:t xml:space="preserve">ROPA-ACT-002</w:t>
            </w:r>
          </w:p>
        </w:tc>
        <w:tc>
          <w:tcPr>
            <w:tcW w:w="2000" w:type="dxa"/>
            <w:shd w:val="clear" w:color="auto" w:fill="F8FAFC"/>
          </w:tcPr>
          <w:p>
            <w:r>
              <w:rPr>
                <w:rFonts w:ascii="Calibri" w:hAnsi="Calibri"/>
                <w:sz w:val="18"/>
                <w:color w:val="1E293B"/>
              </w:rPr>
              <w:t xml:space="preserve">Human Resources</w:t>
            </w:r>
          </w:p>
        </w:tc>
        <w:tc>
          <w:tcPr>
            <w:tcW w:w="3600" w:type="dxa"/>
            <w:shd w:val="clear" w:color="auto" w:fill="F8FAFC"/>
          </w:tcPr>
          <w:p>
            <w:r>
              <w:rPr>
                <w:rFonts w:ascii="Calibri" w:hAnsi="Calibri"/>
                <w:sz w:val="18"/>
                <w:color w:val="1E293B"/>
              </w:rPr>
              <w:t xml:space="preserve">Workforce Human Resources &amp; Payroll Administration
Employment contract execution, salary remittance, tax withholding, and benefit management</w:t>
            </w:r>
          </w:p>
        </w:tc>
        <w:tc>
          <w:tcPr>
            <w:tcW w:w="2800" w:type="dxa"/>
            <w:shd w:val="clear" w:color="auto" w:fill="F8FAFC"/>
          </w:tcPr>
          <w:p>
            <w:r>
              <w:rPr>
                <w:rFonts w:ascii="Calibri" w:hAnsi="Calibri"/>
                <w:sz w:val="18"/>
                <w:color w:val="1E293B"/>
              </w:rPr>
              <w:t xml:space="preserve">Performance of Contract (GDPR Art 6(1)(b))</w:t>
            </w:r>
          </w:p>
        </w:tc>
        <w:tc>
          <w:tcPr>
            <w:tcW w:w="2600" w:type="dxa"/>
            <w:shd w:val="clear" w:color="auto" w:fill="F8FAFC"/>
          </w:tcPr>
          <w:p>
            <w:r>
              <w:rPr>
                <w:rFonts w:ascii="Calibri" w:hAnsi="Calibri"/>
                <w:sz w:val="18"/>
                <w:color w:val="1E293B"/>
              </w:rPr>
              <w:t xml:space="preserve">SSO with mandatory FIDO2 hardware MFA, database column masking, strict RBAC</w:t>
            </w:r>
          </w:p>
        </w:tc>
        <w:tc>
          <w:tcPr>
            <w:tcW w:w="1878" w:type="dxa"/>
            <w:shd w:val="clear" w:color="auto" w:fill="F8FAFC"/>
          </w:tcPr>
          <w:p>
            <w:r>
              <w:rPr>
                <w:rFonts w:ascii="Calibri" w:hAnsi="Calibri"/>
                <w:sz w:val="18"/>
                <w:color w:val="1E293B"/>
              </w:rPr>
              <w:t xml:space="preserve">VERIFIED_COMPLIANT</w:t>
            </w:r>
          </w:p>
        </w:tc>
      </w:tr>
      <w:tr>
        <w:trPr>
          <w:cantSplit/>
        </w:trPr>
        <w:tc>
          <w:tcPr>
            <w:tcW w:w="1800" w:type="dxa"/>
          </w:tcPr>
          <w:p>
            <w:r>
              <w:rPr>
                <w:rFonts w:ascii="Calibri" w:hAnsi="Calibri"/>
                <w:sz w:val="18"/>
                <w:color w:val="1E293B"/>
              </w:rPr>
              <w:t xml:space="preserve">ROPA-ACT-003</w:t>
            </w:r>
          </w:p>
        </w:tc>
        <w:tc>
          <w:tcPr>
            <w:tcW w:w="2000" w:type="dxa"/>
          </w:tcPr>
          <w:p>
            <w:r>
              <w:rPr>
                <w:rFonts w:ascii="Calibri" w:hAnsi="Calibri"/>
                <w:sz w:val="18"/>
                <w:color w:val="1E293B"/>
              </w:rPr>
              <w:t xml:space="preserve">Technology &amp; Product</w:t>
            </w:r>
          </w:p>
        </w:tc>
        <w:tc>
          <w:tcPr>
            <w:tcW w:w="3600" w:type="dxa"/>
          </w:tcPr>
          <w:p>
            <w:r>
              <w:rPr>
                <w:rFonts w:ascii="Calibri" w:hAnsi="Calibri"/>
                <w:sz w:val="18"/>
                <w:color w:val="1E293B"/>
              </w:rPr>
              <w:t xml:space="preserve">Cloud Platform Diagnostic Telemetry &amp; Error Logging
System stability monitoring, cyber threat detection, and software bug remediation</w:t>
            </w:r>
          </w:p>
        </w:tc>
        <w:tc>
          <w:tcPr>
            <w:tcW w:w="2800" w:type="dxa"/>
          </w:tcPr>
          <w:p>
            <w:r>
              <w:rPr>
                <w:rFonts w:ascii="Calibri" w:hAnsi="Calibri"/>
                <w:sz w:val="18"/>
                <w:color w:val="1E293B"/>
              </w:rPr>
              <w:t xml:space="preserve">Legitimate Interest (GDPR Art 6(1)(f))</w:t>
            </w:r>
          </w:p>
        </w:tc>
        <w:tc>
          <w:tcPr>
            <w:tcW w:w="2600" w:type="dxa"/>
          </w:tcPr>
          <w:p>
            <w:r>
              <w:rPr>
                <w:rFonts w:ascii="Calibri" w:hAnsi="Calibri"/>
                <w:sz w:val="18"/>
                <w:color w:val="1E293B"/>
              </w:rPr>
              <w:t xml:space="preserve">Automated PII scrubbing at ingestion proxy, salted hashing of session identifiers, TLS 1.3</w:t>
            </w:r>
          </w:p>
        </w:tc>
        <w:tc>
          <w:tcPr>
            <w:tcW w:w="1878" w:type="dxa"/>
          </w:tcPr>
          <w:p>
            <w:r>
              <w:rPr>
                <w:rFonts w:ascii="Calibri" w:hAnsi="Calibri"/>
                <w:sz w:val="18"/>
                <w:color w:val="1E293B"/>
              </w:rPr>
              <w:t xml:space="preserve">VERIFIED_COMPLIANT</w:t>
            </w:r>
          </w:p>
        </w:tc>
      </w:tr>
    </w:tbl>
    <w:p>
      <w:pPr>
        <w:sectPr>
          <w:headerReference w:type="default" r:id="rId2"/>
          <w:footerReference w:type="default" r:id="rId3"/>
          <w:pgSz w:w="16838" w:h="11906" w:orient="landscape"/>
          <w:pgMar w:top="1080" w:right="1080" w:bottom="1080" w:left="1080" w:header="540" w:footer="540"/>
        </w:sectPr>
      </w:pPr>
    </w:p>
    <w:p>
      <w:pPr>
        <w:spacing w:before="360" w:after="120"/>
        <w:rPr>
          <w:rFonts w:ascii="Calibri" w:hAnsi="Calibri"/>
          <w:b/>
          <w:sz w:val="32"/>
          <w:color w:val="0F172A"/>
        </w:rPr>
      </w:pPr>
      <w:r>
        <w:rPr>
          <w:rFonts w:ascii="Calibri" w:hAnsi="Calibri"/>
          <w:b/>
          <w:sz w:val="32"/>
          <w:color w:val="0F172A"/>
        </w:rPr>
        <w:t xml:space="preserve">Exceptions and Risk Acceptance</w:t>
      </w:r>
    </w:p>
    <w:p>
      <w:pPr>
        <w:spacing w:after="100"/>
      </w:pPr>
      <w:r>
        <w:rPr>
          <w:rFonts w:ascii="Calibri" w:hAnsi="Calibri"/>
          <w:color w:val="1E293B"/>
          <w:sz w:val="20"/>
        </w:rPr>
        <w:t xml:space="preserve">An exception request shall identify the requirement and affected scope, business rationale, risk assessment, compensating controls, accountable owner, authorized approver, start and expiry/review dates, monitoring arrangements and closure criteria. The requester shall not approve their own exception where segregation of duties is required. Overdue exceptions shall be escalated according to the approved governance process.</w:t>
      </w:r>
    </w:p>
    <w:p>
      <w:pPr>
        <w:spacing w:before="360" w:after="120"/>
        <w:rPr>
          <w:rFonts w:ascii="Calibri" w:hAnsi="Calibri"/>
          <w:b/>
          <w:sz w:val="32"/>
          <w:color w:val="0F172A"/>
        </w:rPr>
      </w:pPr>
      <w:r>
        <w:rPr>
          <w:rFonts w:ascii="Calibri" w:hAnsi="Calibri"/>
          <w:b/>
          <w:sz w:val="32"/>
          <w:color w:val="0F172A"/>
        </w:rPr>
        <w:t xml:space="preserve">Monitoring, Audit and Management Review</w:t>
      </w:r>
    </w:p>
    <w:p>
      <w:pPr>
        <w:spacing w:after="100"/>
      </w:pPr>
      <w:r>
        <w:rPr>
          <w:rFonts w:ascii="Calibri" w:hAnsi="Calibri"/>
          <w:color w:val="1E293B"/>
          <w:sz w:val="20"/>
        </w:rPr>
        <w:t xml:space="preserve">The organization shall define measures that support evaluation of ISMS performance and control operation. Internal audits shall be planned using defined criteria, scope, frequency and impartiality safeguards. Findings shall be recorded and addressed through corrective action. Management review shall consider relevant changes, audit results, risk status, objective performance, incidents, nonconformities, interested-party feedback, resources and improvement opportunities.</w:t>
      </w:r>
    </w:p>
    <w:p>
      <w:pPr>
        <w:spacing w:before="360" w:after="120"/>
        <w:rPr>
          <w:rFonts w:ascii="Calibri" w:hAnsi="Calibri"/>
          <w:b/>
          <w:sz w:val="32"/>
          <w:color w:val="0F172A"/>
        </w:rPr>
      </w:pPr>
      <w:r>
        <w:rPr>
          <w:rFonts w:ascii="Calibri" w:hAnsi="Calibri"/>
          <w:b/>
          <w:sz w:val="32"/>
          <w:color w:val="0F172A"/>
        </w:rPr>
        <w:t xml:space="preserve">Nonconformity and Continual Improvement</w:t>
      </w:r>
    </w:p>
    <w:p>
      <w:pPr>
        <w:spacing w:after="100"/>
      </w:pPr>
      <w:r>
        <w:rPr>
          <w:rFonts w:ascii="Calibri" w:hAnsi="Calibri"/>
          <w:color w:val="1E293B"/>
          <w:sz w:val="20"/>
        </w:rPr>
        <w:t xml:space="preserve">When a nonconformity occurs, the responsible owner shall contain or correct the issue as appropriate, assess consequences, determine root cause where warranted, implement proportionate corrective action, and evaluate effectiveness. Closure shall be supported by evidence and independent retesting where required. Recurring issues shall be escalated for systemic review.</w:t>
      </w:r>
    </w:p>
    <w:p>
      <w:pPr>
        <w:spacing w:before="360" w:after="120"/>
        <w:rPr>
          <w:rFonts w:ascii="Calibri" w:hAnsi="Calibri"/>
          <w:b/>
          <w:sz w:val="32"/>
          <w:color w:val="0F172A"/>
        </w:rPr>
      </w:pPr>
      <w:r>
        <w:rPr>
          <w:rFonts w:ascii="Calibri" w:hAnsi="Calibri"/>
          <w:b/>
          <w:sz w:val="32"/>
          <w:color w:val="0F172A"/>
        </w:rPr>
        <w:t xml:space="preserve">Communication, Publication and Enforcement</w:t>
      </w:r>
    </w:p>
    <w:p>
      <w:pPr>
        <w:spacing w:after="100"/>
      </w:pPr>
      <w:r>
        <w:rPr>
          <w:rFonts w:ascii="Calibri" w:hAnsi="Calibri"/>
          <w:color w:val="1E293B"/>
          <w:sz w:val="20"/>
        </w:rPr>
        <w:t xml:space="preserve">The document owner shall ensure the current approved version is communicated to relevant interested parties and made accessible according to classification and need. Only the controlled published version is authoritative.</w:t>
      </w:r>
    </w:p>
    <w:p>
      <w:pPr>
        <w:spacing w:before="360" w:after="120"/>
        <w:rPr>
          <w:rFonts w:ascii="Calibri" w:hAnsi="Calibri"/>
          <w:b/>
          <w:sz w:val="32"/>
          <w:color w:val="0F172A"/>
        </w:rPr>
      </w:pPr>
      <w:r>
        <w:rPr>
          <w:rFonts w:ascii="Calibri" w:hAnsi="Calibri"/>
          <w:b/>
          <w:sz w:val="32"/>
          <w:color w:val="0F172A"/>
        </w:rPr>
        <w:t xml:space="preserve">Related Controlled Documents &amp; Systems</w:t>
      </w:r>
    </w:p>
    <w:p>
      <w:pPr>
        <w:spacing w:after="100"/>
      </w:pPr>
      <w:r>
        <w:rPr>
          <w:rFonts w:ascii="Calibri" w:hAnsi="Calibri"/>
          <w:color w:val="1E293B"/>
          <w:sz w:val="20"/>
        </w:rPr>
        <w:t xml:space="preserve">• Acme Global Information Security Policy (ISMS-POL-001)</w:t>
      </w:r>
    </w:p>
    <w:p>
      <w:pPr>
        <w:spacing w:after="100"/>
      </w:pPr>
      <w:r>
        <w:rPr>
          <w:rFonts w:ascii="Calibri" w:hAnsi="Calibri"/>
          <w:color w:val="1E293B"/>
          <w:sz w:val="20"/>
        </w:rPr>
        <w:t xml:space="preserve">• Acme Identity and Access Management Standard (ISMS-STD-IAM-001)</w:t>
      </w:r>
    </w:p>
    <w:p>
      <w:pPr>
        <w:spacing w:after="100"/>
      </w:pPr>
      <w:r>
        <w:rPr>
          <w:rFonts w:ascii="Calibri" w:hAnsi="Calibri"/>
          <w:color w:val="1E293B"/>
          <w:sz w:val="20"/>
        </w:rPr>
        <w:t xml:space="preserve">• Enterprise Risk Management Register</w:t>
      </w:r>
    </w:p>
    <w:p>
      <w:pPr>
        <w:spacing w:after="100"/>
      </w:pPr>
      <w:r>
        <w:rPr>
          <w:rFonts w:ascii="Calibri" w:hAnsi="Calibri"/>
          <w:color w:val="1E293B"/>
          <w:sz w:val="20"/>
        </w:rPr>
        <w:t xml:space="preserve">• Authoritative Evidence Vault &amp; AWS S3 WORM Bucket</w:t>
      </w:r>
    </w:p>
    <w:p>
      <w:pPr>
        <w:spacing w:before="360" w:after="120"/>
        <w:rPr>
          <w:rFonts w:ascii="Calibri" w:hAnsi="Calibri"/>
          <w:b/>
          <w:sz w:val="32"/>
          <w:color w:val="0F172A"/>
        </w:rPr>
      </w:pPr>
      <w:r>
        <w:rPr>
          <w:rFonts w:ascii="Calibri" w:hAnsi="Calibri"/>
          <w:b/>
          <w:sz w:val="32"/>
          <w:color w:val="0F172A"/>
        </w:rPr>
        <w:t xml:space="preserve">Document Review and Change Control</w:t>
      </w:r>
    </w:p>
    <w:p>
      <w:pPr>
        <w:spacing w:after="100"/>
      </w:pPr>
      <w:r>
        <w:rPr>
          <w:rFonts w:ascii="Calibri" w:hAnsi="Calibri"/>
          <w:color w:val="1E293B"/>
          <w:sz w:val="20"/>
        </w:rPr>
        <w:t xml:space="preserve">This register_log is reviewed annually by the DPO &amp; Privacy Lead and approved by the General Counsel. Significant architecture redesign, critical incident retrospectives, or new statutory mandates trigger mandatory out-of-cycle revisions within 30 calendar days.</w:t>
      </w:r>
    </w:p>
    <w:p>
      <w:pPr>
        <w:spacing w:before="360" w:after="120"/>
        <w:rPr>
          <w:rFonts w:ascii="Calibri" w:hAnsi="Calibri"/>
          <w:b/>
          <w:sz w:val="32"/>
          <w:color w:val="0F172A"/>
        </w:rPr>
      </w:pPr>
      <w:r>
        <w:rPr>
          <w:rFonts w:ascii="Calibri" w:hAnsi="Calibri"/>
          <w:b/>
          <w:sz w:val="32"/>
          <w:color w:val="0F172A"/>
        </w:rPr>
        <w:t xml:space="preserve">Appendix A — Approval Record</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200"/>
        <w:gridCol w:w="2000"/>
        <w:gridCol w:w="1600"/>
        <w:gridCol w:w="1400"/>
        <w:gridCol w:w="1826"/>
      </w:tblGrid>
      <w:tr>
        <w:trPr>
          <w:tblHeader/>
          <w:cantSplit/>
        </w:trPr>
        <w:tc>
          <w:tcPr>
            <w:tcW w:w="2200" w:type="dxa"/>
            <w:shd w:val="clear" w:color="auto" w:fill="0F172A"/>
          </w:tcPr>
          <w:p>
            <w:r>
              <w:rPr>
                <w:rFonts w:ascii="Calibri" w:hAnsi="Calibri"/>
                <w:b/>
                <w:color w:val="FFFFFF"/>
                <w:sz w:val="18"/>
              </w:rPr>
              <w:t xml:space="preserve">Role</w:t>
            </w:r>
          </w:p>
        </w:tc>
        <w:tc>
          <w:tcPr>
            <w:tcW w:w="2000" w:type="dxa"/>
            <w:shd w:val="clear" w:color="auto" w:fill="0F172A"/>
          </w:tcPr>
          <w:p>
            <w:r>
              <w:rPr>
                <w:rFonts w:ascii="Calibri" w:hAnsi="Calibri"/>
                <w:b/>
                <w:color w:val="FFFFFF"/>
                <w:sz w:val="18"/>
              </w:rPr>
              <w:t xml:space="preserve">Name / identity</w:t>
            </w:r>
          </w:p>
        </w:tc>
        <w:tc>
          <w:tcPr>
            <w:tcW w:w="1600" w:type="dxa"/>
            <w:shd w:val="clear" w:color="auto" w:fill="0F172A"/>
          </w:tcPr>
          <w:p>
            <w:r>
              <w:rPr>
                <w:rFonts w:ascii="Calibri" w:hAnsi="Calibri"/>
                <w:b/>
                <w:color w:val="FFFFFF"/>
                <w:sz w:val="18"/>
              </w:rPr>
              <w:t xml:space="preserve">Decision</w:t>
            </w:r>
          </w:p>
        </w:tc>
        <w:tc>
          <w:tcPr>
            <w:tcW w:w="1400" w:type="dxa"/>
            <w:shd w:val="clear" w:color="auto" w:fill="0F172A"/>
          </w:tcPr>
          <w:p>
            <w:r>
              <w:rPr>
                <w:rFonts w:ascii="Calibri" w:hAnsi="Calibri"/>
                <w:b/>
                <w:color w:val="FFFFFF"/>
                <w:sz w:val="18"/>
              </w:rPr>
              <w:t xml:space="preserve">Date</w:t>
            </w:r>
          </w:p>
        </w:tc>
        <w:tc>
          <w:tcPr>
            <w:tcW w:w="1826" w:type="dxa"/>
            <w:shd w:val="clear" w:color="auto" w:fill="0F172A"/>
          </w:tcPr>
          <w:p>
            <w:r>
              <w:rPr>
                <w:rFonts w:ascii="Calibri" w:hAnsi="Calibri"/>
                <w:b/>
                <w:color w:val="FFFFFF"/>
                <w:sz w:val="18"/>
              </w:rPr>
              <w:t xml:space="preserve">Evidence reference</w:t>
            </w:r>
          </w:p>
        </w:tc>
      </w:tr>
      <w:tr>
        <w:trPr>
          <w:cantSplit/>
        </w:trPr>
        <w:tc>
          <w:tcPr>
            <w:tcW w:w="2200" w:type="dxa"/>
          </w:tcPr>
          <w:p>
            <w:r>
              <w:rPr>
                <w:rFonts w:ascii="Calibri" w:hAnsi="Calibri"/>
                <w:sz w:val="18"/>
                <w:color w:val="1E293B"/>
              </w:rPr>
              <w:t xml:space="preserve">DPO &amp; Privacy Lead</w:t>
            </w:r>
          </w:p>
        </w:tc>
        <w:tc>
          <w:tcPr>
            <w:tcW w:w="2000" w:type="dxa"/>
          </w:tcPr>
          <w:p>
            <w:r>
              <w:rPr>
                <w:rFonts w:ascii="Calibri" w:hAnsi="Calibri"/>
                <w:sz w:val="18"/>
                <w:color w:val="1E293B"/>
              </w:rPr>
              <w:t xml:space="preserve">Illustrative Benchmark Role</w:t>
            </w:r>
          </w:p>
        </w:tc>
        <w:tc>
          <w:tcPr>
            <w:tcW w:w="1600" w:type="dxa"/>
          </w:tcPr>
          <w:p>
            <w:r>
              <w:rPr>
                <w:rFonts w:ascii="Calibri" w:hAnsi="Calibri"/>
                <w:sz w:val="18"/>
                <w:color w:val="1E293B"/>
              </w:rPr>
              <w:t xml:space="preserve">Review pending</w:t>
            </w:r>
          </w:p>
        </w:tc>
        <w:tc>
          <w:tcPr>
            <w:tcW w:w="1400" w:type="dxa"/>
          </w:tcPr>
          <w:p>
            <w:r>
              <w:rPr>
                <w:rFonts w:ascii="Calibri" w:hAnsi="Calibri"/>
                <w:sz w:val="18"/>
                <w:color w:val="1E293B"/>
              </w:rPr>
              <w:t xml:space="preserve">Pending</w:t>
            </w:r>
          </w:p>
        </w:tc>
        <w:tc>
          <w:tcPr>
            <w:tcW w:w="1826" w:type="dxa"/>
          </w:tcPr>
          <w:p>
            <w:r>
              <w:rPr>
                <w:rFonts w:ascii="Calibri" w:hAnsi="Calibri"/>
                <w:sz w:val="18"/>
                <w:color w:val="1E293B"/>
              </w:rPr>
              <w:t xml:space="preserve">SKANDA-MODEL-SPEC</w:t>
            </w:r>
          </w:p>
        </w:tc>
      </w:tr>
      <w:tr>
        <w:trPr>
          <w:cantSplit/>
        </w:trPr>
        <w:tc>
          <w:tcPr>
            <w:tcW w:w="2200" w:type="dxa"/>
            <w:shd w:val="clear" w:color="auto" w:fill="F8FAFC"/>
          </w:tcPr>
          <w:p>
            <w:r>
              <w:rPr>
                <w:rFonts w:ascii="Calibri" w:hAnsi="Calibri"/>
                <w:sz w:val="18"/>
                <w:color w:val="1E293B"/>
              </w:rPr>
              <w:t xml:space="preserve">General Counsel</w:t>
            </w:r>
          </w:p>
        </w:tc>
        <w:tc>
          <w:tcPr>
            <w:tcW w:w="2000" w:type="dxa"/>
            <w:shd w:val="clear" w:color="auto" w:fill="F8FAFC"/>
          </w:tcPr>
          <w:p>
            <w:r>
              <w:rPr>
                <w:rFonts w:ascii="Calibri" w:hAnsi="Calibri"/>
                <w:sz w:val="18"/>
                <w:color w:val="1E293B"/>
              </w:rPr>
              <w:t xml:space="preserve">Illustrative Executive Approver</w:t>
            </w:r>
          </w:p>
        </w:tc>
        <w:tc>
          <w:tcPr>
            <w:tcW w:w="1600" w:type="dxa"/>
            <w:shd w:val="clear" w:color="auto" w:fill="F8FAFC"/>
          </w:tcPr>
          <w:p>
            <w:r>
              <w:rPr>
                <w:rFonts w:ascii="Calibri" w:hAnsi="Calibri"/>
                <w:sz w:val="18"/>
                <w:color w:val="1E293B"/>
              </w:rPr>
              <w:t xml:space="preserve">Approval pending</w:t>
            </w:r>
          </w:p>
        </w:tc>
        <w:tc>
          <w:tcPr>
            <w:tcW w:w="1400" w:type="dxa"/>
            <w:shd w:val="clear" w:color="auto" w:fill="F8FAFC"/>
          </w:tcPr>
          <w:p>
            <w:r>
              <w:rPr>
                <w:rFonts w:ascii="Calibri" w:hAnsi="Calibri"/>
                <w:sz w:val="18"/>
                <w:color w:val="1E293B"/>
              </w:rPr>
              <w:t xml:space="preserve">Pending</w:t>
            </w:r>
          </w:p>
        </w:tc>
        <w:tc>
          <w:tcPr>
            <w:tcW w:w="1826" w:type="dxa"/>
            <w:shd w:val="clear" w:color="auto" w:fill="F8FAFC"/>
          </w:tcPr>
          <w:p>
            <w:r>
              <w:rPr>
                <w:rFonts w:ascii="Calibri" w:hAnsi="Calibri"/>
                <w:sz w:val="18"/>
                <w:color w:val="1E293B"/>
              </w:rPr>
              <w:t xml:space="preserve">SKANDA-MODEL-SPEC</w:t>
            </w:r>
          </w:p>
        </w:tc>
      </w:tr>
    </w:tbl>
    <w:p>
      <w:pPr>
        <w:spacing w:before="360" w:after="120"/>
        <w:rPr>
          <w:rFonts w:ascii="Calibri" w:hAnsi="Calibri"/>
          <w:b/>
          <w:sz w:val="32"/>
          <w:color w:val="0F172A"/>
        </w:rPr>
      </w:pPr>
      <w:r>
        <w:rPr>
          <w:rFonts w:ascii="Calibri" w:hAnsi="Calibri"/>
          <w:b/>
          <w:sz w:val="32"/>
          <w:color w:val="0F172A"/>
        </w:rPr>
        <w:t xml:space="preserve">Appendix C — Pre-Publication Tailoring Checklist</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1600"/>
        <w:gridCol w:w="5626"/>
        <w:gridCol w:w="1800"/>
      </w:tblGrid>
      <w:tr>
        <w:trPr>
          <w:tblHeader/>
          <w:cantSplit/>
        </w:trPr>
        <w:tc>
          <w:tcPr>
            <w:tcW w:w="1600" w:type="dxa"/>
            <w:shd w:val="clear" w:color="auto" w:fill="0F172A"/>
          </w:tcPr>
          <w:p>
            <w:r>
              <w:rPr>
                <w:rFonts w:ascii="Calibri" w:hAnsi="Calibri"/>
                <w:b/>
                <w:color w:val="FFFFFF"/>
                <w:sz w:val="18"/>
              </w:rPr>
              <w:t xml:space="preserve">Checklist ID</w:t>
            </w:r>
          </w:p>
        </w:tc>
        <w:tc>
          <w:tcPr>
            <w:tcW w:w="5626" w:type="dxa"/>
            <w:shd w:val="clear" w:color="auto" w:fill="0F172A"/>
          </w:tcPr>
          <w:p>
            <w:r>
              <w:rPr>
                <w:rFonts w:ascii="Calibri" w:hAnsi="Calibri"/>
                <w:b/>
                <w:color w:val="FFFFFF"/>
                <w:sz w:val="18"/>
              </w:rPr>
              <w:t xml:space="preserve">Description</w:t>
            </w:r>
          </w:p>
        </w:tc>
        <w:tc>
          <w:tcPr>
            <w:tcW w:w="1800" w:type="dxa"/>
            <w:shd w:val="clear" w:color="auto" w:fill="0F172A"/>
          </w:tcPr>
          <w:p>
            <w:r>
              <w:rPr>
                <w:rFonts w:ascii="Calibri" w:hAnsi="Calibri"/>
                <w:b/>
                <w:color w:val="FFFFFF"/>
                <w:sz w:val="18"/>
              </w:rPr>
              <w:t xml:space="preserve">Status</w:t>
            </w:r>
          </w:p>
        </w:tc>
      </w:tr>
      <w:tr>
        <w:trPr>
          <w:cantSplit/>
        </w:trPr>
        <w:tc>
          <w:tcPr>
            <w:tcW w:w="1600" w:type="dxa"/>
          </w:tcPr>
          <w:p>
            <w:r>
              <w:rPr>
                <w:rFonts w:ascii="Calibri" w:hAnsi="Calibri"/>
                <w:sz w:val="18"/>
                <w:color w:val="1E293B"/>
              </w:rPr>
              <w:t xml:space="preserve">CHK-INPUT-01</w:t>
            </w:r>
          </w:p>
        </w:tc>
        <w:tc>
          <w:tcPr>
            <w:tcW w:w="5626" w:type="dxa"/>
          </w:tcPr>
          <w:p>
            <w:r>
              <w:rPr>
                <w:rFonts w:ascii="Calibri" w:hAnsi="Calibri"/>
                <w:sz w:val="18"/>
                <w:color w:val="1E293B"/>
              </w:rPr>
              <w:t xml:space="preserve">Validate organizational value for: organizationProfile.legalEntityName (currently set to illustrative benchmark).</w:t>
            </w:r>
          </w:p>
        </w:tc>
        <w:tc>
          <w:tcPr>
            <w:tcW w:w="1800" w:type="dxa"/>
          </w:tcPr>
          <w:p>
            <w:r>
              <w:rPr>
                <w:rFonts w:ascii="Calibri" w:hAnsi="Calibri"/>
                <w:sz w:val="18"/>
                <w:color w:val="1E293B"/>
              </w:rPr>
              <w:t xml:space="preserve">[ ] Pending Tailoring</w:t>
            </w:r>
          </w:p>
        </w:tc>
      </w:tr>
      <w:tr>
        <w:trPr>
          <w:cantSplit/>
        </w:trPr>
        <w:tc>
          <w:tcPr>
            <w:tcW w:w="1600" w:type="dxa"/>
            <w:shd w:val="clear" w:color="auto" w:fill="F8FAFC"/>
          </w:tcPr>
          <w:p>
            <w:r>
              <w:rPr>
                <w:rFonts w:ascii="Calibri" w:hAnsi="Calibri"/>
                <w:sz w:val="18"/>
                <w:color w:val="1E293B"/>
              </w:rPr>
              <w:t xml:space="preserve">CHK-INPUT-02</w:t>
            </w:r>
          </w:p>
        </w:tc>
        <w:tc>
          <w:tcPr>
            <w:tcW w:w="5626" w:type="dxa"/>
            <w:shd w:val="clear" w:color="auto" w:fill="F8FAFC"/>
          </w:tcPr>
          <w:p>
            <w:r>
              <w:rPr>
                <w:rFonts w:ascii="Calibri" w:hAnsi="Calibri"/>
                <w:sz w:val="18"/>
                <w:color w:val="1E293B"/>
              </w:rPr>
              <w:t xml:space="preserve">Validate organizational value for: scopeDefinition.inScopeServicesAndProducts (currently set to illustrative benchmark).</w:t>
            </w:r>
          </w:p>
        </w:tc>
        <w:tc>
          <w:tcPr>
            <w:tcW w:w="1800" w:type="dxa"/>
            <w:shd w:val="clear" w:color="auto" w:fill="F8FAFC"/>
          </w:tcPr>
          <w:p>
            <w:r>
              <w:rPr>
                <w:rFonts w:ascii="Calibri" w:hAnsi="Calibri"/>
                <w:sz w:val="18"/>
                <w:color w:val="1E293B"/>
              </w:rPr>
              <w:t xml:space="preserve">[ ] Pending Tailoring</w:t>
            </w:r>
          </w:p>
        </w:tc>
      </w:tr>
      <w:tr>
        <w:trPr>
          <w:cantSplit/>
        </w:trPr>
        <w:tc>
          <w:tcPr>
            <w:tcW w:w="1600" w:type="dxa"/>
          </w:tcPr>
          <w:p>
            <w:r>
              <w:rPr>
                <w:rFonts w:ascii="Calibri" w:hAnsi="Calibri"/>
                <w:sz w:val="18"/>
                <w:color w:val="1E293B"/>
              </w:rPr>
              <w:t xml:space="preserve">CHK-BENCH-01</w:t>
            </w:r>
          </w:p>
        </w:tc>
        <w:tc>
          <w:tcPr>
            <w:tcW w:w="5626" w:type="dxa"/>
          </w:tcPr>
          <w:p>
            <w:r>
              <w:rPr>
                <w:rFonts w:ascii="Calibri" w:hAnsi="Calibri"/>
                <w:sz w:val="18"/>
                <w:color w:val="1E293B"/>
              </w:rPr>
              <w:t xml:space="preserve">Verify model thresholds, SLAs, and technical roles against actual corporate delegations.</w:t>
            </w:r>
          </w:p>
        </w:tc>
        <w:tc>
          <w:tcPr>
            <w:tcW w:w="1800" w:type="dxa"/>
          </w:tcPr>
          <w:p>
            <w:r>
              <w:rPr>
                <w:rFonts w:ascii="Calibri" w:hAnsi="Calibri"/>
                <w:sz w:val="18"/>
                <w:color w:val="1E293B"/>
              </w:rPr>
              <w:t xml:space="preserve">[ ] Pending Tailoring</w:t>
            </w:r>
          </w:p>
        </w:tc>
      </w:tr>
      <w:tr>
        <w:trPr>
          <w:cantSplit/>
        </w:trPr>
        <w:tc>
          <w:tcPr>
            <w:tcW w:w="1600" w:type="dxa"/>
            <w:shd w:val="clear" w:color="auto" w:fill="F8FAFC"/>
          </w:tcPr>
          <w:p>
            <w:r>
              <w:rPr>
                <w:rFonts w:ascii="Calibri" w:hAnsi="Calibri"/>
                <w:sz w:val="18"/>
                <w:color w:val="1E293B"/>
              </w:rPr>
              <w:t xml:space="preserve">CHK-BENCH-02</w:t>
            </w:r>
          </w:p>
        </w:tc>
        <w:tc>
          <w:tcPr>
            <w:tcW w:w="5626" w:type="dxa"/>
            <w:shd w:val="clear" w:color="auto" w:fill="F8FAFC"/>
          </w:tcPr>
          <w:p>
            <w:r>
              <w:rPr>
                <w:rFonts w:ascii="Calibri" w:hAnsi="Calibri"/>
                <w:sz w:val="18"/>
                <w:color w:val="1E293B"/>
              </w:rPr>
              <w:t xml:space="preserve">Obtain formal management sign-off to transition illustrative model to live draft.</w:t>
            </w:r>
          </w:p>
        </w:tc>
        <w:tc>
          <w:tcPr>
            <w:tcW w:w="1800" w:type="dxa"/>
            <w:shd w:val="clear" w:color="auto" w:fill="F8FAFC"/>
          </w:tcPr>
          <w:p>
            <w:r>
              <w:rPr>
                <w:rFonts w:ascii="Calibri" w:hAnsi="Calibri"/>
                <w:sz w:val="18"/>
                <w:color w:val="1E293B"/>
              </w:rPr>
              <w:t xml:space="preserve">[ ] Pending Tailoring</w:t>
            </w:r>
          </w:p>
        </w:tc>
      </w:tr>
    </w:tbl>
    <w:sectPr>
      <w:headerReference w:type="default" r:id="rId2"/>
      <w:footerReference w:type="default" r:id="rId3"/>
      <w:pgSz w:w="11906" w:h="16838"/>
      <w:pgMar w:top="1440" w:right="1440" w:bottom="1440" w:left="1440" w:header="720" w:footer="720"/>
    </w:sectPr>
  </w:body>
</w:document>
</file>

<file path=word/footer1.xml><?xml version="1.0" encoding="utf-8"?>
<w:ftr xmlns:w="http://schemas.openxmlformats.org/wordprocessingml/2006/main">
  <w:p>
    <w:pPr>
      <w:pBdr>
        <w:top w:val="single" w:sz="6" w:space="4" w:color="CBD5E1"/>
      </w:pBdr>
      <w:tabs>
        <w:tab w:val="right" w:pos="9360"/>
      </w:tabs>
    </w:pPr>
    <w:r>
      <w:rPr>
        <w:rFonts w:ascii="Calibri" w:hAnsi="Calibri"/>
        <w:sz w:val="16"/>
        <w:color w:val="64748B"/>
      </w:rPr>
      <w:t xml:space="preserve">CONTROLLED SAMPLE | SKANDA DOCUMENTATION</w:t>
    </w:r>
    <w:r>
      <w:tab/>
      <w:rPr>
        <w:rFonts w:ascii="Calibri" w:hAnsi="Calibri"/>
        <w:sz w:val="16"/>
        <w:color w:val="64748B"/>
      </w:rPr>
      <w:t xml:space="preserve">Page </w:t>
    </w:r>
    <w:fldSimple w:instr="PAGE"/>
    <w:r>
      <w:rPr>
        <w:rFonts w:ascii="Calibri" w:hAnsi="Calibri"/>
        <w:sz w:val="16"/>
        <w:color w:val="64748B"/>
      </w:rPr>
      <w:t xml:space="preserve"> of </w:t>
    </w:r>
    <w:fldSimple w:instr="NUMPAGES"/>
  </w:p>
</w:ftr>
</file>

<file path=word/header1.xml><?xml version="1.0" encoding="utf-8"?>
<w:hdr xmlns:w="http://schemas.openxmlformats.org/wordprocessingml/2006/main">
  <w:p>
    <w:pPr>
      <w:pBdr>
        <w:bottom w:val="single" w:sz="6" w:space="4" w:color="CBD5E1"/>
      </w:pBdr>
      <w:jc w:val="right"/>
    </w:pPr>
    <w:r>
      <w:rPr>
        <w:rFonts w:ascii="Calibri" w:hAnsi="Calibri"/>
        <w:sz w:val="16"/>
        <w:color w:val="64748B"/>
        <w:b/>
      </w:rPr>
      <w:t xml:space="preserve">SKANDA / GOVERNANCE, RISK &amp; COMPLIANCE | REG-ROPA-001-MODEL</w:t>
    </w:r>
  </w:p>
</w:hdr>
</file>

<file path=word/styles.xml><?xml version="1.0" encoding="utf-8"?>
<w:styles xmlns:w="http://schemas.openxmlformats.org/wordprocessingml/2006/main">
  <w:docDefaults>
    <w:rPrDefault>
      <w:rPr>
        <w:rFonts w:ascii="Calibri" w:hAnsi="Calibri"/>
        <w:sz w:val="20"/>
        <w:color w:val="1E293B"/>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s>
</file>