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right"/>
      </w:pPr>
      <w:r>
        <w:rPr>
          <w:sz w:val="16"/>
          <w:color w:val="64748B"/>
          <w:b/>
        </w:rPr>
        <w:t xml:space="preserve">SKANDA / GOVERNANCE, RISK &amp; COMPLIANCE</w:t>
      </w:r>
    </w:p>
    <w:p>
      <w:pPr>
        <w:spacing w:before="120" w:after="60"/>
      </w:pPr>
      <w:r>
        <w:rPr>
          <w:sz w:val="18"/>
          <w:color w:val="0284C7"/>
          <w:b/>
        </w:rPr>
        <w:t xml:space="preserve">ENTERPRISE MANAGEMENT SYSTEM / MANAGEMENT_REVIEW_PACK</w:t>
      </w:r>
    </w:p>
    <w:p>
      <w:pPr>
        <w:spacing w:before="120" w:after="120"/>
      </w:pPr>
      <w:r>
        <w:rPr>
          <w:sz w:val="48"/>
          <w:b/>
          <w:color w:val="0F172A"/>
        </w:rPr>
        <w:t xml:space="preserve">Statement of Applicability Support Template</w:t>
      </w:r>
    </w:p>
    <w:p>
      <w:pPr>
        <w:spacing w:after="240"/>
      </w:pPr>
      <w:r>
        <w:rPr>
          <w:sz w:val="24"/>
          <w:i/>
          <w:color w:val="475569"/>
        </w:rPr>
        <w:t xml:space="preserve">Consulting Benchmark Sample — Provide complete ISO/IEC 27001:2022 Annex A (Controls A.5.1 to A.8.34) Statement of Applicability (SoA) matrix: applicability, inclusion/exclusion justification, implementation status, and evidence.</w:t>
      </w:r>
    </w:p>
    <w:tbl>
      <w:tblPr>
        <w:tblW w:w="0" w:type="auto"/>
        <w:tblBorders>
          <w:top w:val="single" w:sz="6" w:space="0" w:color="FCD34D"/>
          <w:bottom w:val="single" w:sz="6" w:space="0" w:color="FCD34D"/>
          <w:left w:val="single" w:sz="24" w:space="0" w:color="D97706"/>
          <w:right w:val="single" w:sz="6" w:space="0" w:color="FCD34D"/>
        </w:tblBorders>
        <w:tblCellMar>
          <w:top w:w="160" w:type="dxa"/>
          <w:left w:w="200" w:type="dxa"/>
          <w:bottom w:w="160" w:type="dxa"/>
          <w:right w:w="200" w:type="dxa"/>
        </w:tblCellMar>
      </w:tblPr>
      <w:tr>
        <w:tc>
          <w:tcPr>
            <w:tcW w:w="9026" w:type="dxa"/>
            <w:shd w:val="clear" w:color="auto" w:fill="FEF3C7"/>
          </w:tcPr>
          <w:p>
            <w:r>
              <w:rPr>
                <w:rFonts w:ascii="Calibri" w:hAnsi="Calibri"/>
                <w:b/>
                <w:color w:val="92400E"/>
                <w:sz w:val="18"/>
              </w:rPr>
              <w:t xml:space="preserve">[!WARNING] CONTROLLED DOCUMENT NOTICE</w:t>
            </w:r>
          </w:p>
          <w:p>
            <w:r>
              <w:rPr>
                <w:rFonts w:ascii="Calibri" w:hAnsi="Calibri"/>
                <w:i/>
                <w:color w:val="78350F"/>
                <w:sz w:val="18"/>
              </w:rPr>
              <w:t xml:space="preserve">ILLUSTRATIVE MODEL DOCUMENT — MUST BE TAILORED AND APPROVED BEFORE USE</w:t>
            </w:r>
          </w:p>
        </w:tc>
      </w:tr>
    </w:tbl>
    <w:p>
      <w:pPr>
        <w:spacing w:after="160"/>
      </w:pPr>
    </w:p>
    <w:p>
      <w:pPr>
        <w:spacing w:before="240" w:after="80"/>
        <w:rPr>
          <w:rFonts w:ascii="Calibri" w:hAnsi="Calibri"/>
          <w:b/>
          <w:sz w:val="26"/>
          <w:color w:val="1E293B"/>
        </w:rPr>
      </w:pPr>
      <w:r>
        <w:rPr>
          <w:rFonts w:ascii="Calibri" w:hAnsi="Calibri"/>
          <w:b/>
          <w:sz w:val="26"/>
          <w:color w:val="1E293B"/>
        </w:rPr>
        <w:t xml:space="preserve">Document Control Field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DOCUMENT CONTROL FIELD</w:t>
            </w:r>
          </w:p>
        </w:tc>
        <w:tc>
          <w:tcPr>
            <w:tcW w:w="6026" w:type="dxa"/>
            <w:shd w:val="clear" w:color="auto" w:fill="0F172A"/>
          </w:tcPr>
          <w:p>
            <w:r>
              <w:rPr>
                <w:rFonts w:ascii="Calibri" w:hAnsi="Calibri"/>
                <w:b/>
                <w:color w:val="FFFFFF"/>
                <w:sz w:val="18"/>
              </w:rPr>
              <w:t xml:space="preserve">MODEL VALUE</w:t>
            </w:r>
          </w:p>
        </w:tc>
      </w:tr>
      <w:tr>
        <w:trPr>
          <w:cantSplit/>
        </w:trPr>
        <w:tc>
          <w:tcPr>
            <w:tcW w:w="3000" w:type="dxa"/>
          </w:tcPr>
          <w:p>
            <w:r>
              <w:rPr>
                <w:rFonts w:ascii="Calibri" w:hAnsi="Calibri"/>
                <w:sz w:val="18"/>
                <w:color w:val="1E293B"/>
              </w:rPr>
              <w:t xml:space="preserve">Document ID</w:t>
            </w:r>
          </w:p>
        </w:tc>
        <w:tc>
          <w:tcPr>
            <w:tcW w:w="6026" w:type="dxa"/>
          </w:tcPr>
          <w:p>
            <w:r>
              <w:rPr>
                <w:rFonts w:ascii="Calibri" w:hAnsi="Calibri"/>
                <w:sz w:val="18"/>
                <w:color w:val="1E293B"/>
              </w:rPr>
              <w:t xml:space="preserve">REV-SOA-001-MODEL</w:t>
            </w:r>
          </w:p>
        </w:tc>
      </w:tr>
      <w:tr>
        <w:trPr>
          <w:cantSplit/>
        </w:trPr>
        <w:tc>
          <w:tcPr>
            <w:tcW w:w="3000" w:type="dxa"/>
            <w:shd w:val="clear" w:color="auto" w:fill="F8FAFC"/>
          </w:tcPr>
          <w:p>
            <w:r>
              <w:rPr>
                <w:rFonts w:ascii="Calibri" w:hAnsi="Calibri"/>
                <w:sz w:val="18"/>
                <w:color w:val="1E293B"/>
              </w:rPr>
              <w:t xml:space="preserve">Version / status</w:t>
            </w:r>
          </w:p>
        </w:tc>
        <w:tc>
          <w:tcPr>
            <w:tcW w:w="6026" w:type="dxa"/>
            <w:shd w:val="clear" w:color="auto" w:fill="F8FAFC"/>
          </w:tcPr>
          <w:p>
            <w:r>
              <w:rPr>
                <w:rFonts w:ascii="Calibri" w:hAnsi="Calibri"/>
                <w:sz w:val="18"/>
                <w:color w:val="1E293B"/>
              </w:rPr>
              <w:t xml:space="preserve">1.0 — Model sample (illustrative benchmark) — Model sample — not approved; not effective</w:t>
            </w:r>
          </w:p>
        </w:tc>
      </w:tr>
      <w:tr>
        <w:trPr>
          <w:cantSplit/>
        </w:trPr>
        <w:tc>
          <w:tcPr>
            <w:tcW w:w="3000" w:type="dxa"/>
          </w:tcPr>
          <w:p>
            <w:r>
              <w:rPr>
                <w:rFonts w:ascii="Calibri" w:hAnsi="Calibri"/>
                <w:sz w:val="18"/>
                <w:color w:val="1E293B"/>
              </w:rPr>
              <w:t xml:space="preserve">Document owner</w:t>
            </w:r>
          </w:p>
        </w:tc>
        <w:tc>
          <w:tcPr>
            <w:tcW w:w="6026" w:type="dxa"/>
          </w:tcPr>
          <w:p>
            <w:r>
              <w:rPr>
                <w:rFonts w:ascii="Calibri" w:hAnsi="Calibri"/>
                <w:sz w:val="18"/>
                <w:color w:val="1E293B"/>
              </w:rPr>
              <w:t xml:space="preserve">CISO / ISO Implementer Lead (Illustrative Benchmark)</w:t>
            </w:r>
          </w:p>
        </w:tc>
      </w:tr>
      <w:tr>
        <w:trPr>
          <w:cantSplit/>
        </w:trPr>
        <w:tc>
          <w:tcPr>
            <w:tcW w:w="3000" w:type="dxa"/>
            <w:shd w:val="clear" w:color="auto" w:fill="F8FAFC"/>
          </w:tcPr>
          <w:p>
            <w:r>
              <w:rPr>
                <w:rFonts w:ascii="Calibri" w:hAnsi="Calibri"/>
                <w:sz w:val="18"/>
                <w:color w:val="1E293B"/>
              </w:rPr>
              <w:t xml:space="preserve">Approver</w:t>
            </w:r>
          </w:p>
        </w:tc>
        <w:tc>
          <w:tcPr>
            <w:tcW w:w="6026" w:type="dxa"/>
            <w:shd w:val="clear" w:color="auto" w:fill="F8FAFC"/>
          </w:tcPr>
          <w:p>
            <w:r>
              <w:rPr>
                <w:rFonts w:ascii="Calibri" w:hAnsi="Calibri"/>
                <w:sz w:val="18"/>
                <w:color w:val="1E293B"/>
              </w:rPr>
              <w:t xml:space="preserve">Executive Committee &amp; Board (Illustrative Benchmark)</w:t>
            </w:r>
          </w:p>
        </w:tc>
      </w:tr>
      <w:tr>
        <w:trPr>
          <w:cantSplit/>
        </w:trPr>
        <w:tc>
          <w:tcPr>
            <w:tcW w:w="3000" w:type="dxa"/>
          </w:tcPr>
          <w:p>
            <w:r>
              <w:rPr>
                <w:rFonts w:ascii="Calibri" w:hAnsi="Calibri"/>
                <w:sz w:val="18"/>
                <w:color w:val="1E293B"/>
              </w:rPr>
              <w:t xml:space="preserve">Effective date</w:t>
            </w:r>
          </w:p>
        </w:tc>
        <w:tc>
          <w:tcPr>
            <w:tcW w:w="6026" w:type="dxa"/>
          </w:tcPr>
          <w:p>
            <w:r>
              <w:rPr>
                <w:rFonts w:ascii="Calibri" w:hAnsi="Calibri"/>
                <w:sz w:val="18"/>
                <w:color w:val="1E293B"/>
              </w:rPr>
              <w:t xml:space="preserve">Not effective until formally tailored and approved</w:t>
            </w:r>
          </w:p>
        </w:tc>
      </w:tr>
      <w:tr>
        <w:trPr>
          <w:cantSplit/>
        </w:trPr>
        <w:tc>
          <w:tcPr>
            <w:tcW w:w="3000" w:type="dxa"/>
            <w:shd w:val="clear" w:color="auto" w:fill="F8FAFC"/>
          </w:tcPr>
          <w:p>
            <w:r>
              <w:rPr>
                <w:rFonts w:ascii="Calibri" w:hAnsi="Calibri"/>
                <w:sz w:val="18"/>
                <w:color w:val="1E293B"/>
              </w:rPr>
              <w:t xml:space="preserve">Classification</w:t>
            </w:r>
          </w:p>
        </w:tc>
        <w:tc>
          <w:tcPr>
            <w:tcW w:w="6026" w:type="dxa"/>
            <w:shd w:val="clear" w:color="auto" w:fill="F8FAFC"/>
          </w:tcPr>
          <w:p>
            <w:r>
              <w:rPr>
                <w:rFonts w:ascii="Calibri" w:hAnsi="Calibri"/>
                <w:sz w:val="18"/>
                <w:color w:val="1E293B"/>
              </w:rPr>
              <w:t xml:space="preserve">INTERNAL_ILLUSTRATIVE</w:t>
            </w:r>
          </w:p>
        </w:tc>
      </w:tr>
      <w:tr>
        <w:trPr>
          <w:cantSplit/>
        </w:trPr>
        <w:tc>
          <w:tcPr>
            <w:tcW w:w="3000" w:type="dxa"/>
          </w:tcPr>
          <w:p>
            <w:r>
              <w:rPr>
                <w:rFonts w:ascii="Calibri" w:hAnsi="Calibri"/>
                <w:sz w:val="18"/>
                <w:color w:val="1E293B"/>
              </w:rPr>
              <w:t xml:space="preserve">Review trigger</w:t>
            </w:r>
          </w:p>
        </w:tc>
        <w:tc>
          <w:tcPr>
            <w:tcW w:w="6026" w:type="dxa"/>
          </w:tcPr>
          <w:p>
            <w:r>
              <w:rPr>
                <w:rFonts w:ascii="Calibri" w:hAnsi="Calibri"/>
                <w:sz w:val="18"/>
                <w:color w:val="1E293B"/>
              </w:rPr>
              <w:t xml:space="preserve">Scheduled annual review and material business, technology, risk or regulatory change</w:t>
            </w:r>
          </w:p>
        </w:tc>
      </w:tr>
    </w:tbl>
    <w:p>
      <w:pPr>
        <w:spacing w:before="160" w:after="160"/>
      </w:pPr>
      <w:r>
        <w:rPr>
          <w:i/>
          <w:sz w:val="18"/>
          <w:color w:val="64748B"/>
        </w:rPr>
        <w:t xml:space="preserve">This document demonstrates the depth, structure, and operational specificity expected of an enterprise consulting-grade artifact. It does not represent an actual organization and cannot be submitted to auditors without tailoring.</w:t>
      </w:r>
    </w:p>
    <w:p>
      <w:r>
        <w:br w:type="page"/>
      </w:r>
    </w:p>
    <w:p>
      <w:pPr>
        <w:spacing w:before="360" w:after="120"/>
        <w:rPr>
          <w:rFonts w:ascii="Calibri" w:hAnsi="Calibri"/>
          <w:b/>
          <w:sz w:val="32"/>
          <w:color w:val="0F172A"/>
        </w:rPr>
      </w:pPr>
      <w:r>
        <w:rPr>
          <w:rFonts w:ascii="Calibri" w:hAnsi="Calibri"/>
          <w:b/>
          <w:sz w:val="32"/>
          <w:color w:val="0F172A"/>
        </w:rPr>
        <w:t xml:space="preserve">Contents &amp; Document Governance</w:t>
      </w:r>
    </w:p>
    <w:p>
      <w:pPr>
        <w:spacing w:after="100"/>
      </w:pPr>
      <w:r>
        <w:rPr>
          <w:rFonts w:ascii="Calibri" w:hAnsi="Calibri"/>
          <w:color w:val="1E293B"/>
          <w:sz w:val="20"/>
        </w:rPr>
        <w:t xml:space="preserve">Controlled management-system copy maintained in SKANDA Authoritative Document Register.</w:t>
      </w:r>
    </w:p>
    <w:p>
      <w:pPr>
        <w:spacing w:before="240" w:after="80"/>
        <w:rPr>
          <w:rFonts w:ascii="Calibri" w:hAnsi="Calibri"/>
          <w:b/>
          <w:sz w:val="26"/>
          <w:color w:val="1E293B"/>
        </w:rPr>
      </w:pPr>
      <w:r>
        <w:rPr>
          <w:rFonts w:ascii="Calibri" w:hAnsi="Calibri"/>
          <w:b/>
          <w:sz w:val="26"/>
          <w:color w:val="1E293B"/>
        </w:rPr>
        <w:t xml:space="preserve">Revision History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000"/>
        <w:gridCol w:w="1400"/>
        <w:gridCol w:w="3426"/>
        <w:gridCol w:w="1800"/>
        <w:gridCol w:w="1400"/>
      </w:tblGrid>
      <w:tr>
        <w:trPr>
          <w:tblHeader/>
          <w:cantSplit/>
        </w:trPr>
        <w:tc>
          <w:tcPr>
            <w:tcW w:w="1000" w:type="dxa"/>
            <w:shd w:val="clear" w:color="auto" w:fill="0F172A"/>
          </w:tcPr>
          <w:p>
            <w:r>
              <w:rPr>
                <w:rFonts w:ascii="Calibri" w:hAnsi="Calibri"/>
                <w:b/>
                <w:color w:val="FFFFFF"/>
                <w:sz w:val="18"/>
              </w:rPr>
              <w:t xml:space="preserve">Version</w:t>
            </w:r>
          </w:p>
        </w:tc>
        <w:tc>
          <w:tcPr>
            <w:tcW w:w="1400" w:type="dxa"/>
            <w:shd w:val="clear" w:color="auto" w:fill="0F172A"/>
          </w:tcPr>
          <w:p>
            <w:r>
              <w:rPr>
                <w:rFonts w:ascii="Calibri" w:hAnsi="Calibri"/>
                <w:b/>
                <w:color w:val="FFFFFF"/>
                <w:sz w:val="18"/>
              </w:rPr>
              <w:t xml:space="preserve">Date</w:t>
            </w:r>
          </w:p>
        </w:tc>
        <w:tc>
          <w:tcPr>
            <w:tcW w:w="3426" w:type="dxa"/>
            <w:shd w:val="clear" w:color="auto" w:fill="0F172A"/>
          </w:tcPr>
          <w:p>
            <w:r>
              <w:rPr>
                <w:rFonts w:ascii="Calibri" w:hAnsi="Calibri"/>
                <w:b/>
                <w:color w:val="FFFFFF"/>
                <w:sz w:val="18"/>
              </w:rPr>
              <w:t xml:space="preserve">Summary of change</w:t>
            </w:r>
          </w:p>
        </w:tc>
        <w:tc>
          <w:tcPr>
            <w:tcW w:w="1800" w:type="dxa"/>
            <w:shd w:val="clear" w:color="auto" w:fill="0F172A"/>
          </w:tcPr>
          <w:p>
            <w:r>
              <w:rPr>
                <w:rFonts w:ascii="Calibri" w:hAnsi="Calibri"/>
                <w:b/>
                <w:color w:val="FFFFFF"/>
                <w:sz w:val="18"/>
              </w:rPr>
              <w:t xml:space="preserve">Prepared by</w:t>
            </w:r>
          </w:p>
        </w:tc>
        <w:tc>
          <w:tcPr>
            <w:tcW w:w="1400" w:type="dxa"/>
            <w:shd w:val="clear" w:color="auto" w:fill="0F172A"/>
          </w:tcPr>
          <w:p>
            <w:r>
              <w:rPr>
                <w:rFonts w:ascii="Calibri" w:hAnsi="Calibri"/>
                <w:b/>
                <w:color w:val="FFFFFF"/>
                <w:sz w:val="18"/>
              </w:rPr>
              <w:t xml:space="preserve">Approval status</w:t>
            </w:r>
          </w:p>
        </w:tc>
      </w:tr>
      <w:tr>
        <w:trPr>
          <w:cantSplit/>
        </w:trPr>
        <w:tc>
          <w:tcPr>
            <w:tcW w:w="1000" w:type="dxa"/>
          </w:tcPr>
          <w:p>
            <w:r>
              <w:rPr>
                <w:rFonts w:ascii="Calibri" w:hAnsi="Calibri"/>
                <w:sz w:val="18"/>
                <w:color w:val="1E293B"/>
              </w:rPr>
              <w:t xml:space="preserve">1.0</w:t>
            </w:r>
          </w:p>
        </w:tc>
        <w:tc>
          <w:tcPr>
            <w:tcW w:w="1400" w:type="dxa"/>
          </w:tcPr>
          <w:p>
            <w:r>
              <w:rPr>
                <w:rFonts w:ascii="Calibri" w:hAnsi="Calibri"/>
                <w:sz w:val="18"/>
                <w:color w:val="1E293B"/>
              </w:rPr>
              <w:t xml:space="preserve">2026-10-12</w:t>
            </w:r>
          </w:p>
        </w:tc>
        <w:tc>
          <w:tcPr>
            <w:tcW w:w="3426" w:type="dxa"/>
          </w:tcPr>
          <w:p>
            <w:r>
              <w:rPr>
                <w:rFonts w:ascii="Calibri" w:hAnsi="Calibri"/>
                <w:sz w:val="18"/>
                <w:color w:val="1E293B"/>
              </w:rPr>
              <w:t xml:space="preserve">Baseline illustrative model sample generated for Statement of Applicability Support Template fulfilling Clause 6.1.3(d).</w:t>
            </w:r>
          </w:p>
        </w:tc>
        <w:tc>
          <w:tcPr>
            <w:tcW w:w="1800" w:type="dxa"/>
          </w:tcPr>
          <w:p>
            <w:r>
              <w:rPr>
                <w:rFonts w:ascii="Calibri" w:hAnsi="Calibri"/>
                <w:sz w:val="18"/>
                <w:color w:val="1E293B"/>
              </w:rPr>
              <w:t xml:space="preserve">Lead Auditor (SKANDA Benchmark Engine)</w:t>
            </w:r>
          </w:p>
        </w:tc>
        <w:tc>
          <w:tcPr>
            <w:tcW w:w="1400" w:type="dxa"/>
          </w:tcPr>
          <w:p>
            <w:r>
              <w:rPr>
                <w:rFonts w:ascii="Calibri" w:hAnsi="Calibri"/>
                <w:sz w:val="18"/>
                <w:color w:val="1E293B"/>
              </w:rPr>
              <w:t xml:space="preserve">Model sample — not approved</w:t>
            </w:r>
          </w:p>
        </w:tc>
      </w:tr>
    </w:tbl>
    <w:p>
      <w:pPr>
        <w:spacing w:after="100"/>
      </w:pPr>
      <w:r>
        <w:rPr>
          <w:rFonts w:ascii="Calibri" w:hAnsi="Calibri"/>
          <w:i/>
          <w:color w:val="64748B"/>
          <w:sz w:val="20"/>
        </w:rPr>
        <w:t xml:space="preserve">Revision entries record changes to this model sample only. Organization-specific revisions must be recorded in the tenant-owned controlled copy.</w:t>
      </w:r>
    </w:p>
    <w:p>
      <w:pPr>
        <w:spacing w:before="360" w:after="120"/>
        <w:rPr>
          <w:rFonts w:ascii="Calibri" w:hAnsi="Calibri"/>
          <w:b/>
          <w:sz w:val="32"/>
          <w:color w:val="0F172A"/>
        </w:rPr>
      </w:pPr>
      <w:r>
        <w:rPr>
          <w:rFonts w:ascii="Calibri" w:hAnsi="Calibri"/>
          <w:b/>
          <w:sz w:val="32"/>
          <w:color w:val="0F172A"/>
        </w:rPr>
        <w:t xml:space="preserve">1. Purpose</w:t>
      </w:r>
    </w:p>
    <w:p>
      <w:pPr>
        <w:spacing w:after="100"/>
      </w:pPr>
      <w:r>
        <w:rPr>
          <w:rFonts w:ascii="Calibri" w:hAnsi="Calibri"/>
          <w:color w:val="1E293B"/>
          <w:sz w:val="20"/>
        </w:rPr>
        <w:t xml:space="preserve">Establish an authoritative, structured, and auditable management_review_pack framework for ISO 27001 Core Deliverables. This document fulfills the requirements of ISO_27001_2022 (Clause 6.1.3(d)) while ensuring clear separation between management intent, operational execution, and verifiable evidence.</w:t>
      </w:r>
    </w:p>
    <w:p>
      <w:pPr>
        <w:spacing w:before="360" w:after="120"/>
        <w:rPr>
          <w:rFonts w:ascii="Calibri" w:hAnsi="Calibri"/>
          <w:b/>
          <w:sz w:val="32"/>
          <w:color w:val="0F172A"/>
        </w:rPr>
      </w:pPr>
      <w:r>
        <w:rPr>
          <w:rFonts w:ascii="Calibri" w:hAnsi="Calibri"/>
          <w:b/>
          <w:sz w:val="32"/>
          <w:color w:val="0F172A"/>
        </w:rPr>
        <w:t xml:space="preserve">2. Scope and Applicability</w:t>
      </w:r>
    </w:p>
    <w:p>
      <w:pPr>
        <w:spacing w:after="100"/>
      </w:pPr>
      <w:r>
        <w:rPr>
          <w:rFonts w:ascii="Calibri" w:hAnsi="Calibri"/>
          <w:color w:val="1E293B"/>
          <w:sz w:val="20"/>
        </w:rPr>
        <w:t xml:space="preserve">This management_review_pack applies across all illustrative enterprise environments, production cloud clusters, data storage repositories, and personnel supporting ISO 27001 Core Deliverables.</w:t>
      </w:r>
    </w:p>
    <w:p>
      <w:pPr>
        <w:spacing w:after="100"/>
      </w:pPr>
      <w:r>
        <w:rPr>
          <w:rFonts w:ascii="Calibri" w:hAnsi="Calibri"/>
          <w:b/>
          <w:color w:val="1E293B"/>
          <w:sz w:val="20"/>
        </w:rPr>
        <w:t xml:space="preserve">• In-Scope Locations: Global Headquarters (Singapore), Primary Cloud Region (AWS US-East-1), Disaster Recovery Region (AWS AP-Southeast-1)</w:t>
      </w:r>
    </w:p>
    <w:p>
      <w:pPr>
        <w:spacing w:after="100"/>
      </w:pPr>
      <w:r>
        <w:rPr>
          <w:rFonts w:ascii="Calibri" w:hAnsi="Calibri"/>
          <w:color w:val="1E293B"/>
          <w:sz w:val="20"/>
        </w:rPr>
        <w:t xml:space="preserve">• In-Scope Systems &amp; Services: Production Transaction Switch, Enterprise Identity Provider (Okta), Continuous Deployment Pipelines, Authoritative Records Vault</w:t>
      </w:r>
    </w:p>
    <w:p>
      <w:pPr>
        <w:spacing w:after="100"/>
      </w:pPr>
      <w:r>
        <w:rPr>
          <w:rFonts w:ascii="Calibri" w:hAnsi="Calibri"/>
          <w:b/>
          <w:color w:val="1E293B"/>
          <w:sz w:val="20"/>
        </w:rPr>
        <w:t xml:space="preserve">Documented Exclusions:</w:t>
      </w:r>
    </w:p>
    <w:p>
      <w:pPr>
        <w:spacing w:after="100"/>
      </w:pPr>
      <w:r>
        <w:rPr>
          <w:rFonts w:ascii="Calibri" w:hAnsi="Calibri"/>
          <w:color w:val="1E293B"/>
          <w:sz w:val="20"/>
        </w:rPr>
        <w:t xml:space="preserve">• Decommissioned Legacy Batch Server (DC-01): Fully air-gapped and retired in Q1 2026; zero customer data processed.</w:t>
      </w:r>
    </w:p>
    <w:p>
      <w:pPr>
        <w:spacing w:before="360" w:after="120"/>
        <w:rPr>
          <w:rFonts w:ascii="Calibri" w:hAnsi="Calibri"/>
          <w:b/>
          <w:sz w:val="32"/>
          <w:color w:val="0F172A"/>
        </w:rPr>
      </w:pPr>
      <w:r>
        <w:rPr>
          <w:rFonts w:ascii="Calibri" w:hAnsi="Calibri"/>
          <w:b/>
          <w:sz w:val="32"/>
          <w:color w:val="0F172A"/>
        </w:rPr>
        <w:t xml:space="preserve">3. Terms and Definitions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6426"/>
      </w:tblGrid>
      <w:tr>
        <w:trPr>
          <w:tblHeader/>
          <w:cantSplit/>
        </w:trPr>
        <w:tc>
          <w:tcPr>
            <w:tcW w:w="2600" w:type="dxa"/>
            <w:shd w:val="clear" w:color="auto" w:fill="0F172A"/>
          </w:tcPr>
          <w:p>
            <w:r>
              <w:rPr>
                <w:rFonts w:ascii="Calibri" w:hAnsi="Calibri"/>
                <w:b/>
                <w:color w:val="FFFFFF"/>
                <w:sz w:val="18"/>
              </w:rPr>
              <w:t xml:space="preserve">Term</w:t>
            </w:r>
          </w:p>
        </w:tc>
        <w:tc>
          <w:tcPr>
            <w:tcW w:w="6426" w:type="dxa"/>
            <w:shd w:val="clear" w:color="auto" w:fill="0F172A"/>
          </w:tcPr>
          <w:p>
            <w:r>
              <w:rPr>
                <w:rFonts w:ascii="Calibri" w:hAnsi="Calibri"/>
                <w:b/>
                <w:color w:val="FFFFFF"/>
                <w:sz w:val="18"/>
              </w:rPr>
              <w:t xml:space="preserve">Working definition (model)</w:t>
            </w:r>
          </w:p>
        </w:tc>
      </w:tr>
      <w:tr>
        <w:trPr>
          <w:cantSplit/>
        </w:trPr>
        <w:tc>
          <w:tcPr>
            <w:tcW w:w="2600" w:type="dxa"/>
          </w:tcPr>
          <w:p>
            <w:r>
              <w:rPr>
                <w:rFonts w:ascii="Calibri" w:hAnsi="Calibri"/>
                <w:sz w:val="18"/>
                <w:color w:val="1E293B"/>
              </w:rPr>
              <w:t xml:space="preserve">Documented Information</w:t>
            </w:r>
          </w:p>
        </w:tc>
        <w:tc>
          <w:tcPr>
            <w:tcW w:w="6426" w:type="dxa"/>
          </w:tcPr>
          <w:p>
            <w:r>
              <w:rPr>
                <w:rFonts w:ascii="Calibri" w:hAnsi="Calibri"/>
                <w:sz w:val="18"/>
                <w:color w:val="1E293B"/>
              </w:rPr>
              <w:t xml:space="preserve">Information required to be controlled and maintained by the organization (ISO/IEC 27001:2022 Clause 7.5).</w:t>
            </w:r>
          </w:p>
        </w:tc>
      </w:tr>
      <w:tr>
        <w:trPr>
          <w:cantSplit/>
        </w:trPr>
        <w:tc>
          <w:tcPr>
            <w:tcW w:w="2600" w:type="dxa"/>
            <w:shd w:val="clear" w:color="auto" w:fill="F8FAFC"/>
          </w:tcPr>
          <w:p>
            <w:r>
              <w:rPr>
                <w:rFonts w:ascii="Calibri" w:hAnsi="Calibri"/>
                <w:sz w:val="18"/>
                <w:color w:val="1E293B"/>
              </w:rPr>
              <w:t xml:space="preserve">Accountable Role</w:t>
            </w:r>
          </w:p>
        </w:tc>
        <w:tc>
          <w:tcPr>
            <w:tcW w:w="6426" w:type="dxa"/>
            <w:shd w:val="clear" w:color="auto" w:fill="F8FAFC"/>
          </w:tcPr>
          <w:p>
            <w:r>
              <w:rPr>
                <w:rFonts w:ascii="Calibri" w:hAnsi="Calibri"/>
                <w:sz w:val="18"/>
                <w:color w:val="1E293B"/>
              </w:rPr>
              <w:t xml:space="preserve">The single operational role with ultimate decision-making authority and veto for the activity.</w:t>
            </w:r>
          </w:p>
        </w:tc>
      </w:tr>
      <w:tr>
        <w:trPr>
          <w:cantSplit/>
        </w:trPr>
        <w:tc>
          <w:tcPr>
            <w:tcW w:w="2600" w:type="dxa"/>
          </w:tcPr>
          <w:p>
            <w:r>
              <w:rPr>
                <w:rFonts w:ascii="Calibri" w:hAnsi="Calibri"/>
                <w:sz w:val="18"/>
                <w:color w:val="1E293B"/>
              </w:rPr>
              <w:t xml:space="preserve">Verifiable Evidence</w:t>
            </w:r>
          </w:p>
        </w:tc>
        <w:tc>
          <w:tcPr>
            <w:tcW w:w="6426" w:type="dxa"/>
          </w:tcPr>
          <w:p>
            <w:r>
              <w:rPr>
                <w:rFonts w:ascii="Calibri" w:hAnsi="Calibri"/>
                <w:sz w:val="18"/>
                <w:color w:val="1E293B"/>
              </w:rPr>
              <w:t xml:space="preserve">Attributable, timestamped, immutable record confirming that a requirement was performed in practice.</w:t>
            </w:r>
          </w:p>
        </w:tc>
      </w:tr>
      <w:tr>
        <w:trPr>
          <w:cantSplit/>
        </w:trPr>
        <w:tc>
          <w:tcPr>
            <w:tcW w:w="2600" w:type="dxa"/>
            <w:shd w:val="clear" w:color="auto" w:fill="F8FAFC"/>
          </w:tcPr>
          <w:p>
            <w:r>
              <w:rPr>
                <w:rFonts w:ascii="Calibri" w:hAnsi="Calibri"/>
                <w:sz w:val="18"/>
                <w:color w:val="1E293B"/>
              </w:rPr>
              <w:t xml:space="preserve">Operating Effectiveness</w:t>
            </w:r>
          </w:p>
        </w:tc>
        <w:tc>
          <w:tcPr>
            <w:tcW w:w="6426" w:type="dxa"/>
            <w:shd w:val="clear" w:color="auto" w:fill="F8FAFC"/>
          </w:tcPr>
          <w:p>
            <w:r>
              <w:rPr>
                <w:rFonts w:ascii="Calibri" w:hAnsi="Calibri"/>
                <w:sz w:val="18"/>
                <w:color w:val="1E293B"/>
              </w:rPr>
              <w:t xml:space="preserve">Confirmation through systematic testing and evidence sampling that a control operates reliably over a period of time.</w:t>
            </w:r>
          </w:p>
        </w:tc>
      </w:tr>
    </w:tbl>
    <w:p>
      <w:pPr>
        <w:sectPr>
          <w:headerReference w:type="default" r:id="rId2"/>
          <w:footerReference w:type="default" r:id="rId3"/>
          <w:pgSz w:w="11906" w:h="16838"/>
          <w:pgMar w:top="1440" w:right="1440" w:bottom="1440" w:left="1440" w:header="720" w:footer="720"/>
        </w:sectPr>
      </w:pPr>
    </w:p>
    <w:p>
      <w:pPr>
        <w:spacing w:before="360" w:after="120"/>
        <w:rPr>
          <w:rFonts w:ascii="Calibri" w:hAnsi="Calibri"/>
          <w:b/>
          <w:sz w:val="32"/>
          <w:color w:val="0F172A"/>
        </w:rPr>
      </w:pPr>
      <w:r>
        <w:rPr>
          <w:rFonts w:ascii="Calibri" w:hAnsi="Calibri"/>
          <w:b/>
          <w:sz w:val="32"/>
          <w:color w:val="0F172A"/>
        </w:rPr>
        <w:t xml:space="preserve">Statement of Applicability (SoA) Review Matrix</w:t>
      </w:r>
    </w:p>
    <w:p>
      <w:pPr>
        <w:spacing w:after="100"/>
      </w:pPr>
      <w:r>
        <w:rPr>
          <w:rFonts w:ascii="Calibri" w:hAnsi="Calibri"/>
          <w:color w:val="1E293B"/>
          <w:sz w:val="20"/>
        </w:rPr>
        <w:t xml:space="preserve">ISO/IEC 27001:2022 Annex A Controls formal applicability and implementation assessment:</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600"/>
        <w:gridCol w:w="2600"/>
        <w:gridCol w:w="1800"/>
        <w:gridCol w:w="1400"/>
        <w:gridCol w:w="2200"/>
        <w:gridCol w:w="5078"/>
      </w:tblGrid>
      <w:tr>
        <w:trPr>
          <w:tblHeader/>
          <w:cantSplit/>
        </w:trPr>
        <w:tc>
          <w:tcPr>
            <w:tcW w:w="1600" w:type="dxa"/>
            <w:shd w:val="clear" w:color="auto" w:fill="0F172A"/>
          </w:tcPr>
          <w:p>
            <w:r>
              <w:rPr>
                <w:rFonts w:ascii="Calibri" w:hAnsi="Calibri"/>
                <w:b/>
                <w:color w:val="FFFFFF"/>
                <w:sz w:val="18"/>
              </w:rPr>
              <w:t xml:space="preserve">Control ID</w:t>
            </w:r>
          </w:p>
        </w:tc>
        <w:tc>
          <w:tcPr>
            <w:tcW w:w="2600" w:type="dxa"/>
            <w:shd w:val="clear" w:color="auto" w:fill="0F172A"/>
          </w:tcPr>
          <w:p>
            <w:r>
              <w:rPr>
                <w:rFonts w:ascii="Calibri" w:hAnsi="Calibri"/>
                <w:b/>
                <w:color w:val="FFFFFF"/>
                <w:sz w:val="18"/>
              </w:rPr>
              <w:t xml:space="preserve">Title</w:t>
            </w:r>
          </w:p>
        </w:tc>
        <w:tc>
          <w:tcPr>
            <w:tcW w:w="1800" w:type="dxa"/>
            <w:shd w:val="clear" w:color="auto" w:fill="0F172A"/>
          </w:tcPr>
          <w:p>
            <w:r>
              <w:rPr>
                <w:rFonts w:ascii="Calibri" w:hAnsi="Calibri"/>
                <w:b/>
                <w:color w:val="FFFFFF"/>
                <w:sz w:val="18"/>
              </w:rPr>
              <w:t xml:space="preserve">Theme</w:t>
            </w:r>
          </w:p>
        </w:tc>
        <w:tc>
          <w:tcPr>
            <w:tcW w:w="1400" w:type="dxa"/>
            <w:shd w:val="clear" w:color="auto" w:fill="0F172A"/>
          </w:tcPr>
          <w:p>
            <w:r>
              <w:rPr>
                <w:rFonts w:ascii="Calibri" w:hAnsi="Calibri"/>
                <w:b/>
                <w:color w:val="FFFFFF"/>
                <w:sz w:val="18"/>
              </w:rPr>
              <w:t xml:space="preserve">Applicable</w:t>
            </w:r>
          </w:p>
        </w:tc>
        <w:tc>
          <w:tcPr>
            <w:tcW w:w="2200" w:type="dxa"/>
            <w:shd w:val="clear" w:color="auto" w:fill="0F172A"/>
          </w:tcPr>
          <w:p>
            <w:r>
              <w:rPr>
                <w:rFonts w:ascii="Calibri" w:hAnsi="Calibri"/>
                <w:b/>
                <w:color w:val="FFFFFF"/>
                <w:sz w:val="18"/>
              </w:rPr>
              <w:t xml:space="preserve">Status</w:t>
            </w:r>
          </w:p>
        </w:tc>
        <w:tc>
          <w:tcPr>
            <w:tcW w:w="5078" w:type="dxa"/>
            <w:shd w:val="clear" w:color="auto" w:fill="0F172A"/>
          </w:tcPr>
          <w:p>
            <w:r>
              <w:rPr>
                <w:rFonts w:ascii="Calibri" w:hAnsi="Calibri"/>
                <w:b/>
                <w:color w:val="FFFFFF"/>
                <w:sz w:val="18"/>
              </w:rPr>
              <w:t xml:space="preserve">Justification &amp; Supporting Docs</w:t>
            </w:r>
          </w:p>
        </w:tc>
      </w:tr>
      <w:tr>
        <w:trPr>
          <w:cantSplit/>
        </w:trPr>
        <w:tc>
          <w:tcPr>
            <w:tcW w:w="1600" w:type="dxa"/>
          </w:tcPr>
          <w:p>
            <w:r>
              <w:rPr>
                <w:rFonts w:ascii="Calibri" w:hAnsi="Calibri"/>
                <w:sz w:val="18"/>
                <w:color w:val="1E293B"/>
              </w:rPr>
              <w:t xml:space="preserve">A.5.1</w:t>
            </w:r>
          </w:p>
        </w:tc>
        <w:tc>
          <w:tcPr>
            <w:tcW w:w="2600" w:type="dxa"/>
          </w:tcPr>
          <w:p>
            <w:r>
              <w:rPr>
                <w:rFonts w:ascii="Calibri" w:hAnsi="Calibri"/>
                <w:sz w:val="18"/>
                <w:color w:val="1E293B"/>
              </w:rPr>
              <w:t xml:space="preserve">Policies for Information Security</w:t>
            </w:r>
          </w:p>
        </w:tc>
        <w:tc>
          <w:tcPr>
            <w:tcW w:w="1800" w:type="dxa"/>
          </w:tcPr>
          <w:p>
            <w:r>
              <w:rPr>
                <w:rFonts w:ascii="Calibri" w:hAnsi="Calibri"/>
                <w:sz w:val="18"/>
                <w:color w:val="1E293B"/>
              </w:rPr>
              <w:t xml:space="preserve">ORGANIZATIONAL</w:t>
            </w:r>
          </w:p>
        </w:tc>
        <w:tc>
          <w:tcPr>
            <w:tcW w:w="1400" w:type="dxa"/>
          </w:tcPr>
          <w:p>
            <w:r>
              <w:rPr>
                <w:rFonts w:ascii="Calibri" w:hAnsi="Calibri"/>
                <w:sz w:val="18"/>
                <w:color w:val="1E293B"/>
              </w:rPr>
              <w:t xml:space="preserve">Yes</w:t>
            </w:r>
          </w:p>
        </w:tc>
        <w:tc>
          <w:tcPr>
            <w:tcW w:w="2200" w:type="dxa"/>
          </w:tcPr>
          <w:p>
            <w:r>
              <w:rPr>
                <w:rFonts w:ascii="Calibri" w:hAnsi="Calibri"/>
                <w:sz w:val="18"/>
                <w:color w:val="1E293B"/>
              </w:rPr>
              <w:t xml:space="preserve">IMPLEMENTED</w:t>
            </w:r>
          </w:p>
        </w:tc>
        <w:tc>
          <w:tcPr>
            <w:tcW w:w="5078" w:type="dxa"/>
          </w:tcPr>
          <w:p>
            <w:r>
              <w:rPr>
                <w:rFonts w:ascii="Calibri" w:hAnsi="Calibri"/>
                <w:sz w:val="18"/>
                <w:color w:val="1E293B"/>
              </w:rPr>
              <w:t xml:space="preserve">Mandatory foundational control providing management direction and governance baseline.
[Docs: ISMS-POL-001 Information Security Policy]</w:t>
            </w:r>
          </w:p>
        </w:tc>
      </w:tr>
      <w:tr>
        <w:trPr>
          <w:cantSplit/>
        </w:trPr>
        <w:tc>
          <w:tcPr>
            <w:tcW w:w="1600" w:type="dxa"/>
            <w:shd w:val="clear" w:color="auto" w:fill="F8FAFC"/>
          </w:tcPr>
          <w:p>
            <w:r>
              <w:rPr>
                <w:rFonts w:ascii="Calibri" w:hAnsi="Calibri"/>
                <w:sz w:val="18"/>
                <w:color w:val="1E293B"/>
              </w:rPr>
              <w:t xml:space="preserve">A.5.15</w:t>
            </w:r>
          </w:p>
        </w:tc>
        <w:tc>
          <w:tcPr>
            <w:tcW w:w="2600" w:type="dxa"/>
            <w:shd w:val="clear" w:color="auto" w:fill="F8FAFC"/>
          </w:tcPr>
          <w:p>
            <w:r>
              <w:rPr>
                <w:rFonts w:ascii="Calibri" w:hAnsi="Calibri"/>
                <w:sz w:val="18"/>
                <w:color w:val="1E293B"/>
              </w:rPr>
              <w:t xml:space="preserve">Access Control</w:t>
            </w:r>
          </w:p>
        </w:tc>
        <w:tc>
          <w:tcPr>
            <w:tcW w:w="1800" w:type="dxa"/>
            <w:shd w:val="clear" w:color="auto" w:fill="F8FAFC"/>
          </w:tcPr>
          <w:p>
            <w:r>
              <w:rPr>
                <w:rFonts w:ascii="Calibri" w:hAnsi="Calibri"/>
                <w:sz w:val="18"/>
                <w:color w:val="1E293B"/>
              </w:rPr>
              <w:t xml:space="preserve">ORGANIZATIONAL</w:t>
            </w:r>
          </w:p>
        </w:tc>
        <w:tc>
          <w:tcPr>
            <w:tcW w:w="14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IMPLEMENTED</w:t>
            </w:r>
          </w:p>
        </w:tc>
        <w:tc>
          <w:tcPr>
            <w:tcW w:w="5078" w:type="dxa"/>
            <w:shd w:val="clear" w:color="auto" w:fill="F8FAFC"/>
          </w:tcPr>
          <w:p>
            <w:r>
              <w:rPr>
                <w:rFonts w:ascii="Calibri" w:hAnsi="Calibri"/>
                <w:sz w:val="18"/>
                <w:color w:val="1E293B"/>
              </w:rPr>
              <w:t xml:space="preserve">Critical for protecting customer financial data and production cloud infrastructure.
[Docs: ISMS-POL-002 Access Control Policy; ISMS-PROC-IAM-001 Provisioning Procedure]</w:t>
            </w:r>
          </w:p>
        </w:tc>
      </w:tr>
      <w:tr>
        <w:trPr>
          <w:cantSplit/>
        </w:trPr>
        <w:tc>
          <w:tcPr>
            <w:tcW w:w="1600" w:type="dxa"/>
          </w:tcPr>
          <w:p>
            <w:r>
              <w:rPr>
                <w:rFonts w:ascii="Calibri" w:hAnsi="Calibri"/>
                <w:sz w:val="18"/>
                <w:color w:val="1E293B"/>
              </w:rPr>
              <w:t xml:space="preserve">A.5.19</w:t>
            </w:r>
          </w:p>
        </w:tc>
        <w:tc>
          <w:tcPr>
            <w:tcW w:w="2600" w:type="dxa"/>
          </w:tcPr>
          <w:p>
            <w:r>
              <w:rPr>
                <w:rFonts w:ascii="Calibri" w:hAnsi="Calibri"/>
                <w:sz w:val="18"/>
                <w:color w:val="1E293B"/>
              </w:rPr>
              <w:t xml:space="preserve">Information Security in Supplier Relationships</w:t>
            </w:r>
          </w:p>
        </w:tc>
        <w:tc>
          <w:tcPr>
            <w:tcW w:w="1800" w:type="dxa"/>
          </w:tcPr>
          <w:p>
            <w:r>
              <w:rPr>
                <w:rFonts w:ascii="Calibri" w:hAnsi="Calibri"/>
                <w:sz w:val="18"/>
                <w:color w:val="1E293B"/>
              </w:rPr>
              <w:t xml:space="preserve">ORGANIZATIONAL</w:t>
            </w:r>
          </w:p>
        </w:tc>
        <w:tc>
          <w:tcPr>
            <w:tcW w:w="1400" w:type="dxa"/>
          </w:tcPr>
          <w:p>
            <w:r>
              <w:rPr>
                <w:rFonts w:ascii="Calibri" w:hAnsi="Calibri"/>
                <w:sz w:val="18"/>
                <w:color w:val="1E293B"/>
              </w:rPr>
              <w:t xml:space="preserve">Yes</w:t>
            </w:r>
          </w:p>
        </w:tc>
        <w:tc>
          <w:tcPr>
            <w:tcW w:w="2200" w:type="dxa"/>
          </w:tcPr>
          <w:p>
            <w:r>
              <w:rPr>
                <w:rFonts w:ascii="Calibri" w:hAnsi="Calibri"/>
                <w:sz w:val="18"/>
                <w:color w:val="1E293B"/>
              </w:rPr>
              <w:t xml:space="preserve">IMPLEMENTED</w:t>
            </w:r>
          </w:p>
        </w:tc>
        <w:tc>
          <w:tcPr>
            <w:tcW w:w="5078" w:type="dxa"/>
          </w:tcPr>
          <w:p>
            <w:r>
              <w:rPr>
                <w:rFonts w:ascii="Calibri" w:hAnsi="Calibri"/>
                <w:sz w:val="18"/>
                <w:color w:val="1E293B"/>
              </w:rPr>
              <w:t xml:space="preserve">High reliance on third-party cloud infrastructure (AWS) and SaaS platforms.
[Docs: ISMS-POL-014 Supplier Security Policy; ISMS-PROC-TPRM-001 TPRM Procedure]</w:t>
            </w:r>
          </w:p>
        </w:tc>
      </w:tr>
      <w:tr>
        <w:trPr>
          <w:cantSplit/>
        </w:trPr>
        <w:tc>
          <w:tcPr>
            <w:tcW w:w="1600" w:type="dxa"/>
            <w:shd w:val="clear" w:color="auto" w:fill="F8FAFC"/>
          </w:tcPr>
          <w:p>
            <w:r>
              <w:rPr>
                <w:rFonts w:ascii="Calibri" w:hAnsi="Calibri"/>
                <w:sz w:val="18"/>
                <w:color w:val="1E293B"/>
              </w:rPr>
              <w:t xml:space="preserve">A.6.7</w:t>
            </w:r>
          </w:p>
        </w:tc>
        <w:tc>
          <w:tcPr>
            <w:tcW w:w="2600" w:type="dxa"/>
            <w:shd w:val="clear" w:color="auto" w:fill="F8FAFC"/>
          </w:tcPr>
          <w:p>
            <w:r>
              <w:rPr>
                <w:rFonts w:ascii="Calibri" w:hAnsi="Calibri"/>
                <w:sz w:val="18"/>
                <w:color w:val="1E293B"/>
              </w:rPr>
              <w:t xml:space="preserve">Remote Working</w:t>
            </w:r>
          </w:p>
        </w:tc>
        <w:tc>
          <w:tcPr>
            <w:tcW w:w="1800" w:type="dxa"/>
            <w:shd w:val="clear" w:color="auto" w:fill="F8FAFC"/>
          </w:tcPr>
          <w:p>
            <w:r>
              <w:rPr>
                <w:rFonts w:ascii="Calibri" w:hAnsi="Calibri"/>
                <w:sz w:val="18"/>
                <w:color w:val="1E293B"/>
              </w:rPr>
              <w:t xml:space="preserve">PEOPLE</w:t>
            </w:r>
          </w:p>
        </w:tc>
        <w:tc>
          <w:tcPr>
            <w:tcW w:w="14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IMPLEMENTED</w:t>
            </w:r>
          </w:p>
        </w:tc>
        <w:tc>
          <w:tcPr>
            <w:tcW w:w="5078" w:type="dxa"/>
            <w:shd w:val="clear" w:color="auto" w:fill="F8FAFC"/>
          </w:tcPr>
          <w:p>
            <w:r>
              <w:rPr>
                <w:rFonts w:ascii="Calibri" w:hAnsi="Calibri"/>
                <w:sz w:val="18"/>
                <w:color w:val="1E293B"/>
              </w:rPr>
              <w:t xml:space="preserve">Hybrid workforce operating across distributed international locations.
[Docs: ISMS-POL-017 Remote Working Guideline]</w:t>
            </w:r>
          </w:p>
        </w:tc>
      </w:tr>
      <w:tr>
        <w:trPr>
          <w:cantSplit/>
        </w:trPr>
        <w:tc>
          <w:tcPr>
            <w:tcW w:w="1600" w:type="dxa"/>
          </w:tcPr>
          <w:p>
            <w:r>
              <w:rPr>
                <w:rFonts w:ascii="Calibri" w:hAnsi="Calibri"/>
                <w:sz w:val="18"/>
                <w:color w:val="1E293B"/>
              </w:rPr>
              <w:t xml:space="preserve">A.7.1</w:t>
            </w:r>
          </w:p>
        </w:tc>
        <w:tc>
          <w:tcPr>
            <w:tcW w:w="2600" w:type="dxa"/>
          </w:tcPr>
          <w:p>
            <w:r>
              <w:rPr>
                <w:rFonts w:ascii="Calibri" w:hAnsi="Calibri"/>
                <w:sz w:val="18"/>
                <w:color w:val="1E293B"/>
              </w:rPr>
              <w:t xml:space="preserve">Physical Security Perimeters</w:t>
            </w:r>
          </w:p>
        </w:tc>
        <w:tc>
          <w:tcPr>
            <w:tcW w:w="1800" w:type="dxa"/>
          </w:tcPr>
          <w:p>
            <w:r>
              <w:rPr>
                <w:rFonts w:ascii="Calibri" w:hAnsi="Calibri"/>
                <w:sz w:val="18"/>
                <w:color w:val="1E293B"/>
              </w:rPr>
              <w:t xml:space="preserve">PHYSICAL</w:t>
            </w:r>
          </w:p>
        </w:tc>
        <w:tc>
          <w:tcPr>
            <w:tcW w:w="1400" w:type="dxa"/>
          </w:tcPr>
          <w:p>
            <w:r>
              <w:rPr>
                <w:rFonts w:ascii="Calibri" w:hAnsi="Calibri"/>
                <w:sz w:val="18"/>
                <w:color w:val="1E293B"/>
              </w:rPr>
              <w:t xml:space="preserve">Yes</w:t>
            </w:r>
          </w:p>
        </w:tc>
        <w:tc>
          <w:tcPr>
            <w:tcW w:w="2200" w:type="dxa"/>
          </w:tcPr>
          <w:p>
            <w:r>
              <w:rPr>
                <w:rFonts w:ascii="Calibri" w:hAnsi="Calibri"/>
                <w:sz w:val="18"/>
                <w:color w:val="1E293B"/>
              </w:rPr>
              <w:t xml:space="preserve">IMPLEMENTED</w:t>
            </w:r>
          </w:p>
        </w:tc>
        <w:tc>
          <w:tcPr>
            <w:tcW w:w="5078" w:type="dxa"/>
          </w:tcPr>
          <w:p>
            <w:r>
              <w:rPr>
                <w:rFonts w:ascii="Calibri" w:hAnsi="Calibri"/>
                <w:sz w:val="18"/>
                <w:color w:val="1E293B"/>
              </w:rPr>
              <w:t xml:space="preserve">Corporate headquarters hosts network operations and executive offices.
[Docs: ISMS-POL-005 Physical &amp; Environmental Security Policy]</w:t>
            </w:r>
          </w:p>
        </w:tc>
      </w:tr>
      <w:tr>
        <w:trPr>
          <w:cantSplit/>
        </w:trPr>
        <w:tc>
          <w:tcPr>
            <w:tcW w:w="1600" w:type="dxa"/>
            <w:shd w:val="clear" w:color="auto" w:fill="F8FAFC"/>
          </w:tcPr>
          <w:p>
            <w:r>
              <w:rPr>
                <w:rFonts w:ascii="Calibri" w:hAnsi="Calibri"/>
                <w:sz w:val="18"/>
                <w:color w:val="1E293B"/>
              </w:rPr>
              <w:t xml:space="preserve">A.7.14</w:t>
            </w:r>
          </w:p>
        </w:tc>
        <w:tc>
          <w:tcPr>
            <w:tcW w:w="2600" w:type="dxa"/>
            <w:shd w:val="clear" w:color="auto" w:fill="F8FAFC"/>
          </w:tcPr>
          <w:p>
            <w:r>
              <w:rPr>
                <w:rFonts w:ascii="Calibri" w:hAnsi="Calibri"/>
                <w:sz w:val="18"/>
                <w:color w:val="1E293B"/>
              </w:rPr>
              <w:t xml:space="preserve">Secure Disposal or Re-use of Equipment</w:t>
            </w:r>
          </w:p>
        </w:tc>
        <w:tc>
          <w:tcPr>
            <w:tcW w:w="1800" w:type="dxa"/>
            <w:shd w:val="clear" w:color="auto" w:fill="F8FAFC"/>
          </w:tcPr>
          <w:p>
            <w:r>
              <w:rPr>
                <w:rFonts w:ascii="Calibri" w:hAnsi="Calibri"/>
                <w:sz w:val="18"/>
                <w:color w:val="1E293B"/>
              </w:rPr>
              <w:t xml:space="preserve">PHYSICAL</w:t>
            </w:r>
          </w:p>
        </w:tc>
        <w:tc>
          <w:tcPr>
            <w:tcW w:w="14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IMPLEMENTED</w:t>
            </w:r>
          </w:p>
        </w:tc>
        <w:tc>
          <w:tcPr>
            <w:tcW w:w="5078" w:type="dxa"/>
            <w:shd w:val="clear" w:color="auto" w:fill="F8FAFC"/>
          </w:tcPr>
          <w:p>
            <w:r>
              <w:rPr>
                <w:rFonts w:ascii="Calibri" w:hAnsi="Calibri"/>
                <w:sz w:val="18"/>
                <w:color w:val="1E293B"/>
              </w:rPr>
              <w:t xml:space="preserve">Prevention of data leakage through retired laptops and decommissioned servers.
[Docs: ISMS-PROC-DISP-001 Media Sanitization Work Instruction]</w:t>
            </w:r>
          </w:p>
        </w:tc>
      </w:tr>
      <w:tr>
        <w:trPr>
          <w:cantSplit/>
        </w:trPr>
        <w:tc>
          <w:tcPr>
            <w:tcW w:w="1600" w:type="dxa"/>
          </w:tcPr>
          <w:p>
            <w:r>
              <w:rPr>
                <w:rFonts w:ascii="Calibri" w:hAnsi="Calibri"/>
                <w:sz w:val="18"/>
                <w:color w:val="1E293B"/>
              </w:rPr>
              <w:t xml:space="preserve">A.8.2</w:t>
            </w:r>
          </w:p>
        </w:tc>
        <w:tc>
          <w:tcPr>
            <w:tcW w:w="2600" w:type="dxa"/>
          </w:tcPr>
          <w:p>
            <w:r>
              <w:rPr>
                <w:rFonts w:ascii="Calibri" w:hAnsi="Calibri"/>
                <w:sz w:val="18"/>
                <w:color w:val="1E293B"/>
              </w:rPr>
              <w:t xml:space="preserve">Privileged Access Rights</w:t>
            </w:r>
          </w:p>
        </w:tc>
        <w:tc>
          <w:tcPr>
            <w:tcW w:w="1800" w:type="dxa"/>
          </w:tcPr>
          <w:p>
            <w:r>
              <w:rPr>
                <w:rFonts w:ascii="Calibri" w:hAnsi="Calibri"/>
                <w:sz w:val="18"/>
                <w:color w:val="1E293B"/>
              </w:rPr>
              <w:t xml:space="preserve">TECHNOLOGICAL</w:t>
            </w:r>
          </w:p>
        </w:tc>
        <w:tc>
          <w:tcPr>
            <w:tcW w:w="1400" w:type="dxa"/>
          </w:tcPr>
          <w:p>
            <w:r>
              <w:rPr>
                <w:rFonts w:ascii="Calibri" w:hAnsi="Calibri"/>
                <w:sz w:val="18"/>
                <w:color w:val="1E293B"/>
              </w:rPr>
              <w:t xml:space="preserve">Yes</w:t>
            </w:r>
          </w:p>
        </w:tc>
        <w:tc>
          <w:tcPr>
            <w:tcW w:w="2200" w:type="dxa"/>
          </w:tcPr>
          <w:p>
            <w:r>
              <w:rPr>
                <w:rFonts w:ascii="Calibri" w:hAnsi="Calibri"/>
                <w:sz w:val="18"/>
                <w:color w:val="1E293B"/>
              </w:rPr>
              <w:t xml:space="preserve">IMPLEMENTED</w:t>
            </w:r>
          </w:p>
        </w:tc>
        <w:tc>
          <w:tcPr>
            <w:tcW w:w="5078" w:type="dxa"/>
          </w:tcPr>
          <w:p>
            <w:r>
              <w:rPr>
                <w:rFonts w:ascii="Calibri" w:hAnsi="Calibri"/>
                <w:sz w:val="18"/>
                <w:color w:val="1E293B"/>
              </w:rPr>
              <w:t xml:space="preserve">Essential safeguard against lateral movement and administrative compromise.
[Docs: ISMS-PROC-IAM-004 Privileged Access Management Procedure]</w:t>
            </w:r>
          </w:p>
        </w:tc>
      </w:tr>
      <w:tr>
        <w:trPr>
          <w:cantSplit/>
        </w:trPr>
        <w:tc>
          <w:tcPr>
            <w:tcW w:w="1600" w:type="dxa"/>
            <w:shd w:val="clear" w:color="auto" w:fill="F8FAFC"/>
          </w:tcPr>
          <w:p>
            <w:r>
              <w:rPr>
                <w:rFonts w:ascii="Calibri" w:hAnsi="Calibri"/>
                <w:sz w:val="18"/>
                <w:color w:val="1E293B"/>
              </w:rPr>
              <w:t xml:space="preserve">A.8.8</w:t>
            </w:r>
          </w:p>
        </w:tc>
        <w:tc>
          <w:tcPr>
            <w:tcW w:w="2600" w:type="dxa"/>
            <w:shd w:val="clear" w:color="auto" w:fill="F8FAFC"/>
          </w:tcPr>
          <w:p>
            <w:r>
              <w:rPr>
                <w:rFonts w:ascii="Calibri" w:hAnsi="Calibri"/>
                <w:sz w:val="18"/>
                <w:color w:val="1E293B"/>
              </w:rPr>
              <w:t xml:space="preserve">Management of Technical Vulnerabilities</w:t>
            </w:r>
          </w:p>
        </w:tc>
        <w:tc>
          <w:tcPr>
            <w:tcW w:w="1800" w:type="dxa"/>
            <w:shd w:val="clear" w:color="auto" w:fill="F8FAFC"/>
          </w:tcPr>
          <w:p>
            <w:r>
              <w:rPr>
                <w:rFonts w:ascii="Calibri" w:hAnsi="Calibri"/>
                <w:sz w:val="18"/>
                <w:color w:val="1E293B"/>
              </w:rPr>
              <w:t xml:space="preserve">TECHNOLOGICAL</w:t>
            </w:r>
          </w:p>
        </w:tc>
        <w:tc>
          <w:tcPr>
            <w:tcW w:w="14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IMPLEMENTED</w:t>
            </w:r>
          </w:p>
        </w:tc>
        <w:tc>
          <w:tcPr>
            <w:tcW w:w="5078" w:type="dxa"/>
            <w:shd w:val="clear" w:color="auto" w:fill="F8FAFC"/>
          </w:tcPr>
          <w:p>
            <w:r>
              <w:rPr>
                <w:rFonts w:ascii="Calibri" w:hAnsi="Calibri"/>
                <w:sz w:val="18"/>
                <w:color w:val="1E293B"/>
              </w:rPr>
              <w:t xml:space="preserve">Mitigates exploitation of CVEs across container clusters and endpoints.
[Docs: ISMS-POL-009 Vulnerability Management Policy]</w:t>
            </w:r>
          </w:p>
        </w:tc>
      </w:tr>
      <w:tr>
        <w:trPr>
          <w:cantSplit/>
        </w:trPr>
        <w:tc>
          <w:tcPr>
            <w:tcW w:w="1600" w:type="dxa"/>
          </w:tcPr>
          <w:p>
            <w:r>
              <w:rPr>
                <w:rFonts w:ascii="Calibri" w:hAnsi="Calibri"/>
                <w:sz w:val="18"/>
                <w:color w:val="1E293B"/>
              </w:rPr>
              <w:t xml:space="preserve">A.8.24</w:t>
            </w:r>
          </w:p>
        </w:tc>
        <w:tc>
          <w:tcPr>
            <w:tcW w:w="2600" w:type="dxa"/>
          </w:tcPr>
          <w:p>
            <w:r>
              <w:rPr>
                <w:rFonts w:ascii="Calibri" w:hAnsi="Calibri"/>
                <w:sz w:val="18"/>
                <w:color w:val="1E293B"/>
              </w:rPr>
              <w:t xml:space="preserve">Use of Cryptography</w:t>
            </w:r>
          </w:p>
        </w:tc>
        <w:tc>
          <w:tcPr>
            <w:tcW w:w="1800" w:type="dxa"/>
          </w:tcPr>
          <w:p>
            <w:r>
              <w:rPr>
                <w:rFonts w:ascii="Calibri" w:hAnsi="Calibri"/>
                <w:sz w:val="18"/>
                <w:color w:val="1E293B"/>
              </w:rPr>
              <w:t xml:space="preserve">TECHNOLOGICAL</w:t>
            </w:r>
          </w:p>
        </w:tc>
        <w:tc>
          <w:tcPr>
            <w:tcW w:w="1400" w:type="dxa"/>
          </w:tcPr>
          <w:p>
            <w:r>
              <w:rPr>
                <w:rFonts w:ascii="Calibri" w:hAnsi="Calibri"/>
                <w:sz w:val="18"/>
                <w:color w:val="1E293B"/>
              </w:rPr>
              <w:t xml:space="preserve">Yes</w:t>
            </w:r>
          </w:p>
        </w:tc>
        <w:tc>
          <w:tcPr>
            <w:tcW w:w="2200" w:type="dxa"/>
          </w:tcPr>
          <w:p>
            <w:r>
              <w:rPr>
                <w:rFonts w:ascii="Calibri" w:hAnsi="Calibri"/>
                <w:sz w:val="18"/>
                <w:color w:val="1E293B"/>
              </w:rPr>
              <w:t xml:space="preserve">IMPLEMENTED</w:t>
            </w:r>
          </w:p>
        </w:tc>
        <w:tc>
          <w:tcPr>
            <w:tcW w:w="5078" w:type="dxa"/>
          </w:tcPr>
          <w:p>
            <w:r>
              <w:rPr>
                <w:rFonts w:ascii="Calibri" w:hAnsi="Calibri"/>
                <w:sz w:val="18"/>
                <w:color w:val="1E293B"/>
              </w:rPr>
              <w:t xml:space="preserve">Protects confidentiality and integrity of customer data at rest and in transit.
[Docs: ISMS-POL-007 Cryptography and Key Management Policy]</w:t>
            </w:r>
          </w:p>
        </w:tc>
      </w:tr>
      <w:tr>
        <w:trPr>
          <w:cantSplit/>
        </w:trPr>
        <w:tc>
          <w:tcPr>
            <w:tcW w:w="1600" w:type="dxa"/>
            <w:shd w:val="clear" w:color="auto" w:fill="F8FAFC"/>
          </w:tcPr>
          <w:p>
            <w:r>
              <w:rPr>
                <w:rFonts w:ascii="Calibri" w:hAnsi="Calibri"/>
                <w:sz w:val="18"/>
                <w:color w:val="1E293B"/>
              </w:rPr>
              <w:t xml:space="preserve">A.8.32</w:t>
            </w:r>
          </w:p>
        </w:tc>
        <w:tc>
          <w:tcPr>
            <w:tcW w:w="2600" w:type="dxa"/>
            <w:shd w:val="clear" w:color="auto" w:fill="F8FAFC"/>
          </w:tcPr>
          <w:p>
            <w:r>
              <w:rPr>
                <w:rFonts w:ascii="Calibri" w:hAnsi="Calibri"/>
                <w:sz w:val="18"/>
                <w:color w:val="1E293B"/>
              </w:rPr>
              <w:t xml:space="preserve">Change Management</w:t>
            </w:r>
          </w:p>
        </w:tc>
        <w:tc>
          <w:tcPr>
            <w:tcW w:w="1800" w:type="dxa"/>
            <w:shd w:val="clear" w:color="auto" w:fill="F8FAFC"/>
          </w:tcPr>
          <w:p>
            <w:r>
              <w:rPr>
                <w:rFonts w:ascii="Calibri" w:hAnsi="Calibri"/>
                <w:sz w:val="18"/>
                <w:color w:val="1E293B"/>
              </w:rPr>
              <w:t xml:space="preserve">TECHNOLOGICAL</w:t>
            </w:r>
          </w:p>
        </w:tc>
        <w:tc>
          <w:tcPr>
            <w:tcW w:w="1400" w:type="dxa"/>
            <w:shd w:val="clear" w:color="auto" w:fill="F8FAFC"/>
          </w:tcPr>
          <w:p>
            <w:r>
              <w:rPr>
                <w:rFonts w:ascii="Calibri" w:hAnsi="Calibri"/>
                <w:sz w:val="18"/>
                <w:color w:val="1E293B"/>
              </w:rPr>
              <w:t xml:space="preserve">Yes</w:t>
            </w:r>
          </w:p>
        </w:tc>
        <w:tc>
          <w:tcPr>
            <w:tcW w:w="2200" w:type="dxa"/>
            <w:shd w:val="clear" w:color="auto" w:fill="F8FAFC"/>
          </w:tcPr>
          <w:p>
            <w:r>
              <w:rPr>
                <w:rFonts w:ascii="Calibri" w:hAnsi="Calibri"/>
                <w:sz w:val="18"/>
                <w:color w:val="1E293B"/>
              </w:rPr>
              <w:t xml:space="preserve">IMPLEMENTED</w:t>
            </w:r>
          </w:p>
        </w:tc>
        <w:tc>
          <w:tcPr>
            <w:tcW w:w="5078" w:type="dxa"/>
            <w:shd w:val="clear" w:color="auto" w:fill="F8FAFC"/>
          </w:tcPr>
          <w:p>
            <w:r>
              <w:rPr>
                <w:rFonts w:ascii="Calibri" w:hAnsi="Calibri"/>
                <w:sz w:val="18"/>
                <w:color w:val="1E293B"/>
              </w:rPr>
              <w:t xml:space="preserve">Ensures authorized, tested, and reversible changes to production software.
[Docs: ISMS-PROC-CHG-001 Change Management Procedure]</w:t>
            </w:r>
          </w:p>
        </w:tc>
      </w:tr>
    </w:tbl>
    <w:p>
      <w:pPr>
        <w:sectPr>
          <w:headerReference w:type="default" r:id="rId2"/>
          <w:footerReference w:type="default" r:id="rId3"/>
          <w:pgSz w:w="16838" w:h="11906" w:orient="landscape"/>
          <w:pgMar w:top="1080" w:right="1080" w:bottom="1080" w:left="1080" w:header="540" w:footer="540"/>
        </w:sectPr>
      </w:pPr>
    </w:p>
    <w:p>
      <w:pPr>
        <w:spacing w:before="360" w:after="120"/>
        <w:rPr>
          <w:rFonts w:ascii="Calibri" w:hAnsi="Calibri"/>
          <w:b/>
          <w:sz w:val="32"/>
          <w:color w:val="0F172A"/>
        </w:rPr>
      </w:pPr>
      <w:r>
        <w:rPr>
          <w:rFonts w:ascii="Calibri" w:hAnsi="Calibri"/>
          <w:b/>
          <w:sz w:val="32"/>
          <w:color w:val="0F172A"/>
        </w:rPr>
        <w:t xml:space="preserve">Management Review Agenda &amp; Executive Decisions</w:t>
      </w:r>
    </w:p>
    <w:p>
      <w:pPr>
        <w:spacing w:after="100"/>
      </w:pPr>
      <w:r>
        <w:rPr>
          <w:rFonts w:ascii="Calibri" w:hAnsi="Calibri"/>
          <w:color w:val="1E293B"/>
          <w:sz w:val="20"/>
        </w:rPr>
        <w:t xml:space="preserve">ISO/IEC 27001:2022 Clause 9.3 mandatory input topics, presented evidence, and executive resource allocations: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000"/>
        <w:gridCol w:w="3000"/>
        <w:gridCol w:w="2500"/>
        <w:gridCol w:w="2526"/>
      </w:tblGrid>
      <w:tr>
        <w:trPr>
          <w:tblHeader/>
          <w:cantSplit/>
        </w:trPr>
        <w:tc>
          <w:tcPr>
            <w:tcW w:w="1000" w:type="dxa"/>
            <w:shd w:val="clear" w:color="auto" w:fill="0F172A"/>
          </w:tcPr>
          <w:p>
            <w:r>
              <w:rPr>
                <w:rFonts w:ascii="Calibri" w:hAnsi="Calibri"/>
                <w:b/>
                <w:color w:val="FFFFFF"/>
                <w:sz w:val="18"/>
              </w:rPr>
              <w:t xml:space="preserve">Item</w:t>
            </w:r>
          </w:p>
        </w:tc>
        <w:tc>
          <w:tcPr>
            <w:tcW w:w="3000" w:type="dxa"/>
            <w:shd w:val="clear" w:color="auto" w:fill="0F172A"/>
          </w:tcPr>
          <w:p>
            <w:r>
              <w:rPr>
                <w:rFonts w:ascii="Calibri" w:hAnsi="Calibri"/>
                <w:b/>
                <w:color w:val="FFFFFF"/>
                <w:sz w:val="18"/>
              </w:rPr>
              <w:t xml:space="preserve">Agenda Topic &amp; Clause 9.3 Source</w:t>
            </w:r>
          </w:p>
        </w:tc>
        <w:tc>
          <w:tcPr>
            <w:tcW w:w="2500" w:type="dxa"/>
            <w:shd w:val="clear" w:color="auto" w:fill="0F172A"/>
          </w:tcPr>
          <w:p>
            <w:r>
              <w:rPr>
                <w:rFonts w:ascii="Calibri" w:hAnsi="Calibri"/>
                <w:b/>
                <w:color w:val="FFFFFF"/>
                <w:sz w:val="18"/>
              </w:rPr>
              <w:t xml:space="preserve">Evidence Presented</w:t>
            </w:r>
          </w:p>
        </w:tc>
        <w:tc>
          <w:tcPr>
            <w:tcW w:w="2526" w:type="dxa"/>
            <w:shd w:val="clear" w:color="auto" w:fill="0F172A"/>
          </w:tcPr>
          <w:p>
            <w:r>
              <w:rPr>
                <w:rFonts w:ascii="Calibri" w:hAnsi="Calibri"/>
                <w:b/>
                <w:color w:val="FFFFFF"/>
                <w:sz w:val="18"/>
              </w:rPr>
              <w:t xml:space="preserve">Executive Decision &amp; Action Owner</w:t>
            </w:r>
          </w:p>
        </w:tc>
      </w:tr>
      <w:tr>
        <w:trPr>
          <w:cantSplit/>
        </w:trPr>
        <w:tc>
          <w:tcPr>
            <w:tcW w:w="1000" w:type="dxa"/>
          </w:tcPr>
          <w:p>
            <w:r>
              <w:rPr>
                <w:rFonts w:ascii="Calibri" w:hAnsi="Calibri"/>
                <w:sz w:val="18"/>
                <w:color w:val="1E293B"/>
              </w:rPr>
              <w:t xml:space="preserve">Item 1</w:t>
            </w:r>
          </w:p>
        </w:tc>
        <w:tc>
          <w:tcPr>
            <w:tcW w:w="3000" w:type="dxa"/>
          </w:tcPr>
          <w:p>
            <w:r>
              <w:rPr>
                <w:rFonts w:ascii="Calibri" w:hAnsi="Calibri"/>
                <w:sz w:val="18"/>
                <w:color w:val="1E293B"/>
              </w:rPr>
              <w:t xml:space="preserve">Review of Previous Management Review Action Items
[ISO/IEC 27001:2022 Clause 9.3(a)]</w:t>
            </w:r>
          </w:p>
        </w:tc>
        <w:tc>
          <w:tcPr>
            <w:tcW w:w="2500" w:type="dxa"/>
          </w:tcPr>
          <w:p>
            <w:r>
              <w:rPr>
                <w:rFonts w:ascii="Calibri" w:hAnsi="Calibri"/>
                <w:sz w:val="18"/>
                <w:color w:val="1E293B"/>
              </w:rPr>
              <w:t xml:space="preserve">Verification of 4 open CAPA tickets from Q2 2026 review; all 4 tickets verified as closed with tested evidence.</w:t>
            </w:r>
          </w:p>
        </w:tc>
        <w:tc>
          <w:tcPr>
            <w:tcW w:w="2526" w:type="dxa"/>
          </w:tcPr>
          <w:p>
            <w:r>
              <w:rPr>
                <w:rFonts w:ascii="Calibri" w:hAnsi="Calibri"/>
                <w:sz w:val="18"/>
                <w:color w:val="1E293B"/>
              </w:rPr>
              <w:t xml:space="preserve">Approved formal closure of Q2 action register.
Owner: ISMS Lead Implementer (Due: 2026-10-15)</w:t>
            </w:r>
          </w:p>
        </w:tc>
      </w:tr>
      <w:tr>
        <w:trPr>
          <w:cantSplit/>
        </w:trPr>
        <w:tc>
          <w:tcPr>
            <w:tcW w:w="1000" w:type="dxa"/>
            <w:shd w:val="clear" w:color="auto" w:fill="F8FAFC"/>
          </w:tcPr>
          <w:p>
            <w:r>
              <w:rPr>
                <w:rFonts w:ascii="Calibri" w:hAnsi="Calibri"/>
                <w:sz w:val="18"/>
                <w:color w:val="1E293B"/>
              </w:rPr>
              <w:t xml:space="preserve">Item 2</w:t>
            </w:r>
          </w:p>
        </w:tc>
        <w:tc>
          <w:tcPr>
            <w:tcW w:w="3000" w:type="dxa"/>
            <w:shd w:val="clear" w:color="auto" w:fill="F8FAFC"/>
          </w:tcPr>
          <w:p>
            <w:r>
              <w:rPr>
                <w:rFonts w:ascii="Calibri" w:hAnsi="Calibri"/>
                <w:sz w:val="18"/>
                <w:color w:val="1E293B"/>
              </w:rPr>
              <w:t xml:space="preserve">Changes in External and Internal Context &amp; Stakeholder Expectations
[ISO/IEC 27001:2022 Clause 9.3(b)]</w:t>
            </w:r>
          </w:p>
        </w:tc>
        <w:tc>
          <w:tcPr>
            <w:tcW w:w="2500" w:type="dxa"/>
            <w:shd w:val="clear" w:color="auto" w:fill="F8FAFC"/>
          </w:tcPr>
          <w:p>
            <w:r>
              <w:rPr>
                <w:rFonts w:ascii="Calibri" w:hAnsi="Calibri"/>
                <w:sz w:val="18"/>
                <w:color w:val="1E293B"/>
              </w:rPr>
              <w:t xml:space="preserve">Assessment of India DPDP Act 2023 Rules gazetted and updated MAS TRM circulars; risk register refreshed.</w:t>
            </w:r>
          </w:p>
        </w:tc>
        <w:tc>
          <w:tcPr>
            <w:tcW w:w="2526" w:type="dxa"/>
            <w:shd w:val="clear" w:color="auto" w:fill="F8FAFC"/>
          </w:tcPr>
          <w:p>
            <w:r>
              <w:rPr>
                <w:rFonts w:ascii="Calibri" w:hAnsi="Calibri"/>
                <w:sz w:val="18"/>
                <w:color w:val="1E293B"/>
              </w:rPr>
              <w:t xml:space="preserve">Authorized allocation of $45,000 for automated consent management platform integration.
Owner: CISO / Head of Privacy (Due: 2026-11-30)</w:t>
            </w:r>
          </w:p>
        </w:tc>
      </w:tr>
      <w:tr>
        <w:trPr>
          <w:cantSplit/>
        </w:trPr>
        <w:tc>
          <w:tcPr>
            <w:tcW w:w="1000" w:type="dxa"/>
          </w:tcPr>
          <w:p>
            <w:r>
              <w:rPr>
                <w:rFonts w:ascii="Calibri" w:hAnsi="Calibri"/>
                <w:sz w:val="18"/>
                <w:color w:val="1E293B"/>
              </w:rPr>
              <w:t xml:space="preserve">Item 3</w:t>
            </w:r>
          </w:p>
        </w:tc>
        <w:tc>
          <w:tcPr>
            <w:tcW w:w="3000" w:type="dxa"/>
          </w:tcPr>
          <w:p>
            <w:r>
              <w:rPr>
                <w:rFonts w:ascii="Calibri" w:hAnsi="Calibri"/>
                <w:sz w:val="18"/>
                <w:color w:val="1E293B"/>
              </w:rPr>
              <w:t xml:space="preserve">ISMS Performance, Control Metrics &amp; Nonconformity Trends
[ISO/IEC 27001:2022 Clause 9.3(c)]</w:t>
            </w:r>
          </w:p>
        </w:tc>
        <w:tc>
          <w:tcPr>
            <w:tcW w:w="2500" w:type="dxa"/>
          </w:tcPr>
          <w:p>
            <w:r>
              <w:rPr>
                <w:rFonts w:ascii="Calibri" w:hAnsi="Calibri"/>
                <w:sz w:val="18"/>
                <w:color w:val="1E293B"/>
              </w:rPr>
              <w:t xml:space="preserve">Zero P1 incidents in preceding 6 months; 99.8% MFA enforcement rate; patch SLA compliance at 96.4%.</w:t>
            </w:r>
          </w:p>
        </w:tc>
        <w:tc>
          <w:tcPr>
            <w:tcW w:w="2526" w:type="dxa"/>
          </w:tcPr>
          <w:p>
            <w:r>
              <w:rPr>
                <w:rFonts w:ascii="Calibri" w:hAnsi="Calibri"/>
                <w:sz w:val="18"/>
                <w:color w:val="1E293B"/>
              </w:rPr>
              <w:t xml:space="preserve">Commended SecOps team; mandated sprint priority for 3 overdue High vulnerability patches.
Owner: SecOps Lead (Due: 2026-10-25)</w:t>
            </w:r>
          </w:p>
        </w:tc>
      </w:tr>
      <w:tr>
        <w:trPr>
          <w:cantSplit/>
        </w:trPr>
        <w:tc>
          <w:tcPr>
            <w:tcW w:w="1000" w:type="dxa"/>
            <w:shd w:val="clear" w:color="auto" w:fill="F8FAFC"/>
          </w:tcPr>
          <w:p>
            <w:r>
              <w:rPr>
                <w:rFonts w:ascii="Calibri" w:hAnsi="Calibri"/>
                <w:sz w:val="18"/>
                <w:color w:val="1E293B"/>
              </w:rPr>
              <w:t xml:space="preserve">Item 4</w:t>
            </w:r>
          </w:p>
        </w:tc>
        <w:tc>
          <w:tcPr>
            <w:tcW w:w="3000" w:type="dxa"/>
            <w:shd w:val="clear" w:color="auto" w:fill="F8FAFC"/>
          </w:tcPr>
          <w:p>
            <w:r>
              <w:rPr>
                <w:rFonts w:ascii="Calibri" w:hAnsi="Calibri"/>
                <w:sz w:val="18"/>
                <w:color w:val="1E293B"/>
              </w:rPr>
              <w:t xml:space="preserve">Internal &amp; External Audit Results Assessment
[ISO/IEC 27001:2022 Clause 9.3(d)]</w:t>
            </w:r>
          </w:p>
        </w:tc>
        <w:tc>
          <w:tcPr>
            <w:tcW w:w="2500" w:type="dxa"/>
            <w:shd w:val="clear" w:color="auto" w:fill="F8FAFC"/>
          </w:tcPr>
          <w:p>
            <w:r>
              <w:rPr>
                <w:rFonts w:ascii="Calibri" w:hAnsi="Calibri"/>
                <w:sz w:val="18"/>
                <w:color w:val="1E293B"/>
              </w:rPr>
              <w:t xml:space="preserve">Internal audit completed 12 control domains with 2 minor nonconformities (access review timeliness, asset tag sync).</w:t>
            </w:r>
          </w:p>
        </w:tc>
        <w:tc>
          <w:tcPr>
            <w:tcW w:w="2526" w:type="dxa"/>
            <w:shd w:val="clear" w:color="auto" w:fill="F8FAFC"/>
          </w:tcPr>
          <w:p>
            <w:r>
              <w:rPr>
                <w:rFonts w:ascii="Calibri" w:hAnsi="Calibri"/>
                <w:sz w:val="18"/>
                <w:color w:val="1E293B"/>
              </w:rPr>
              <w:t xml:space="preserve">Formally approved corrective action plans with 30-day closure targets.
Owner: Internal Audit Lead (Due: 2026-11-15)</w:t>
            </w:r>
          </w:p>
        </w:tc>
      </w:tr>
      <w:tr>
        <w:trPr>
          <w:cantSplit/>
        </w:trPr>
        <w:tc>
          <w:tcPr>
            <w:tcW w:w="1000" w:type="dxa"/>
          </w:tcPr>
          <w:p>
            <w:r>
              <w:rPr>
                <w:rFonts w:ascii="Calibri" w:hAnsi="Calibri"/>
                <w:sz w:val="18"/>
                <w:color w:val="1E293B"/>
              </w:rPr>
              <w:t xml:space="preserve">Item 5</w:t>
            </w:r>
          </w:p>
        </w:tc>
        <w:tc>
          <w:tcPr>
            <w:tcW w:w="3000" w:type="dxa"/>
          </w:tcPr>
          <w:p>
            <w:r>
              <w:rPr>
                <w:rFonts w:ascii="Calibri" w:hAnsi="Calibri"/>
                <w:sz w:val="18"/>
                <w:color w:val="1E293B"/>
              </w:rPr>
              <w:t xml:space="preserve">Formal Statement of Applicability (SoA) Ratification
[ISO/IEC 27001:2022 Clause 6.1.3(d)]</w:t>
            </w:r>
          </w:p>
        </w:tc>
        <w:tc>
          <w:tcPr>
            <w:tcW w:w="2500" w:type="dxa"/>
          </w:tcPr>
          <w:p>
            <w:r>
              <w:rPr>
                <w:rFonts w:ascii="Calibri" w:hAnsi="Calibri"/>
                <w:sz w:val="18"/>
                <w:color w:val="1E293B"/>
              </w:rPr>
              <w:t xml:space="preserve">Complete evaluation of all 93 Annex A controls across Organizational, People, Physical, Technological themes.</w:t>
            </w:r>
          </w:p>
        </w:tc>
        <w:tc>
          <w:tcPr>
            <w:tcW w:w="2526" w:type="dxa"/>
          </w:tcPr>
          <w:p>
            <w:r>
              <w:rPr>
                <w:rFonts w:ascii="Calibri" w:hAnsi="Calibri"/>
                <w:sz w:val="18"/>
                <w:color w:val="1E293B"/>
              </w:rPr>
              <w:t xml:space="preserve">Executive Committee and CISO formally ratified SoA Version 1.2 as authoritative benchmark.
Owner: CISO (Due: 2026-10-12)</w:t>
            </w:r>
          </w:p>
        </w:tc>
      </w:tr>
    </w:tbl>
    <w:p>
      <w:pPr>
        <w:spacing w:before="360" w:after="120"/>
        <w:rPr>
          <w:rFonts w:ascii="Calibri" w:hAnsi="Calibri"/>
          <w:b/>
          <w:sz w:val="32"/>
          <w:color w:val="0F172A"/>
        </w:rPr>
      </w:pPr>
      <w:r>
        <w:rPr>
          <w:rFonts w:ascii="Calibri" w:hAnsi="Calibri"/>
          <w:b/>
          <w:sz w:val="32"/>
          <w:color w:val="0F172A"/>
        </w:rPr>
        <w:t xml:space="preserve">Exceptions and Risk Acceptance</w:t>
      </w:r>
    </w:p>
    <w:p>
      <w:pPr>
        <w:spacing w:after="100"/>
      </w:pPr>
      <w:r>
        <w:rPr>
          <w:rFonts w:ascii="Calibri" w:hAnsi="Calibri"/>
          <w:color w:val="1E293B"/>
          <w:sz w:val="20"/>
        </w:rPr>
        <w:t xml:space="preserve">An exception request shall identify the requirement and affected scope, business rationale, risk assessment, compensating controls, accountable owner, authorized approver, start and expiry/review dates, monitoring arrangements and closure criteria. The requester shall not approve their own exception where segregation of duties is required. Overdue exceptions shall be escalated according to the approved governance process.</w:t>
      </w:r>
    </w:p>
    <w:p>
      <w:pPr>
        <w:spacing w:before="360" w:after="120"/>
        <w:rPr>
          <w:rFonts w:ascii="Calibri" w:hAnsi="Calibri"/>
          <w:b/>
          <w:sz w:val="32"/>
          <w:color w:val="0F172A"/>
        </w:rPr>
      </w:pPr>
      <w:r>
        <w:rPr>
          <w:rFonts w:ascii="Calibri" w:hAnsi="Calibri"/>
          <w:b/>
          <w:sz w:val="32"/>
          <w:color w:val="0F172A"/>
        </w:rPr>
        <w:t xml:space="preserve">Monitoring, Audit and Management Review</w:t>
      </w:r>
    </w:p>
    <w:p>
      <w:pPr>
        <w:spacing w:after="100"/>
      </w:pPr>
      <w:r>
        <w:rPr>
          <w:rFonts w:ascii="Calibri" w:hAnsi="Calibri"/>
          <w:color w:val="1E293B"/>
          <w:sz w:val="20"/>
        </w:rPr>
        <w:t xml:space="preserve">The organization shall define measures that support evaluation of ISMS performance and control operation. Internal audits shall be planned using defined criteria, scope, frequency and impartiality safeguards. Findings shall be recorded and addressed through corrective action. Management review shall consider relevant changes, audit results, risk status, objective performance, incidents, nonconformities, interested-party feedback, resources and improvement opportunities.</w:t>
      </w:r>
    </w:p>
    <w:p>
      <w:pPr>
        <w:spacing w:before="360" w:after="120"/>
        <w:rPr>
          <w:rFonts w:ascii="Calibri" w:hAnsi="Calibri"/>
          <w:b/>
          <w:sz w:val="32"/>
          <w:color w:val="0F172A"/>
        </w:rPr>
      </w:pPr>
      <w:r>
        <w:rPr>
          <w:rFonts w:ascii="Calibri" w:hAnsi="Calibri"/>
          <w:b/>
          <w:sz w:val="32"/>
          <w:color w:val="0F172A"/>
        </w:rPr>
        <w:t xml:space="preserve">Nonconformity and Continual Improvement</w:t>
      </w:r>
    </w:p>
    <w:p>
      <w:pPr>
        <w:spacing w:after="100"/>
      </w:pPr>
      <w:r>
        <w:rPr>
          <w:rFonts w:ascii="Calibri" w:hAnsi="Calibri"/>
          <w:color w:val="1E293B"/>
          <w:sz w:val="20"/>
        </w:rPr>
        <w:t xml:space="preserve">When a nonconformity occurs, the responsible owner shall contain or correct the issue as appropriate, assess consequences, determine root cause where warranted, implement proportionate corrective action, and evaluate effectiveness. Closure shall be supported by evidence and independent retesting where required. Recurring issues shall be escalated for systemic review.</w:t>
      </w:r>
    </w:p>
    <w:p>
      <w:pPr>
        <w:spacing w:before="360" w:after="120"/>
        <w:rPr>
          <w:rFonts w:ascii="Calibri" w:hAnsi="Calibri"/>
          <w:b/>
          <w:sz w:val="32"/>
          <w:color w:val="0F172A"/>
        </w:rPr>
      </w:pPr>
      <w:r>
        <w:rPr>
          <w:rFonts w:ascii="Calibri" w:hAnsi="Calibri"/>
          <w:b/>
          <w:sz w:val="32"/>
          <w:color w:val="0F172A"/>
        </w:rPr>
        <w:t xml:space="preserve">Communication, Publication and Enforcement</w:t>
      </w:r>
    </w:p>
    <w:p>
      <w:pPr>
        <w:spacing w:after="100"/>
      </w:pPr>
      <w:r>
        <w:rPr>
          <w:rFonts w:ascii="Calibri" w:hAnsi="Calibri"/>
          <w:color w:val="1E293B"/>
          <w:sz w:val="20"/>
        </w:rPr>
        <w:t xml:space="preserve">The document owner shall ensure the current approved version is communicated to relevant interested parties and made accessible according to classification and need. Only the controlled published version is authoritative.</w:t>
      </w:r>
    </w:p>
    <w:p>
      <w:pPr>
        <w:spacing w:before="360" w:after="120"/>
        <w:rPr>
          <w:rFonts w:ascii="Calibri" w:hAnsi="Calibri"/>
          <w:b/>
          <w:sz w:val="32"/>
          <w:color w:val="0F172A"/>
        </w:rPr>
      </w:pPr>
      <w:r>
        <w:rPr>
          <w:rFonts w:ascii="Calibri" w:hAnsi="Calibri"/>
          <w:b/>
          <w:sz w:val="32"/>
          <w:color w:val="0F172A"/>
        </w:rPr>
        <w:t xml:space="preserve">Related Controlled Documents &amp; Systems</w:t>
      </w:r>
    </w:p>
    <w:p>
      <w:pPr>
        <w:spacing w:after="100"/>
      </w:pPr>
      <w:r>
        <w:rPr>
          <w:rFonts w:ascii="Calibri" w:hAnsi="Calibri"/>
          <w:color w:val="1E293B"/>
          <w:sz w:val="20"/>
        </w:rPr>
        <w:t xml:space="preserve">• Acme Global Information Security Policy (ISMS-POL-001)</w:t>
      </w:r>
    </w:p>
    <w:p>
      <w:pPr>
        <w:spacing w:after="100"/>
      </w:pPr>
      <w:r>
        <w:rPr>
          <w:rFonts w:ascii="Calibri" w:hAnsi="Calibri"/>
          <w:color w:val="1E293B"/>
          <w:sz w:val="20"/>
        </w:rPr>
        <w:t xml:space="preserve">• Acme Identity and Access Management Standard (ISMS-STD-IAM-001)</w:t>
      </w:r>
    </w:p>
    <w:p>
      <w:pPr>
        <w:spacing w:after="100"/>
      </w:pPr>
      <w:r>
        <w:rPr>
          <w:rFonts w:ascii="Calibri" w:hAnsi="Calibri"/>
          <w:color w:val="1E293B"/>
          <w:sz w:val="20"/>
        </w:rPr>
        <w:t xml:space="preserve">• Enterprise Risk Management Register</w:t>
      </w:r>
    </w:p>
    <w:p>
      <w:pPr>
        <w:spacing w:after="100"/>
      </w:pPr>
      <w:r>
        <w:rPr>
          <w:rFonts w:ascii="Calibri" w:hAnsi="Calibri"/>
          <w:color w:val="1E293B"/>
          <w:sz w:val="20"/>
        </w:rPr>
        <w:t xml:space="preserve">• Authoritative Evidence Vault &amp; AWS S3 WORM Bucket</w:t>
      </w:r>
    </w:p>
    <w:p>
      <w:pPr>
        <w:spacing w:before="360" w:after="120"/>
        <w:rPr>
          <w:rFonts w:ascii="Calibri" w:hAnsi="Calibri"/>
          <w:b/>
          <w:sz w:val="32"/>
          <w:color w:val="0F172A"/>
        </w:rPr>
      </w:pPr>
      <w:r>
        <w:rPr>
          <w:rFonts w:ascii="Calibri" w:hAnsi="Calibri"/>
          <w:b/>
          <w:sz w:val="32"/>
          <w:color w:val="0F172A"/>
        </w:rPr>
        <w:t xml:space="preserve">Document Review and Change Control</w:t>
      </w:r>
    </w:p>
    <w:p>
      <w:pPr>
        <w:spacing w:after="100"/>
      </w:pPr>
      <w:r>
        <w:rPr>
          <w:rFonts w:ascii="Calibri" w:hAnsi="Calibri"/>
          <w:color w:val="1E293B"/>
          <w:sz w:val="20"/>
        </w:rPr>
        <w:t xml:space="preserve">This management_review_pack is reviewed annually by the CISO / ISO Implementer Lead and approved by the Executive Committee &amp; Board. Significant architecture redesign, critical incident retrospectives, or new statutory mandates trigger mandatory out-of-cycle revisions within 30 calendar days.</w:t>
      </w:r>
    </w:p>
    <w:p>
      <w:pPr>
        <w:spacing w:before="360" w:after="120"/>
        <w:rPr>
          <w:rFonts w:ascii="Calibri" w:hAnsi="Calibri"/>
          <w:b/>
          <w:sz w:val="32"/>
          <w:color w:val="0F172A"/>
        </w:rPr>
      </w:pPr>
      <w:r>
        <w:rPr>
          <w:rFonts w:ascii="Calibri" w:hAnsi="Calibri"/>
          <w:b/>
          <w:sz w:val="32"/>
          <w:color w:val="0F172A"/>
        </w:rPr>
        <w:t xml:space="preserve">Appendix A — Approval Record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2000"/>
        <w:gridCol w:w="1600"/>
        <w:gridCol w:w="1400"/>
        <w:gridCol w:w="1826"/>
      </w:tblGrid>
      <w:tr>
        <w:trPr>
          <w:tblHeader/>
          <w:cantSplit/>
        </w:trPr>
        <w:tc>
          <w:tcPr>
            <w:tcW w:w="2200" w:type="dxa"/>
            <w:shd w:val="clear" w:color="auto" w:fill="0F172A"/>
          </w:tcPr>
          <w:p>
            <w:r>
              <w:rPr>
                <w:rFonts w:ascii="Calibri" w:hAnsi="Calibri"/>
                <w:b/>
                <w:color w:val="FFFFFF"/>
                <w:sz w:val="18"/>
              </w:rPr>
              <w:t xml:space="preserve">Role</w:t>
            </w:r>
          </w:p>
        </w:tc>
        <w:tc>
          <w:tcPr>
            <w:tcW w:w="2000" w:type="dxa"/>
            <w:shd w:val="clear" w:color="auto" w:fill="0F172A"/>
          </w:tcPr>
          <w:p>
            <w:r>
              <w:rPr>
                <w:rFonts w:ascii="Calibri" w:hAnsi="Calibri"/>
                <w:b/>
                <w:color w:val="FFFFFF"/>
                <w:sz w:val="18"/>
              </w:rPr>
              <w:t xml:space="preserve">Name / identity</w:t>
            </w:r>
          </w:p>
        </w:tc>
        <w:tc>
          <w:tcPr>
            <w:tcW w:w="1600" w:type="dxa"/>
            <w:shd w:val="clear" w:color="auto" w:fill="0F172A"/>
          </w:tcPr>
          <w:p>
            <w:r>
              <w:rPr>
                <w:rFonts w:ascii="Calibri" w:hAnsi="Calibri"/>
                <w:b/>
                <w:color w:val="FFFFFF"/>
                <w:sz w:val="18"/>
              </w:rPr>
              <w:t xml:space="preserve">Decision</w:t>
            </w:r>
          </w:p>
        </w:tc>
        <w:tc>
          <w:tcPr>
            <w:tcW w:w="1400" w:type="dxa"/>
            <w:shd w:val="clear" w:color="auto" w:fill="0F172A"/>
          </w:tcPr>
          <w:p>
            <w:r>
              <w:rPr>
                <w:rFonts w:ascii="Calibri" w:hAnsi="Calibri"/>
                <w:b/>
                <w:color w:val="FFFFFF"/>
                <w:sz w:val="18"/>
              </w:rPr>
              <w:t xml:space="preserve">Date</w:t>
            </w:r>
          </w:p>
        </w:tc>
        <w:tc>
          <w:tcPr>
            <w:tcW w:w="1826" w:type="dxa"/>
            <w:shd w:val="clear" w:color="auto" w:fill="0F172A"/>
          </w:tcPr>
          <w:p>
            <w:r>
              <w:rPr>
                <w:rFonts w:ascii="Calibri" w:hAnsi="Calibri"/>
                <w:b/>
                <w:color w:val="FFFFFF"/>
                <w:sz w:val="18"/>
              </w:rPr>
              <w:t xml:space="preserve">Evidence reference</w:t>
            </w:r>
          </w:p>
        </w:tc>
      </w:tr>
      <w:tr>
        <w:trPr>
          <w:cantSplit/>
        </w:trPr>
        <w:tc>
          <w:tcPr>
            <w:tcW w:w="2200" w:type="dxa"/>
          </w:tcPr>
          <w:p>
            <w:r>
              <w:rPr>
                <w:rFonts w:ascii="Calibri" w:hAnsi="Calibri"/>
                <w:sz w:val="18"/>
                <w:color w:val="1E293B"/>
              </w:rPr>
              <w:t xml:space="preserve">CISO / ISO Implementer Lead</w:t>
            </w:r>
          </w:p>
        </w:tc>
        <w:tc>
          <w:tcPr>
            <w:tcW w:w="2000" w:type="dxa"/>
          </w:tcPr>
          <w:p>
            <w:r>
              <w:rPr>
                <w:rFonts w:ascii="Calibri" w:hAnsi="Calibri"/>
                <w:sz w:val="18"/>
                <w:color w:val="1E293B"/>
              </w:rPr>
              <w:t xml:space="preserve">Illustrative Benchmark Role</w:t>
            </w:r>
          </w:p>
        </w:tc>
        <w:tc>
          <w:tcPr>
            <w:tcW w:w="1600" w:type="dxa"/>
          </w:tcPr>
          <w:p>
            <w:r>
              <w:rPr>
                <w:rFonts w:ascii="Calibri" w:hAnsi="Calibri"/>
                <w:sz w:val="18"/>
                <w:color w:val="1E293B"/>
              </w:rPr>
              <w:t xml:space="preserve">Review pending</w:t>
            </w:r>
          </w:p>
        </w:tc>
        <w:tc>
          <w:tcPr>
            <w:tcW w:w="1400" w:type="dxa"/>
          </w:tcPr>
          <w:p>
            <w:r>
              <w:rPr>
                <w:rFonts w:ascii="Calibri" w:hAnsi="Calibri"/>
                <w:sz w:val="18"/>
                <w:color w:val="1E293B"/>
              </w:rPr>
              <w:t xml:space="preserve">Pending</w:t>
            </w:r>
          </w:p>
        </w:tc>
        <w:tc>
          <w:tcPr>
            <w:tcW w:w="1826" w:type="dxa"/>
          </w:tcPr>
          <w:p>
            <w:r>
              <w:rPr>
                <w:rFonts w:ascii="Calibri" w:hAnsi="Calibri"/>
                <w:sz w:val="18"/>
                <w:color w:val="1E293B"/>
              </w:rPr>
              <w:t xml:space="preserve">SKANDA-MODEL-SPEC</w:t>
            </w:r>
          </w:p>
        </w:tc>
      </w:tr>
      <w:tr>
        <w:trPr>
          <w:cantSplit/>
        </w:trPr>
        <w:tc>
          <w:tcPr>
            <w:tcW w:w="2200" w:type="dxa"/>
            <w:shd w:val="clear" w:color="auto" w:fill="F8FAFC"/>
          </w:tcPr>
          <w:p>
            <w:r>
              <w:rPr>
                <w:rFonts w:ascii="Calibri" w:hAnsi="Calibri"/>
                <w:sz w:val="18"/>
                <w:color w:val="1E293B"/>
              </w:rPr>
              <w:t xml:space="preserve">Executive Committee &amp; Board</w:t>
            </w:r>
          </w:p>
        </w:tc>
        <w:tc>
          <w:tcPr>
            <w:tcW w:w="2000" w:type="dxa"/>
            <w:shd w:val="clear" w:color="auto" w:fill="F8FAFC"/>
          </w:tcPr>
          <w:p>
            <w:r>
              <w:rPr>
                <w:rFonts w:ascii="Calibri" w:hAnsi="Calibri"/>
                <w:sz w:val="18"/>
                <w:color w:val="1E293B"/>
              </w:rPr>
              <w:t xml:space="preserve">Illustrative Executive Approver</w:t>
            </w:r>
          </w:p>
        </w:tc>
        <w:tc>
          <w:tcPr>
            <w:tcW w:w="1600" w:type="dxa"/>
            <w:shd w:val="clear" w:color="auto" w:fill="F8FAFC"/>
          </w:tcPr>
          <w:p>
            <w:r>
              <w:rPr>
                <w:rFonts w:ascii="Calibri" w:hAnsi="Calibri"/>
                <w:sz w:val="18"/>
                <w:color w:val="1E293B"/>
              </w:rPr>
              <w:t xml:space="preserve">Approval pending</w:t>
            </w:r>
          </w:p>
        </w:tc>
        <w:tc>
          <w:tcPr>
            <w:tcW w:w="1400" w:type="dxa"/>
            <w:shd w:val="clear" w:color="auto" w:fill="F8FAFC"/>
          </w:tcPr>
          <w:p>
            <w:r>
              <w:rPr>
                <w:rFonts w:ascii="Calibri" w:hAnsi="Calibri"/>
                <w:sz w:val="18"/>
                <w:color w:val="1E293B"/>
              </w:rPr>
              <w:t xml:space="preserve">Pending</w:t>
            </w:r>
          </w:p>
        </w:tc>
        <w:tc>
          <w:tcPr>
            <w:tcW w:w="1826" w:type="dxa"/>
            <w:shd w:val="clear" w:color="auto" w:fill="F8FAFC"/>
          </w:tcPr>
          <w:p>
            <w:r>
              <w:rPr>
                <w:rFonts w:ascii="Calibri" w:hAnsi="Calibri"/>
                <w:sz w:val="18"/>
                <w:color w:val="1E293B"/>
              </w:rPr>
              <w:t xml:space="preserve">SKANDA-MODEL-SPEC</w:t>
            </w:r>
          </w:p>
        </w:tc>
      </w:tr>
    </w:tbl>
    <w:p>
      <w:pPr>
        <w:spacing w:before="360" w:after="120"/>
        <w:rPr>
          <w:rFonts w:ascii="Calibri" w:hAnsi="Calibri"/>
          <w:b/>
          <w:sz w:val="32"/>
          <w:color w:val="0F172A"/>
        </w:rPr>
      </w:pPr>
      <w:r>
        <w:rPr>
          <w:rFonts w:ascii="Calibri" w:hAnsi="Calibri"/>
          <w:b/>
          <w:sz w:val="32"/>
          <w:color w:val="0F172A"/>
        </w:rPr>
        <w:t xml:space="preserve">Appendix C — Pre-Publication Tailoring Checklist</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600"/>
        <w:gridCol w:w="5626"/>
        <w:gridCol w:w="1800"/>
      </w:tblGrid>
      <w:tr>
        <w:trPr>
          <w:tblHeader/>
          <w:cantSplit/>
        </w:trPr>
        <w:tc>
          <w:tcPr>
            <w:tcW w:w="1600" w:type="dxa"/>
            <w:shd w:val="clear" w:color="auto" w:fill="0F172A"/>
          </w:tcPr>
          <w:p>
            <w:r>
              <w:rPr>
                <w:rFonts w:ascii="Calibri" w:hAnsi="Calibri"/>
                <w:b/>
                <w:color w:val="FFFFFF"/>
                <w:sz w:val="18"/>
              </w:rPr>
              <w:t xml:space="preserve">Checklist ID</w:t>
            </w:r>
          </w:p>
        </w:tc>
        <w:tc>
          <w:tcPr>
            <w:tcW w:w="5626" w:type="dxa"/>
            <w:shd w:val="clear" w:color="auto" w:fill="0F172A"/>
          </w:tcPr>
          <w:p>
            <w:r>
              <w:rPr>
                <w:rFonts w:ascii="Calibri" w:hAnsi="Calibri"/>
                <w:b/>
                <w:color w:val="FFFFFF"/>
                <w:sz w:val="18"/>
              </w:rPr>
              <w:t xml:space="preserve">Description</w:t>
            </w:r>
          </w:p>
        </w:tc>
        <w:tc>
          <w:tcPr>
            <w:tcW w:w="1800" w:type="dxa"/>
            <w:shd w:val="clear" w:color="auto" w:fill="0F172A"/>
          </w:tcPr>
          <w:p>
            <w:r>
              <w:rPr>
                <w:rFonts w:ascii="Calibri" w:hAnsi="Calibri"/>
                <w:b/>
                <w:color w:val="FFFFFF"/>
                <w:sz w:val="18"/>
              </w:rPr>
              <w:t xml:space="preserve">Status</w:t>
            </w:r>
          </w:p>
        </w:tc>
      </w:tr>
      <w:tr>
        <w:trPr>
          <w:cantSplit/>
        </w:trPr>
        <w:tc>
          <w:tcPr>
            <w:tcW w:w="1600" w:type="dxa"/>
          </w:tcPr>
          <w:p>
            <w:r>
              <w:rPr>
                <w:rFonts w:ascii="Calibri" w:hAnsi="Calibri"/>
                <w:sz w:val="18"/>
                <w:color w:val="1E293B"/>
              </w:rPr>
              <w:t xml:space="preserve">CHK-INPUT-01</w:t>
            </w:r>
          </w:p>
        </w:tc>
        <w:tc>
          <w:tcPr>
            <w:tcW w:w="5626" w:type="dxa"/>
          </w:tcPr>
          <w:p>
            <w:r>
              <w:rPr>
                <w:rFonts w:ascii="Calibri" w:hAnsi="Calibri"/>
                <w:sz w:val="18"/>
                <w:color w:val="1E293B"/>
              </w:rPr>
              <w:t xml:space="preserve">Validate organizational value for: organizationProfile.legalEntityName (currently set to illustrative benchmark).</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CHK-INPUT-02</w:t>
            </w:r>
          </w:p>
        </w:tc>
        <w:tc>
          <w:tcPr>
            <w:tcW w:w="5626" w:type="dxa"/>
            <w:shd w:val="clear" w:color="auto" w:fill="F8FAFC"/>
          </w:tcPr>
          <w:p>
            <w:r>
              <w:rPr>
                <w:rFonts w:ascii="Calibri" w:hAnsi="Calibri"/>
                <w:sz w:val="18"/>
                <w:color w:val="1E293B"/>
              </w:rPr>
              <w:t xml:space="preserve">Validate organizational value for: scopeDefinition.inScopeServicesAndProducts (currently set to illustrative benchmark).</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CHK-BENCH-01</w:t>
            </w:r>
          </w:p>
        </w:tc>
        <w:tc>
          <w:tcPr>
            <w:tcW w:w="5626" w:type="dxa"/>
          </w:tcPr>
          <w:p>
            <w:r>
              <w:rPr>
                <w:rFonts w:ascii="Calibri" w:hAnsi="Calibri"/>
                <w:sz w:val="18"/>
                <w:color w:val="1E293B"/>
              </w:rPr>
              <w:t xml:space="preserve">Verify model thresholds, SLAs, and technical roles against actual corporate delegations.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CHK-BENCH-02</w:t>
            </w:r>
          </w:p>
        </w:tc>
        <w:tc>
          <w:tcPr>
            <w:tcW w:w="5626" w:type="dxa"/>
            <w:shd w:val="clear" w:color="auto" w:fill="F8FAFC"/>
          </w:tcPr>
          <w:p>
            <w:r>
              <w:rPr>
                <w:rFonts w:ascii="Calibri" w:hAnsi="Calibri"/>
                <w:sz w:val="18"/>
                <w:color w:val="1E293B"/>
              </w:rPr>
              <w:t xml:space="preserve">Obtain formal management sign-off to transition illustrative model to live draft.</w:t>
            </w:r>
          </w:p>
        </w:tc>
        <w:tc>
          <w:tcPr>
            <w:tcW w:w="1800" w:type="dxa"/>
            <w:shd w:val="clear" w:color="auto" w:fill="F8FAFC"/>
          </w:tcPr>
          <w:p>
            <w:r>
              <w:rPr>
                <w:rFonts w:ascii="Calibri" w:hAnsi="Calibri"/>
                <w:sz w:val="18"/>
                <w:color w:val="1E293B"/>
              </w:rPr>
              <w:t xml:space="preserve">[ ] Pending Tailoring</w:t>
            </w:r>
          </w:p>
        </w:tc>
      </w:tr>
    </w:tbl>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360"/>
      </w:tabs>
    </w:pPr>
    <w:r>
      <w:rPr>
        <w:rFonts w:ascii="Calibri" w:hAnsi="Calibri"/>
        <w:sz w:val="16"/>
        <w:color w:val="64748B"/>
      </w:rPr>
      <w:t xml:space="preserve">CONTROLLED SAMPLE | SKANDA DOCUMENTATION</w:t>
    </w:r>
    <w:r>
      <w:tab/>
      <w:rPr>
        <w:rFonts w:ascii="Calibri" w:hAnsi="Calibri"/>
        <w:sz w:val="16"/>
        <w:color w:val="64748B"/>
      </w:rPr>
      <w:t xml:space="preserve">Page </w:t>
    </w:r>
    <w:fldSimple w:instr="PAGE"/>
    <w:r>
      <w:rPr>
        <w:rFonts w:ascii="Calibri" w:hAnsi="Calibri"/>
        <w:sz w:val="16"/>
        <w:color w:val="64748B"/>
      </w:rPr>
      <w:t xml:space="preserve"> of </w:t>
    </w:r>
    <w:fldSimple w:instr="NUMPAGES"/>
  </w:p>
</w:ftr>
</file>

<file path=word/header1.xml><?xml version="1.0" encoding="utf-8"?>
<w:hdr xmlns:w="http://schemas.openxmlformats.org/wordprocessingml/2006/main">
  <w:p>
    <w:pPr>
      <w:pBdr>
        <w:bottom w:val="single" w:sz="6" w:space="4" w:color="CBD5E1"/>
      </w:pBdr>
      <w:jc w:val="right"/>
    </w:pPr>
    <w:r>
      <w:rPr>
        <w:rFonts w:ascii="Calibri" w:hAnsi="Calibri"/>
        <w:sz w:val="16"/>
        <w:color w:val="64748B"/>
        <w:b/>
      </w:rPr>
      <w:t xml:space="preserve">SKANDA / GOVERNANCE, RISK &amp; COMPLIANCE | REV-SOA-001-MODEL</w:t>
    </w:r>
  </w:p>
</w:hdr>
</file>

<file path=word/styles.xml><?xml version="1.0" encoding="utf-8"?>
<w:styles xmlns:w="http://schemas.openxmlformats.org/wordprocessingml/2006/main">
  <w:docDefaults>
    <w:rPrDefault>
      <w:rPr>
        <w:rFonts w:ascii="Calibri" w:hAnsi="Calibri"/>
        <w:sz w:val="20"/>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