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w:body>
    <w:p>
      <w:pPr>
        <w:jc w:val="right"/>
      </w:pPr>
      <w:r>
        <w:rPr>
          <w:sz w:val="16"/>
          <w:color w:val="64748B"/>
          <w:b/>
        </w:rPr>
        <w:t xml:space="preserve">SKANDA / GOVERNANCE, RISK &amp; COMPLIANCE</w:t>
      </w:r>
    </w:p>
    <w:p>
      <w:pPr>
        <w:spacing w:before="120" w:after="60"/>
      </w:pPr>
      <w:r>
        <w:rPr>
          <w:sz w:val="18"/>
          <w:color w:val="0284C7"/>
          <w:b/>
        </w:rPr>
        <w:t xml:space="preserve">ENTERPRISE MANAGEMENT SYSTEM / POLICY</w:t>
      </w:r>
    </w:p>
    <w:p>
      <w:pPr>
        <w:spacing w:before="120" w:after="120"/>
      </w:pPr>
      <w:r>
        <w:rPr>
          <w:sz w:val="48"/>
          <w:b/>
          <w:color w:val="0F172A"/>
        </w:rPr>
        <w:t xml:space="preserve">Vulnerability Management Policy</w:t>
      </w:r>
    </w:p>
    <w:p>
      <w:pPr>
        <w:spacing w:after="240"/>
      </w:pPr>
      <w:r>
        <w:rPr>
          <w:sz w:val="24"/>
          <w:i/>
          <w:color w:val="475569"/>
        </w:rPr>
        <w:t xml:space="preserve">Consulting Benchmark Sample — Establish mandatory cadences for vulnerability scanning, penetration testing, vulnerability severity rating (CVSS v3.1/v4.0), and remediation SLAs.</w:t>
      </w:r>
    </w:p>
    <w:tbl>
      <w:tblPr>
        <w:tblW w:w="0" w:type="auto"/>
        <w:tblBorders>
          <w:top w:val="single" w:sz="6" w:space="0" w:color="FCD34D"/>
          <w:bottom w:val="single" w:sz="6" w:space="0" w:color="FCD34D"/>
          <w:left w:val="single" w:sz="24" w:space="0" w:color="D97706"/>
          <w:right w:val="single" w:sz="6" w:space="0" w:color="FCD34D"/>
        </w:tblBorders>
        <w:tblCellMar>
          <w:top w:w="160" w:type="dxa"/>
          <w:left w:w="200" w:type="dxa"/>
          <w:bottom w:w="160" w:type="dxa"/>
          <w:right w:w="200" w:type="dxa"/>
        </w:tblCellMar>
      </w:tblPr>
      <w:tr>
        <w:tc>
          <w:tcPr>
            <w:tcW w:w="9026" w:type="dxa"/>
            <w:shd w:val="clear" w:color="auto" w:fill="FEF3C7"/>
          </w:tcPr>
          <w:p>
            <w:r>
              <w:rPr>
                <w:rFonts w:ascii="Calibri" w:hAnsi="Calibri"/>
                <w:b/>
                <w:color w:val="92400E"/>
                <w:sz w:val="18"/>
              </w:rPr>
              <w:t xml:space="preserve">[!WARNING] CONTROLLED DOCUMENT NOTICE</w:t>
            </w:r>
          </w:p>
          <w:p>
            <w:r>
              <w:rPr>
                <w:rFonts w:ascii="Calibri" w:hAnsi="Calibri"/>
                <w:i/>
                <w:color w:val="78350F"/>
                <w:sz w:val="18"/>
              </w:rPr>
              <w:t xml:space="preserve">ILLUSTRATIVE MODEL DOCUMENT — MUST BE TAILORED AND APPROVED BEFORE USE</w:t>
            </w:r>
          </w:p>
        </w:tc>
      </w:tr>
    </w:tbl>
    <w:p>
      <w:pPr>
        <w:spacing w:after="160"/>
      </w:pPr>
    </w:p>
    <w:p>
      <w:pPr>
        <w:spacing w:before="240" w:after="80"/>
        <w:rPr>
          <w:rFonts w:ascii="Calibri" w:hAnsi="Calibri"/>
          <w:b/>
          <w:sz w:val="26"/>
          <w:color w:val="1E293B"/>
        </w:rPr>
      </w:pPr>
      <w:r>
        <w:rPr>
          <w:rFonts w:ascii="Calibri" w:hAnsi="Calibri"/>
          <w:b/>
          <w:sz w:val="26"/>
          <w:color w:val="1E293B"/>
        </w:rPr>
        <w:t xml:space="preserve">Document Control Field</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3000"/>
        <w:gridCol w:w="6026"/>
      </w:tblGrid>
      <w:tr>
        <w:trPr>
          <w:tblHeader/>
          <w:cantSplit/>
        </w:trPr>
        <w:tc>
          <w:tcPr>
            <w:tcW w:w="3000" w:type="dxa"/>
            <w:shd w:val="clear" w:color="auto" w:fill="0F172A"/>
          </w:tcPr>
          <w:p>
            <w:r>
              <w:rPr>
                <w:rFonts w:ascii="Calibri" w:hAnsi="Calibri"/>
                <w:b/>
                <w:color w:val="FFFFFF"/>
                <w:sz w:val="18"/>
              </w:rPr>
              <w:t xml:space="preserve">DOCUMENT CONTROL FIELD</w:t>
            </w:r>
          </w:p>
        </w:tc>
        <w:tc>
          <w:tcPr>
            <w:tcW w:w="6026" w:type="dxa"/>
            <w:shd w:val="clear" w:color="auto" w:fill="0F172A"/>
          </w:tcPr>
          <w:p>
            <w:r>
              <w:rPr>
                <w:rFonts w:ascii="Calibri" w:hAnsi="Calibri"/>
                <w:b/>
                <w:color w:val="FFFFFF"/>
                <w:sz w:val="18"/>
              </w:rPr>
              <w:t xml:space="preserve">MODEL VALUE</w:t>
            </w:r>
          </w:p>
        </w:tc>
      </w:tr>
      <w:tr>
        <w:trPr>
          <w:cantSplit/>
        </w:trPr>
        <w:tc>
          <w:tcPr>
            <w:tcW w:w="3000" w:type="dxa"/>
          </w:tcPr>
          <w:p>
            <w:r>
              <w:rPr>
                <w:rFonts w:ascii="Calibri" w:hAnsi="Calibri"/>
                <w:sz w:val="18"/>
                <w:color w:val="1E293B"/>
              </w:rPr>
              <w:t xml:space="preserve">Document ID</w:t>
            </w:r>
          </w:p>
        </w:tc>
        <w:tc>
          <w:tcPr>
            <w:tcW w:w="6026" w:type="dxa"/>
          </w:tcPr>
          <w:p>
            <w:r>
              <w:rPr>
                <w:rFonts w:ascii="Calibri" w:hAnsi="Calibri"/>
                <w:sz w:val="18"/>
                <w:color w:val="1E293B"/>
              </w:rPr>
              <w:t xml:space="preserve">POL-SEC-009-MODEL</w:t>
            </w:r>
          </w:p>
        </w:tc>
      </w:tr>
      <w:tr>
        <w:trPr>
          <w:cantSplit/>
        </w:trPr>
        <w:tc>
          <w:tcPr>
            <w:tcW w:w="3000" w:type="dxa"/>
            <w:shd w:val="clear" w:color="auto" w:fill="F8FAFC"/>
          </w:tcPr>
          <w:p>
            <w:r>
              <w:rPr>
                <w:rFonts w:ascii="Calibri" w:hAnsi="Calibri"/>
                <w:sz w:val="18"/>
                <w:color w:val="1E293B"/>
              </w:rPr>
              <w:t xml:space="preserve">Version / status</w:t>
            </w:r>
          </w:p>
        </w:tc>
        <w:tc>
          <w:tcPr>
            <w:tcW w:w="6026" w:type="dxa"/>
            <w:shd w:val="clear" w:color="auto" w:fill="F8FAFC"/>
          </w:tcPr>
          <w:p>
            <w:r>
              <w:rPr>
                <w:rFonts w:ascii="Calibri" w:hAnsi="Calibri"/>
                <w:sz w:val="18"/>
                <w:color w:val="1E293B"/>
              </w:rPr>
              <w:t xml:space="preserve">1.0 — Model sample (illustrative benchmark) — Model sample — not approved; not effective</w:t>
            </w:r>
          </w:p>
        </w:tc>
      </w:tr>
      <w:tr>
        <w:trPr>
          <w:cantSplit/>
        </w:trPr>
        <w:tc>
          <w:tcPr>
            <w:tcW w:w="3000" w:type="dxa"/>
          </w:tcPr>
          <w:p>
            <w:r>
              <w:rPr>
                <w:rFonts w:ascii="Calibri" w:hAnsi="Calibri"/>
                <w:sz w:val="18"/>
                <w:color w:val="1E293B"/>
              </w:rPr>
              <w:t xml:space="preserve">Document owner</w:t>
            </w:r>
          </w:p>
        </w:tc>
        <w:tc>
          <w:tcPr>
            <w:tcW w:w="6026" w:type="dxa"/>
          </w:tcPr>
          <w:p>
            <w:r>
              <w:rPr>
                <w:rFonts w:ascii="Calibri" w:hAnsi="Calibri"/>
                <w:sz w:val="18"/>
                <w:color w:val="1E293B"/>
              </w:rPr>
              <w:t xml:space="preserve">Vulnerability Management Lead (Illustrative Benchmark)</w:t>
            </w:r>
          </w:p>
        </w:tc>
      </w:tr>
      <w:tr>
        <w:trPr>
          <w:cantSplit/>
        </w:trPr>
        <w:tc>
          <w:tcPr>
            <w:tcW w:w="3000" w:type="dxa"/>
            <w:shd w:val="clear" w:color="auto" w:fill="F8FAFC"/>
          </w:tcPr>
          <w:p>
            <w:r>
              <w:rPr>
                <w:rFonts w:ascii="Calibri" w:hAnsi="Calibri"/>
                <w:sz w:val="18"/>
                <w:color w:val="1E293B"/>
              </w:rPr>
              <w:t xml:space="preserve">Approver</w:t>
            </w:r>
          </w:p>
        </w:tc>
        <w:tc>
          <w:tcPr>
            <w:tcW w:w="6026" w:type="dxa"/>
            <w:shd w:val="clear" w:color="auto" w:fill="F8FAFC"/>
          </w:tcPr>
          <w:p>
            <w:r>
              <w:rPr>
                <w:rFonts w:ascii="Calibri" w:hAnsi="Calibri"/>
                <w:sz w:val="18"/>
                <w:color w:val="1E293B"/>
              </w:rPr>
              <w:t xml:space="preserve">CISO (Illustrative Benchmark)</w:t>
            </w:r>
          </w:p>
        </w:tc>
      </w:tr>
      <w:tr>
        <w:trPr>
          <w:cantSplit/>
        </w:trPr>
        <w:tc>
          <w:tcPr>
            <w:tcW w:w="3000" w:type="dxa"/>
          </w:tcPr>
          <w:p>
            <w:r>
              <w:rPr>
                <w:rFonts w:ascii="Calibri" w:hAnsi="Calibri"/>
                <w:sz w:val="18"/>
                <w:color w:val="1E293B"/>
              </w:rPr>
              <w:t xml:space="preserve">Effective date</w:t>
            </w:r>
          </w:p>
        </w:tc>
        <w:tc>
          <w:tcPr>
            <w:tcW w:w="6026" w:type="dxa"/>
          </w:tcPr>
          <w:p>
            <w:r>
              <w:rPr>
                <w:rFonts w:ascii="Calibri" w:hAnsi="Calibri"/>
                <w:sz w:val="18"/>
                <w:color w:val="1E293B"/>
              </w:rPr>
              <w:t xml:space="preserve">Not effective until formally tailored and approved</w:t>
            </w:r>
          </w:p>
        </w:tc>
      </w:tr>
      <w:tr>
        <w:trPr>
          <w:cantSplit/>
        </w:trPr>
        <w:tc>
          <w:tcPr>
            <w:tcW w:w="3000" w:type="dxa"/>
            <w:shd w:val="clear" w:color="auto" w:fill="F8FAFC"/>
          </w:tcPr>
          <w:p>
            <w:r>
              <w:rPr>
                <w:rFonts w:ascii="Calibri" w:hAnsi="Calibri"/>
                <w:sz w:val="18"/>
                <w:color w:val="1E293B"/>
              </w:rPr>
              <w:t xml:space="preserve">Classification</w:t>
            </w:r>
          </w:p>
        </w:tc>
        <w:tc>
          <w:tcPr>
            <w:tcW w:w="6026" w:type="dxa"/>
            <w:shd w:val="clear" w:color="auto" w:fill="F8FAFC"/>
          </w:tcPr>
          <w:p>
            <w:r>
              <w:rPr>
                <w:rFonts w:ascii="Calibri" w:hAnsi="Calibri"/>
                <w:sz w:val="18"/>
                <w:color w:val="1E293B"/>
              </w:rPr>
              <w:t xml:space="preserve">INTERNAL_ILLUSTRATIVE</w:t>
            </w:r>
          </w:p>
        </w:tc>
      </w:tr>
      <w:tr>
        <w:trPr>
          <w:cantSplit/>
        </w:trPr>
        <w:tc>
          <w:tcPr>
            <w:tcW w:w="3000" w:type="dxa"/>
          </w:tcPr>
          <w:p>
            <w:r>
              <w:rPr>
                <w:rFonts w:ascii="Calibri" w:hAnsi="Calibri"/>
                <w:sz w:val="18"/>
                <w:color w:val="1E293B"/>
              </w:rPr>
              <w:t xml:space="preserve">Review trigger</w:t>
            </w:r>
          </w:p>
        </w:tc>
        <w:tc>
          <w:tcPr>
            <w:tcW w:w="6026" w:type="dxa"/>
          </w:tcPr>
          <w:p>
            <w:r>
              <w:rPr>
                <w:rFonts w:ascii="Calibri" w:hAnsi="Calibri"/>
                <w:sz w:val="18"/>
                <w:color w:val="1E293B"/>
              </w:rPr>
              <w:t xml:space="preserve">Scheduled annual review and material business, technology, risk or regulatory change</w:t>
            </w:r>
          </w:p>
        </w:tc>
      </w:tr>
    </w:tbl>
    <w:p>
      <w:pPr>
        <w:spacing w:before="160" w:after="160"/>
      </w:pPr>
      <w:r>
        <w:rPr>
          <w:i/>
          <w:sz w:val="18"/>
          <w:color w:val="64748B"/>
        </w:rPr>
        <w:t xml:space="preserve">This document demonstrates the depth, structure, and operational specificity expected of an enterprise consulting-grade artifact. It does not represent an actual organization and cannot be submitted to auditors without tailoring.</w:t>
      </w:r>
    </w:p>
    <w:p>
      <w:r>
        <w:br w:type="page"/>
      </w:r>
    </w:p>
    <w:p>
      <w:pPr>
        <w:spacing w:before="360" w:after="120"/>
        <w:rPr>
          <w:rFonts w:ascii="Calibri" w:hAnsi="Calibri"/>
          <w:b/>
          <w:sz w:val="32"/>
          <w:color w:val="0F172A"/>
        </w:rPr>
      </w:pPr>
      <w:r>
        <w:rPr>
          <w:rFonts w:ascii="Calibri" w:hAnsi="Calibri"/>
          <w:b/>
          <w:sz w:val="32"/>
          <w:color w:val="0F172A"/>
        </w:rPr>
        <w:t xml:space="preserve">Contents &amp; Document Governance</w:t>
      </w:r>
    </w:p>
    <w:p>
      <w:pPr>
        <w:spacing w:after="100"/>
      </w:pPr>
      <w:r>
        <w:rPr>
          <w:rFonts w:ascii="Calibri" w:hAnsi="Calibri"/>
          <w:color w:val="1E293B"/>
          <w:sz w:val="20"/>
        </w:rPr>
        <w:t xml:space="preserve">Controlled management-system copy maintained in SKANDA Authoritative Document Register.</w:t>
      </w:r>
    </w:p>
    <w:p>
      <w:pPr>
        <w:spacing w:before="240" w:after="80"/>
        <w:rPr>
          <w:rFonts w:ascii="Calibri" w:hAnsi="Calibri"/>
          <w:b/>
          <w:sz w:val="26"/>
          <w:color w:val="1E293B"/>
        </w:rPr>
      </w:pPr>
      <w:r>
        <w:rPr>
          <w:rFonts w:ascii="Calibri" w:hAnsi="Calibri"/>
          <w:b/>
          <w:sz w:val="26"/>
          <w:color w:val="1E293B"/>
        </w:rPr>
        <w:t xml:space="preserve">Revision History</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1000"/>
        <w:gridCol w:w="1400"/>
        <w:gridCol w:w="3426"/>
        <w:gridCol w:w="1800"/>
        <w:gridCol w:w="1400"/>
      </w:tblGrid>
      <w:tr>
        <w:trPr>
          <w:tblHeader/>
          <w:cantSplit/>
        </w:trPr>
        <w:tc>
          <w:tcPr>
            <w:tcW w:w="1000" w:type="dxa"/>
            <w:shd w:val="clear" w:color="auto" w:fill="0F172A"/>
          </w:tcPr>
          <w:p>
            <w:r>
              <w:rPr>
                <w:rFonts w:ascii="Calibri" w:hAnsi="Calibri"/>
                <w:b/>
                <w:color w:val="FFFFFF"/>
                <w:sz w:val="18"/>
              </w:rPr>
              <w:t xml:space="preserve">Version</w:t>
            </w:r>
          </w:p>
        </w:tc>
        <w:tc>
          <w:tcPr>
            <w:tcW w:w="1400" w:type="dxa"/>
            <w:shd w:val="clear" w:color="auto" w:fill="0F172A"/>
          </w:tcPr>
          <w:p>
            <w:r>
              <w:rPr>
                <w:rFonts w:ascii="Calibri" w:hAnsi="Calibri"/>
                <w:b/>
                <w:color w:val="FFFFFF"/>
                <w:sz w:val="18"/>
              </w:rPr>
              <w:t xml:space="preserve">Date</w:t>
            </w:r>
          </w:p>
        </w:tc>
        <w:tc>
          <w:tcPr>
            <w:tcW w:w="3426" w:type="dxa"/>
            <w:shd w:val="clear" w:color="auto" w:fill="0F172A"/>
          </w:tcPr>
          <w:p>
            <w:r>
              <w:rPr>
                <w:rFonts w:ascii="Calibri" w:hAnsi="Calibri"/>
                <w:b/>
                <w:color w:val="FFFFFF"/>
                <w:sz w:val="18"/>
              </w:rPr>
              <w:t xml:space="preserve">Summary of change</w:t>
            </w:r>
          </w:p>
        </w:tc>
        <w:tc>
          <w:tcPr>
            <w:tcW w:w="1800" w:type="dxa"/>
            <w:shd w:val="clear" w:color="auto" w:fill="0F172A"/>
          </w:tcPr>
          <w:p>
            <w:r>
              <w:rPr>
                <w:rFonts w:ascii="Calibri" w:hAnsi="Calibri"/>
                <w:b/>
                <w:color w:val="FFFFFF"/>
                <w:sz w:val="18"/>
              </w:rPr>
              <w:t xml:space="preserve">Prepared by</w:t>
            </w:r>
          </w:p>
        </w:tc>
        <w:tc>
          <w:tcPr>
            <w:tcW w:w="1400" w:type="dxa"/>
            <w:shd w:val="clear" w:color="auto" w:fill="0F172A"/>
          </w:tcPr>
          <w:p>
            <w:r>
              <w:rPr>
                <w:rFonts w:ascii="Calibri" w:hAnsi="Calibri"/>
                <w:b/>
                <w:color w:val="FFFFFF"/>
                <w:sz w:val="18"/>
              </w:rPr>
              <w:t xml:space="preserve">Approval status</w:t>
            </w:r>
          </w:p>
        </w:tc>
      </w:tr>
      <w:tr>
        <w:trPr>
          <w:cantSplit/>
        </w:trPr>
        <w:tc>
          <w:tcPr>
            <w:tcW w:w="1000" w:type="dxa"/>
          </w:tcPr>
          <w:p>
            <w:r>
              <w:rPr>
                <w:rFonts w:ascii="Calibri" w:hAnsi="Calibri"/>
                <w:sz w:val="18"/>
                <w:color w:val="1E293B"/>
              </w:rPr>
              <w:t xml:space="preserve">1.0</w:t>
            </w:r>
          </w:p>
        </w:tc>
        <w:tc>
          <w:tcPr>
            <w:tcW w:w="1400" w:type="dxa"/>
          </w:tcPr>
          <w:p>
            <w:r>
              <w:rPr>
                <w:rFonts w:ascii="Calibri" w:hAnsi="Calibri"/>
                <w:sz w:val="18"/>
                <w:color w:val="1E293B"/>
              </w:rPr>
              <w:t xml:space="preserve">2026-10-12</w:t>
            </w:r>
          </w:p>
        </w:tc>
        <w:tc>
          <w:tcPr>
            <w:tcW w:w="3426" w:type="dxa"/>
          </w:tcPr>
          <w:p>
            <w:r>
              <w:rPr>
                <w:rFonts w:ascii="Calibri" w:hAnsi="Calibri"/>
                <w:sz w:val="18"/>
                <w:color w:val="1E293B"/>
              </w:rPr>
              <w:t xml:space="preserve">Baseline illustrative model sample generated for Vulnerability Management Policy fulfilling Annex A.8.8.</w:t>
            </w:r>
          </w:p>
        </w:tc>
        <w:tc>
          <w:tcPr>
            <w:tcW w:w="1800" w:type="dxa"/>
          </w:tcPr>
          <w:p>
            <w:r>
              <w:rPr>
                <w:rFonts w:ascii="Calibri" w:hAnsi="Calibri"/>
                <w:sz w:val="18"/>
                <w:color w:val="1E293B"/>
              </w:rPr>
              <w:t xml:space="preserve">Security Reviewer (SKANDA Benchmark Engine)</w:t>
            </w:r>
          </w:p>
        </w:tc>
        <w:tc>
          <w:tcPr>
            <w:tcW w:w="1400" w:type="dxa"/>
          </w:tcPr>
          <w:p>
            <w:r>
              <w:rPr>
                <w:rFonts w:ascii="Calibri" w:hAnsi="Calibri"/>
                <w:sz w:val="18"/>
                <w:color w:val="1E293B"/>
              </w:rPr>
              <w:t xml:space="preserve">Model sample — not approved</w:t>
            </w:r>
          </w:p>
        </w:tc>
      </w:tr>
    </w:tbl>
    <w:p>
      <w:pPr>
        <w:spacing w:after="100"/>
      </w:pPr>
      <w:r>
        <w:rPr>
          <w:rFonts w:ascii="Calibri" w:hAnsi="Calibri"/>
          <w:i/>
          <w:color w:val="64748B"/>
          <w:sz w:val="20"/>
        </w:rPr>
        <w:t xml:space="preserve">Revision entries record changes to this model sample only. Organization-specific revisions must be recorded in the tenant-owned controlled copy.</w:t>
      </w:r>
    </w:p>
    <w:p>
      <w:pPr>
        <w:spacing w:before="360" w:after="120"/>
        <w:rPr>
          <w:rFonts w:ascii="Calibri" w:hAnsi="Calibri"/>
          <w:b/>
          <w:sz w:val="32"/>
          <w:color w:val="0F172A"/>
        </w:rPr>
      </w:pPr>
      <w:r>
        <w:rPr>
          <w:rFonts w:ascii="Calibri" w:hAnsi="Calibri"/>
          <w:b/>
          <w:sz w:val="32"/>
          <w:color w:val="0F172A"/>
        </w:rPr>
        <w:t xml:space="preserve">1. Purpose</w:t>
      </w:r>
    </w:p>
    <w:p>
      <w:pPr>
        <w:spacing w:after="100"/>
      </w:pPr>
      <w:r>
        <w:rPr>
          <w:rFonts w:ascii="Calibri" w:hAnsi="Calibri"/>
          <w:color w:val="1E293B"/>
          <w:sz w:val="20"/>
        </w:rPr>
        <w:t xml:space="preserve">Establish an authoritative, structured, and auditable policy framework for Threat &amp; Vulnerability Management. This document fulfills the requirements of ISO_27001_2022 (Annex A.8.8) while ensuring clear separation between management intent, operational execution, and verifiable evidence.</w:t>
      </w:r>
    </w:p>
    <w:p>
      <w:pPr>
        <w:spacing w:before="360" w:after="120"/>
        <w:rPr>
          <w:rFonts w:ascii="Calibri" w:hAnsi="Calibri"/>
          <w:b/>
          <w:sz w:val="32"/>
          <w:color w:val="0F172A"/>
        </w:rPr>
      </w:pPr>
      <w:r>
        <w:rPr>
          <w:rFonts w:ascii="Calibri" w:hAnsi="Calibri"/>
          <w:b/>
          <w:sz w:val="32"/>
          <w:color w:val="0F172A"/>
        </w:rPr>
        <w:t xml:space="preserve">2. Scope and Applicability</w:t>
      </w:r>
    </w:p>
    <w:p>
      <w:pPr>
        <w:spacing w:after="100"/>
      </w:pPr>
      <w:r>
        <w:rPr>
          <w:rFonts w:ascii="Calibri" w:hAnsi="Calibri"/>
          <w:color w:val="1E293B"/>
          <w:sz w:val="20"/>
        </w:rPr>
        <w:t xml:space="preserve">This policy applies across all illustrative enterprise environments, production cloud clusters, data storage repositories, and personnel supporting Threat &amp; Vulnerability Management.</w:t>
      </w:r>
    </w:p>
    <w:p>
      <w:pPr>
        <w:spacing w:after="100"/>
      </w:pPr>
      <w:r>
        <w:rPr>
          <w:rFonts w:ascii="Calibri" w:hAnsi="Calibri"/>
          <w:b/>
          <w:color w:val="1E293B"/>
          <w:sz w:val="20"/>
        </w:rPr>
        <w:t xml:space="preserve">• In-Scope Locations: Global Headquarters (Singapore), Primary Cloud Region (AWS US-East-1), Disaster Recovery Region (AWS AP-Southeast-1)</w:t>
      </w:r>
    </w:p>
    <w:p>
      <w:pPr>
        <w:spacing w:after="100"/>
      </w:pPr>
      <w:r>
        <w:rPr>
          <w:rFonts w:ascii="Calibri" w:hAnsi="Calibri"/>
          <w:color w:val="1E293B"/>
          <w:sz w:val="20"/>
        </w:rPr>
        <w:t xml:space="preserve">• In-Scope Systems &amp; Services: Production Transaction Switch, Enterprise Identity Provider (Okta), Continuous Deployment Pipelines, Authoritative Records Vault</w:t>
      </w:r>
    </w:p>
    <w:p>
      <w:pPr>
        <w:spacing w:after="100"/>
      </w:pPr>
      <w:r>
        <w:rPr>
          <w:rFonts w:ascii="Calibri" w:hAnsi="Calibri"/>
          <w:b/>
          <w:color w:val="1E293B"/>
          <w:sz w:val="20"/>
        </w:rPr>
        <w:t xml:space="preserve">Documented Exclusions:</w:t>
      </w:r>
    </w:p>
    <w:p>
      <w:pPr>
        <w:spacing w:after="100"/>
      </w:pPr>
      <w:r>
        <w:rPr>
          <w:rFonts w:ascii="Calibri" w:hAnsi="Calibri"/>
          <w:color w:val="1E293B"/>
          <w:sz w:val="20"/>
        </w:rPr>
        <w:t xml:space="preserve">• Decommissioned Legacy Batch Server (DC-01): Fully air-gapped and retired in Q1 2026; zero customer data processed.</w:t>
      </w:r>
    </w:p>
    <w:p>
      <w:pPr>
        <w:spacing w:before="360" w:after="120"/>
        <w:rPr>
          <w:rFonts w:ascii="Calibri" w:hAnsi="Calibri"/>
          <w:b/>
          <w:sz w:val="32"/>
          <w:color w:val="0F172A"/>
        </w:rPr>
      </w:pPr>
      <w:r>
        <w:rPr>
          <w:rFonts w:ascii="Calibri" w:hAnsi="Calibri"/>
          <w:b/>
          <w:sz w:val="32"/>
          <w:color w:val="0F172A"/>
        </w:rPr>
        <w:t xml:space="preserve">3. Terms and Definitions</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2600"/>
        <w:gridCol w:w="6426"/>
      </w:tblGrid>
      <w:tr>
        <w:trPr>
          <w:tblHeader/>
          <w:cantSplit/>
        </w:trPr>
        <w:tc>
          <w:tcPr>
            <w:tcW w:w="2600" w:type="dxa"/>
            <w:shd w:val="clear" w:color="auto" w:fill="0F172A"/>
          </w:tcPr>
          <w:p>
            <w:r>
              <w:rPr>
                <w:rFonts w:ascii="Calibri" w:hAnsi="Calibri"/>
                <w:b/>
                <w:color w:val="FFFFFF"/>
                <w:sz w:val="18"/>
              </w:rPr>
              <w:t xml:space="preserve">Term</w:t>
            </w:r>
          </w:p>
        </w:tc>
        <w:tc>
          <w:tcPr>
            <w:tcW w:w="6426" w:type="dxa"/>
            <w:shd w:val="clear" w:color="auto" w:fill="0F172A"/>
          </w:tcPr>
          <w:p>
            <w:r>
              <w:rPr>
                <w:rFonts w:ascii="Calibri" w:hAnsi="Calibri"/>
                <w:b/>
                <w:color w:val="FFFFFF"/>
                <w:sz w:val="18"/>
              </w:rPr>
              <w:t xml:space="preserve">Working definition (model)</w:t>
            </w:r>
          </w:p>
        </w:tc>
      </w:tr>
      <w:tr>
        <w:trPr>
          <w:cantSplit/>
        </w:trPr>
        <w:tc>
          <w:tcPr>
            <w:tcW w:w="2600" w:type="dxa"/>
          </w:tcPr>
          <w:p>
            <w:r>
              <w:rPr>
                <w:rFonts w:ascii="Calibri" w:hAnsi="Calibri"/>
                <w:sz w:val="18"/>
                <w:color w:val="1E293B"/>
              </w:rPr>
              <w:t xml:space="preserve">Documented Information</w:t>
            </w:r>
          </w:p>
        </w:tc>
        <w:tc>
          <w:tcPr>
            <w:tcW w:w="6426" w:type="dxa"/>
          </w:tcPr>
          <w:p>
            <w:r>
              <w:rPr>
                <w:rFonts w:ascii="Calibri" w:hAnsi="Calibri"/>
                <w:sz w:val="18"/>
                <w:color w:val="1E293B"/>
              </w:rPr>
              <w:t xml:space="preserve">Information required to be controlled and maintained by the organization (ISO/IEC 27001:2022 Clause 7.5).</w:t>
            </w:r>
          </w:p>
        </w:tc>
      </w:tr>
      <w:tr>
        <w:trPr>
          <w:cantSplit/>
        </w:trPr>
        <w:tc>
          <w:tcPr>
            <w:tcW w:w="2600" w:type="dxa"/>
            <w:shd w:val="clear" w:color="auto" w:fill="F8FAFC"/>
          </w:tcPr>
          <w:p>
            <w:r>
              <w:rPr>
                <w:rFonts w:ascii="Calibri" w:hAnsi="Calibri"/>
                <w:sz w:val="18"/>
                <w:color w:val="1E293B"/>
              </w:rPr>
              <w:t xml:space="preserve">Accountable Role</w:t>
            </w:r>
          </w:p>
        </w:tc>
        <w:tc>
          <w:tcPr>
            <w:tcW w:w="6426" w:type="dxa"/>
            <w:shd w:val="clear" w:color="auto" w:fill="F8FAFC"/>
          </w:tcPr>
          <w:p>
            <w:r>
              <w:rPr>
                <w:rFonts w:ascii="Calibri" w:hAnsi="Calibri"/>
                <w:sz w:val="18"/>
                <w:color w:val="1E293B"/>
              </w:rPr>
              <w:t xml:space="preserve">The single operational role with ultimate decision-making authority and veto for the activity.</w:t>
            </w:r>
          </w:p>
        </w:tc>
      </w:tr>
      <w:tr>
        <w:trPr>
          <w:cantSplit/>
        </w:trPr>
        <w:tc>
          <w:tcPr>
            <w:tcW w:w="2600" w:type="dxa"/>
          </w:tcPr>
          <w:p>
            <w:r>
              <w:rPr>
                <w:rFonts w:ascii="Calibri" w:hAnsi="Calibri"/>
                <w:sz w:val="18"/>
                <w:color w:val="1E293B"/>
              </w:rPr>
              <w:t xml:space="preserve">Verifiable Evidence</w:t>
            </w:r>
          </w:p>
        </w:tc>
        <w:tc>
          <w:tcPr>
            <w:tcW w:w="6426" w:type="dxa"/>
          </w:tcPr>
          <w:p>
            <w:r>
              <w:rPr>
                <w:rFonts w:ascii="Calibri" w:hAnsi="Calibri"/>
                <w:sz w:val="18"/>
                <w:color w:val="1E293B"/>
              </w:rPr>
              <w:t xml:space="preserve">Attributable, timestamped, immutable record confirming that a requirement was performed in practice.</w:t>
            </w:r>
          </w:p>
        </w:tc>
      </w:tr>
      <w:tr>
        <w:trPr>
          <w:cantSplit/>
        </w:trPr>
        <w:tc>
          <w:tcPr>
            <w:tcW w:w="2600" w:type="dxa"/>
            <w:shd w:val="clear" w:color="auto" w:fill="F8FAFC"/>
          </w:tcPr>
          <w:p>
            <w:r>
              <w:rPr>
                <w:rFonts w:ascii="Calibri" w:hAnsi="Calibri"/>
                <w:sz w:val="18"/>
                <w:color w:val="1E293B"/>
              </w:rPr>
              <w:t xml:space="preserve">Operating Effectiveness</w:t>
            </w:r>
          </w:p>
        </w:tc>
        <w:tc>
          <w:tcPr>
            <w:tcW w:w="6426" w:type="dxa"/>
            <w:shd w:val="clear" w:color="auto" w:fill="F8FAFC"/>
          </w:tcPr>
          <w:p>
            <w:r>
              <w:rPr>
                <w:rFonts w:ascii="Calibri" w:hAnsi="Calibri"/>
                <w:sz w:val="18"/>
                <w:color w:val="1E293B"/>
              </w:rPr>
              <w:t xml:space="preserve">Confirmation through systematic testing and evidence sampling that a control operates reliably over a period of time.</w:t>
            </w:r>
          </w:p>
        </w:tc>
      </w:tr>
    </w:tbl>
    <w:p>
      <w:pPr>
        <w:spacing w:before="360" w:after="120"/>
        <w:rPr>
          <w:rFonts w:ascii="Calibri" w:hAnsi="Calibri"/>
          <w:b/>
          <w:sz w:val="32"/>
          <w:color w:val="0F172A"/>
        </w:rPr>
      </w:pPr>
      <w:r>
        <w:rPr>
          <w:rFonts w:ascii="Calibri" w:hAnsi="Calibri"/>
          <w:b/>
          <w:sz w:val="32"/>
          <w:color w:val="0F172A"/>
        </w:rPr>
        <w:t xml:space="preserve">4. Policy Objectives</w:t>
      </w:r>
    </w:p>
    <w:p>
      <w:pPr>
        <w:spacing w:after="100"/>
      </w:pPr>
      <w:r>
        <w:rPr>
          <w:rFonts w:ascii="Calibri" w:hAnsi="Calibri"/>
          <w:color w:val="1E293B"/>
          <w:sz w:val="20"/>
        </w:rPr>
        <w:t xml:space="preserve">• Establish continuous vulnerability detection across all network perimeters, container images, operating systems, and source code of Acme Global FinTech Inc..</w:t>
      </w:r>
    </w:p>
    <w:p>
      <w:pPr>
        <w:spacing w:after="100"/>
      </w:pPr>
      <w:r>
        <w:rPr>
          <w:rFonts w:ascii="Calibri" w:hAnsi="Calibri"/>
          <w:color w:val="1E293B"/>
          <w:sz w:val="20"/>
        </w:rPr>
        <w:t xml:space="preserve">• Enforce organization-approved, risk-adjusted remediation targets (SLOs) based on CVSS v3.1/v4.0 severity scores, active threat exploit intelligence (CISA KEV / EPSS), asset exposure, and business criticality.</w:t>
      </w:r>
    </w:p>
    <w:p>
      <w:pPr>
        <w:spacing w:after="100"/>
      </w:pPr>
      <w:r>
        <w:rPr>
          <w:rFonts w:ascii="Calibri" w:hAnsi="Calibri"/>
          <w:color w:val="1E293B"/>
          <w:sz w:val="20"/>
        </w:rPr>
        <w:t xml:space="preserve">• Govern third-party library dependencies and open-source software security via Software Bills of Materials (SBOM).</w:t>
      </w:r>
    </w:p>
    <w:p>
      <w:pPr>
        <w:spacing w:before="360" w:after="120"/>
        <w:rPr>
          <w:rFonts w:ascii="Calibri" w:hAnsi="Calibri"/>
          <w:b/>
          <w:sz w:val="32"/>
          <w:color w:val="0F172A"/>
        </w:rPr>
      </w:pPr>
      <w:r>
        <w:rPr>
          <w:rFonts w:ascii="Calibri" w:hAnsi="Calibri"/>
          <w:b/>
          <w:sz w:val="32"/>
          <w:color w:val="0F172A"/>
        </w:rPr>
        <w:t xml:space="preserve">6. Mandatory Policy Requirements</w:t>
      </w:r>
    </w:p>
    <w:p>
      <w:pPr>
        <w:spacing w:before="240" w:after="80"/>
        <w:rPr>
          <w:rFonts w:ascii="Calibri" w:hAnsi="Calibri"/>
          <w:b/>
          <w:sz w:val="26"/>
          <w:color w:val="1E293B"/>
        </w:rPr>
      </w:pPr>
      <w:r>
        <w:rPr>
          <w:rFonts w:ascii="Calibri" w:hAnsi="Calibri"/>
          <w:b/>
          <w:sz w:val="26"/>
          <w:color w:val="1E293B"/>
        </w:rPr>
        <w:t xml:space="preserve">REQ-01 Automated Discovery and Scanning Cadence</w:t>
      </w:r>
    </w:p>
    <w:p>
      <w:pPr>
        <w:spacing w:after="100"/>
      </w:pPr>
      <w:r>
        <w:rPr>
          <w:rFonts w:ascii="Calibri" w:hAnsi="Calibri"/>
          <w:color w:val="1E293B"/>
          <w:sz w:val="20"/>
        </w:rPr>
        <w:t xml:space="preserve">Acme Global FinTech Inc. mandates automated vulnerability scanning across all external internet-facing perimeters weekly, internal infrastructure monthly, and container registries on every code build. External penetration testing must be conducted at least annually.</w:t>
      </w:r>
    </w:p>
    <w:p>
      <w:pPr>
        <w:spacing w:after="100"/>
      </w:pPr>
      <w:r>
        <w:rPr>
          <w:rFonts w:ascii="Calibri" w:hAnsi="Calibri"/>
          <w:i/>
          <w:color w:val="0284C7"/>
          <w:sz w:val="20"/>
        </w:rPr>
        <w:t xml:space="preserve">[Traceability: ISO/IEC 27001:2022 Annex A.8.8 • SOC 2 CC7.1 | Controls: A.8.8, CC7.1]</w:t>
      </w:r>
    </w:p>
    <w:p>
      <w:pPr>
        <w:spacing w:before="240" w:after="80"/>
        <w:rPr>
          <w:rFonts w:ascii="Calibri" w:hAnsi="Calibri"/>
          <w:b/>
          <w:sz w:val="26"/>
          <w:color w:val="1E293B"/>
        </w:rPr>
      </w:pPr>
      <w:r>
        <w:rPr>
          <w:rFonts w:ascii="Calibri" w:hAnsi="Calibri"/>
          <w:b/>
          <w:sz w:val="26"/>
          <w:color w:val="1E293B"/>
        </w:rPr>
        <w:t xml:space="preserve">REQ-02 Organization-Approved Vulnerability Remediation Targets (Service Level Objectives)</w:t>
      </w:r>
    </w:p>
    <w:p>
      <w:pPr>
        <w:spacing w:after="100"/>
      </w:pPr>
      <w:r>
        <w:rPr>
          <w:rFonts w:ascii="Calibri" w:hAnsi="Calibri"/>
          <w:color w:val="1E293B"/>
          <w:sz w:val="20"/>
        </w:rPr>
        <w:t xml:space="preserve">Identified vulnerabilities are remediated or mitigated according to organization-approved, risk-adjusted Service Level Objectives (SLOs) established under ISO/IEC 27001:2022 Annex A.8.8 and SOC 2 CC7.1 risk governance principles. Configurable baseline targets for Acme Global FinTech Inc.: (1) Critical Severity (CVSS 9.0–10.0 or actively exploited in CISA KEV / EPSS &gt; 0.3) on internet-facing assets: target remediation within 48 hours; (2) Critical Severity on internal assets without active exploit: target remediation within 7 calendar days; (3) High Severity (CVSS 7.0–8.9) on external assets: target remediation within 14 calendar days; internal assets: target within 30 calendar days; (4) Medium Severity (CVSS 4.0–6.9): target remediation within 60 calendar days; (5) Low Severity (CVSS 0.1–3.9): target within 90 calendar days or next maintenance cycle. These targets represent organization-approved operational service level objectives (SLOs) rather than fixed statutory quotas; deviations require a formal CISO-approved risk exception with compensating controls.</w:t>
      </w:r>
    </w:p>
    <w:p>
      <w:pPr>
        <w:spacing w:after="100"/>
      </w:pPr>
      <w:r>
        <w:rPr>
          <w:rFonts w:ascii="Calibri" w:hAnsi="Calibri"/>
          <w:i/>
          <w:color w:val="0284C7"/>
          <w:sz w:val="20"/>
        </w:rPr>
        <w:t xml:space="preserve">[Traceability: ISO/IEC 27001:2022 Annex A.8.8 (Implementation Guidance) • SOC 2 CC7.1 • NIST CSF RS.AN-05 | Controls: A.8.8]</w:t>
      </w:r>
    </w:p>
    <w:p>
      <w:pPr>
        <w:spacing w:before="240" w:after="80"/>
        <w:rPr>
          <w:rFonts w:ascii="Calibri" w:hAnsi="Calibri"/>
          <w:b/>
          <w:sz w:val="26"/>
          <w:color w:val="1E293B"/>
        </w:rPr>
      </w:pPr>
      <w:r>
        <w:rPr>
          <w:rFonts w:ascii="Calibri" w:hAnsi="Calibri"/>
          <w:b/>
          <w:sz w:val="26"/>
          <w:color w:val="1E293B"/>
        </w:rPr>
        <w:t xml:space="preserve">REQ-03 Software Composition Analysis (SCA) &amp; Dependency Management</w:t>
      </w:r>
    </w:p>
    <w:p>
      <w:pPr>
        <w:spacing w:after="100"/>
      </w:pPr>
      <w:r>
        <w:rPr>
          <w:rFonts w:ascii="Calibri" w:hAnsi="Calibri"/>
          <w:color w:val="1E293B"/>
          <w:sz w:val="20"/>
        </w:rPr>
        <w:t xml:space="preserve">All software engineering teams must maintain automated Software Bill of Materials (SBOM) for production applications. Builds containing dependencies with known Critical CVEs without approved compensating controls must be automatically failed at the CI/CD gate.</w:t>
      </w:r>
    </w:p>
    <w:p>
      <w:pPr>
        <w:spacing w:after="100"/>
      </w:pPr>
      <w:r>
        <w:rPr>
          <w:rFonts w:ascii="Calibri" w:hAnsi="Calibri"/>
          <w:i/>
          <w:color w:val="0284C7"/>
          <w:sz w:val="20"/>
        </w:rPr>
        <w:t xml:space="preserve">[Traceability: ISO/IEC 27001:2022 Annex A.8.28 | Controls: A.8.28]</w:t>
      </w:r>
    </w:p>
    <w:p>
      <w:pPr>
        <w:spacing w:before="240" w:after="80"/>
        <w:rPr>
          <w:rFonts w:ascii="Calibri" w:hAnsi="Calibri"/>
          <w:b/>
          <w:sz w:val="26"/>
          <w:color w:val="1E293B"/>
        </w:rPr>
      </w:pPr>
      <w:r>
        <w:rPr>
          <w:rFonts w:ascii="Calibri" w:hAnsi="Calibri"/>
          <w:b/>
          <w:sz w:val="26"/>
          <w:color w:val="1E293B"/>
        </w:rPr>
        <w:t xml:space="preserve">REQ-04 Vulnerability Remediation Exception Protocol</w:t>
      </w:r>
    </w:p>
    <w:p>
      <w:pPr>
        <w:spacing w:after="100"/>
      </w:pPr>
      <w:r>
        <w:rPr>
          <w:rFonts w:ascii="Calibri" w:hAnsi="Calibri"/>
          <w:color w:val="1E293B"/>
          <w:sz w:val="20"/>
        </w:rPr>
        <w:t xml:space="preserve">Deviations from approved remediation SLO targets require a formal Security Exception Ticket approved by the CISO. Waivers must specify compensating controls (e.g. WAF rules, network isolation) and cannot exceed 60 calendar days without re-evaluation.</w:t>
      </w:r>
    </w:p>
    <w:p>
      <w:pPr>
        <w:spacing w:after="100"/>
      </w:pPr>
      <w:r>
        <w:rPr>
          <w:rFonts w:ascii="Calibri" w:hAnsi="Calibri"/>
          <w:i/>
          <w:color w:val="0284C7"/>
          <w:sz w:val="20"/>
        </w:rPr>
        <w:t xml:space="preserve">[Traceability: ISO/IEC 27001:2022 Clause 6.1.3 | Controls: A.8.8]</w:t>
      </w:r>
    </w:p>
    <w:p>
      <w:pPr>
        <w:spacing w:before="360" w:after="120"/>
        <w:rPr>
          <w:rFonts w:ascii="Calibri" w:hAnsi="Calibri"/>
          <w:b/>
          <w:sz w:val="32"/>
          <w:color w:val="0F172A"/>
        </w:rPr>
      </w:pPr>
      <w:r>
        <w:rPr>
          <w:rFonts w:ascii="Calibri" w:hAnsi="Calibri"/>
          <w:b/>
          <w:sz w:val="32"/>
          <w:color w:val="0F172A"/>
        </w:rPr>
        <w:t xml:space="preserve">7. Control Implementation and Evidence</w:t>
      </w:r>
    </w:p>
    <w:p>
      <w:pPr>
        <w:spacing w:after="100"/>
      </w:pPr>
      <w:r>
        <w:rPr>
          <w:rFonts w:ascii="Calibri" w:hAnsi="Calibri"/>
          <w:color w:val="1E293B"/>
          <w:sz w:val="20"/>
        </w:rPr>
        <w:t xml:space="preserve">Each applicable control shall have an identified owner, defined implementation approach, expected evidence and a method for evaluating operation where required by the ISMS.</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2200"/>
        <w:gridCol w:w="3826"/>
        <w:gridCol w:w="3000"/>
      </w:tblGrid>
      <w:tr>
        <w:trPr>
          <w:tblHeader/>
          <w:cantSplit/>
        </w:trPr>
        <w:tc>
          <w:tcPr>
            <w:tcW w:w="2200" w:type="dxa"/>
            <w:shd w:val="clear" w:color="auto" w:fill="0F172A"/>
          </w:tcPr>
          <w:p>
            <w:r>
              <w:rPr>
                <w:rFonts w:ascii="Calibri" w:hAnsi="Calibri"/>
                <w:b/>
                <w:color w:val="FFFFFF"/>
                <w:sz w:val="18"/>
              </w:rPr>
              <w:t xml:space="preserve">Governance object</w:t>
            </w:r>
          </w:p>
        </w:tc>
        <w:tc>
          <w:tcPr>
            <w:tcW w:w="3826" w:type="dxa"/>
            <w:shd w:val="clear" w:color="auto" w:fill="0F172A"/>
          </w:tcPr>
          <w:p>
            <w:r>
              <w:rPr>
                <w:rFonts w:ascii="Calibri" w:hAnsi="Calibri"/>
                <w:b/>
                <w:color w:val="FFFFFF"/>
                <w:sz w:val="18"/>
              </w:rPr>
              <w:t xml:space="preserve">Minimum expected record</w:t>
            </w:r>
          </w:p>
        </w:tc>
        <w:tc>
          <w:tcPr>
            <w:tcW w:w="3000" w:type="dxa"/>
            <w:shd w:val="clear" w:color="auto" w:fill="0F172A"/>
          </w:tcPr>
          <w:p>
            <w:r>
              <w:rPr>
                <w:rFonts w:ascii="Calibri" w:hAnsi="Calibri"/>
                <w:b/>
                <w:color w:val="FFFFFF"/>
                <w:sz w:val="18"/>
              </w:rPr>
              <w:t xml:space="preserve">Assurance limitation</w:t>
            </w:r>
          </w:p>
        </w:tc>
      </w:tr>
      <w:tr>
        <w:trPr>
          <w:cantSplit/>
        </w:trPr>
        <w:tc>
          <w:tcPr>
            <w:tcW w:w="2200" w:type="dxa"/>
          </w:tcPr>
          <w:p>
            <w:r>
              <w:rPr>
                <w:rFonts w:ascii="Calibri" w:hAnsi="Calibri"/>
                <w:sz w:val="18"/>
                <w:color w:val="1E293B"/>
              </w:rPr>
              <w:t xml:space="preserve">Annex A.8.8 Technical Vulnerability Management</w:t>
            </w:r>
          </w:p>
        </w:tc>
        <w:tc>
          <w:tcPr>
            <w:tcW w:w="3826" w:type="dxa"/>
          </w:tcPr>
          <w:p>
            <w:r>
              <w:rPr>
                <w:rFonts w:ascii="Calibri" w:hAnsi="Calibri"/>
                <w:sz w:val="18"/>
                <w:color w:val="1E293B"/>
              </w:rPr>
              <w:t xml:space="preserve">Automated vulnerability scanner reports (Tenable/Qualys) and remediation ticket closure timestamps</w:t>
            </w:r>
          </w:p>
        </w:tc>
        <w:tc>
          <w:tcPr>
            <w:tcW w:w="3000" w:type="dxa"/>
          </w:tcPr>
          <w:p>
            <w:r>
              <w:rPr>
                <w:rFonts w:ascii="Calibri" w:hAnsi="Calibri"/>
                <w:sz w:val="18"/>
                <w:color w:val="1E293B"/>
              </w:rPr>
              <w:t xml:space="preserve">Vulnerability reports verify posture at the exact scan timestamp; continuous patching operations and zero-day threat feeds are required for ongoing assurance.</w:t>
            </w:r>
          </w:p>
        </w:tc>
      </w:tr>
    </w:tbl>
    <w:p>
      <w:pPr>
        <w:spacing w:before="360" w:after="120"/>
        <w:rPr>
          <w:rFonts w:ascii="Calibri" w:hAnsi="Calibri"/>
          <w:b/>
          <w:sz w:val="32"/>
          <w:color w:val="0F172A"/>
        </w:rPr>
      </w:pPr>
      <w:r>
        <w:rPr>
          <w:rFonts w:ascii="Calibri" w:hAnsi="Calibri"/>
          <w:b/>
          <w:sz w:val="32"/>
          <w:color w:val="0F172A"/>
        </w:rPr>
        <w:t xml:space="preserve">Exceptions and Risk Acceptance</w:t>
      </w:r>
    </w:p>
    <w:p>
      <w:pPr>
        <w:spacing w:after="100"/>
      </w:pPr>
      <w:r>
        <w:rPr>
          <w:rFonts w:ascii="Calibri" w:hAnsi="Calibri"/>
          <w:color w:val="1E293B"/>
          <w:sz w:val="20"/>
        </w:rPr>
        <w:t xml:space="preserve">An exception request shall identify the requirement and affected scope, business rationale, risk assessment, compensating controls, accountable owner, authorized approver, start and expiry/review dates, monitoring arrangements and closure criteria. The requester shall not approve their own exception where segregation of duties is required. Overdue exceptions shall be escalated according to the approved governance process.</w:t>
      </w:r>
    </w:p>
    <w:p>
      <w:pPr>
        <w:spacing w:before="360" w:after="120"/>
        <w:rPr>
          <w:rFonts w:ascii="Calibri" w:hAnsi="Calibri"/>
          <w:b/>
          <w:sz w:val="32"/>
          <w:color w:val="0F172A"/>
        </w:rPr>
      </w:pPr>
      <w:r>
        <w:rPr>
          <w:rFonts w:ascii="Calibri" w:hAnsi="Calibri"/>
          <w:b/>
          <w:sz w:val="32"/>
          <w:color w:val="0F172A"/>
        </w:rPr>
        <w:t xml:space="preserve">Monitoring, Audit and Management Review</w:t>
      </w:r>
    </w:p>
    <w:p>
      <w:pPr>
        <w:spacing w:after="100"/>
      </w:pPr>
      <w:r>
        <w:rPr>
          <w:rFonts w:ascii="Calibri" w:hAnsi="Calibri"/>
          <w:color w:val="1E293B"/>
          <w:sz w:val="20"/>
        </w:rPr>
        <w:t xml:space="preserve">The organization shall define measures that support evaluation of ISMS performance and control operation. Internal audits shall be planned using defined criteria, scope, frequency and impartiality safeguards. Findings shall be recorded and addressed through corrective action. Management review shall consider relevant changes, audit results, risk status, objective performance, incidents, nonconformities, interested-party feedback, resources and improvement opportunities.</w:t>
      </w:r>
    </w:p>
    <w:p>
      <w:pPr>
        <w:spacing w:before="360" w:after="120"/>
        <w:rPr>
          <w:rFonts w:ascii="Calibri" w:hAnsi="Calibri"/>
          <w:b/>
          <w:sz w:val="32"/>
          <w:color w:val="0F172A"/>
        </w:rPr>
      </w:pPr>
      <w:r>
        <w:rPr>
          <w:rFonts w:ascii="Calibri" w:hAnsi="Calibri"/>
          <w:b/>
          <w:sz w:val="32"/>
          <w:color w:val="0F172A"/>
        </w:rPr>
        <w:t xml:space="preserve">Nonconformity and Continual Improvement</w:t>
      </w:r>
    </w:p>
    <w:p>
      <w:pPr>
        <w:spacing w:after="100"/>
      </w:pPr>
      <w:r>
        <w:rPr>
          <w:rFonts w:ascii="Calibri" w:hAnsi="Calibri"/>
          <w:color w:val="1E293B"/>
          <w:sz w:val="20"/>
        </w:rPr>
        <w:t xml:space="preserve">When a nonconformity occurs, the responsible owner shall contain or correct the issue as appropriate, assess consequences, determine root cause where warranted, implement proportionate corrective action, and evaluate effectiveness. Closure shall be supported by evidence and independent retesting where required. Recurring issues shall be escalated for systemic review.</w:t>
      </w:r>
    </w:p>
    <w:p>
      <w:pPr>
        <w:spacing w:before="360" w:after="120"/>
        <w:rPr>
          <w:rFonts w:ascii="Calibri" w:hAnsi="Calibri"/>
          <w:b/>
          <w:sz w:val="32"/>
          <w:color w:val="0F172A"/>
        </w:rPr>
      </w:pPr>
      <w:r>
        <w:rPr>
          <w:rFonts w:ascii="Calibri" w:hAnsi="Calibri"/>
          <w:b/>
          <w:sz w:val="32"/>
          <w:color w:val="0F172A"/>
        </w:rPr>
        <w:t xml:space="preserve">Communication, Publication and Enforcement</w:t>
      </w:r>
    </w:p>
    <w:p>
      <w:pPr>
        <w:spacing w:after="100"/>
      </w:pPr>
      <w:r>
        <w:rPr>
          <w:rFonts w:ascii="Calibri" w:hAnsi="Calibri"/>
          <w:color w:val="1E293B"/>
          <w:sz w:val="20"/>
        </w:rPr>
        <w:t xml:space="preserve">The document owner shall ensure the current approved version is communicated to relevant interested parties and made accessible according to classification and need. Only the controlled published version is authoritative.</w:t>
      </w:r>
    </w:p>
    <w:p>
      <w:pPr>
        <w:spacing w:before="360" w:after="120"/>
        <w:rPr>
          <w:rFonts w:ascii="Calibri" w:hAnsi="Calibri"/>
          <w:b/>
          <w:sz w:val="32"/>
          <w:color w:val="0F172A"/>
        </w:rPr>
      </w:pPr>
      <w:r>
        <w:rPr>
          <w:rFonts w:ascii="Calibri" w:hAnsi="Calibri"/>
          <w:b/>
          <w:sz w:val="32"/>
          <w:color w:val="0F172A"/>
        </w:rPr>
        <w:t xml:space="preserve">Related Controlled Documents &amp; Systems</w:t>
      </w:r>
    </w:p>
    <w:p>
      <w:pPr>
        <w:spacing w:after="100"/>
      </w:pPr>
      <w:r>
        <w:rPr>
          <w:rFonts w:ascii="Calibri" w:hAnsi="Calibri"/>
          <w:color w:val="1E293B"/>
          <w:sz w:val="20"/>
        </w:rPr>
        <w:t xml:space="preserve">• Acme Global Information Security Policy (ISMS-POL-001)</w:t>
      </w:r>
    </w:p>
    <w:p>
      <w:pPr>
        <w:spacing w:after="100"/>
      </w:pPr>
      <w:r>
        <w:rPr>
          <w:rFonts w:ascii="Calibri" w:hAnsi="Calibri"/>
          <w:color w:val="1E293B"/>
          <w:sz w:val="20"/>
        </w:rPr>
        <w:t xml:space="preserve">• Acme Identity and Access Management Standard (ISMS-STD-IAM-001)</w:t>
      </w:r>
    </w:p>
    <w:p>
      <w:pPr>
        <w:spacing w:after="100"/>
      </w:pPr>
      <w:r>
        <w:rPr>
          <w:rFonts w:ascii="Calibri" w:hAnsi="Calibri"/>
          <w:color w:val="1E293B"/>
          <w:sz w:val="20"/>
        </w:rPr>
        <w:t xml:space="preserve">• Enterprise Risk Management Register</w:t>
      </w:r>
    </w:p>
    <w:p>
      <w:pPr>
        <w:spacing w:after="100"/>
      </w:pPr>
      <w:r>
        <w:rPr>
          <w:rFonts w:ascii="Calibri" w:hAnsi="Calibri"/>
          <w:color w:val="1E293B"/>
          <w:sz w:val="20"/>
        </w:rPr>
        <w:t xml:space="preserve">• Authoritative Evidence Vault &amp; AWS S3 WORM Bucket</w:t>
      </w:r>
    </w:p>
    <w:p>
      <w:pPr>
        <w:spacing w:before="360" w:after="120"/>
        <w:rPr>
          <w:rFonts w:ascii="Calibri" w:hAnsi="Calibri"/>
          <w:b/>
          <w:sz w:val="32"/>
          <w:color w:val="0F172A"/>
        </w:rPr>
      </w:pPr>
      <w:r>
        <w:rPr>
          <w:rFonts w:ascii="Calibri" w:hAnsi="Calibri"/>
          <w:b/>
          <w:sz w:val="32"/>
          <w:color w:val="0F172A"/>
        </w:rPr>
        <w:t xml:space="preserve">Document Review and Change Control</w:t>
      </w:r>
    </w:p>
    <w:p>
      <w:pPr>
        <w:spacing w:after="100"/>
      </w:pPr>
      <w:r>
        <w:rPr>
          <w:rFonts w:ascii="Calibri" w:hAnsi="Calibri"/>
          <w:color w:val="1E293B"/>
          <w:sz w:val="20"/>
        </w:rPr>
        <w:t xml:space="preserve">This policy is reviewed annually by the Vulnerability Management Lead and approved by the CISO. Significant architecture redesign, critical incident retrospectives, or new statutory mandates trigger mandatory out-of-cycle revisions within 30 calendar days.</w:t>
      </w:r>
    </w:p>
    <w:p>
      <w:pPr>
        <w:spacing w:before="360" w:after="120"/>
        <w:rPr>
          <w:rFonts w:ascii="Calibri" w:hAnsi="Calibri"/>
          <w:b/>
          <w:sz w:val="32"/>
          <w:color w:val="0F172A"/>
        </w:rPr>
      </w:pPr>
      <w:r>
        <w:rPr>
          <w:rFonts w:ascii="Calibri" w:hAnsi="Calibri"/>
          <w:b/>
          <w:sz w:val="32"/>
          <w:color w:val="0F172A"/>
        </w:rPr>
        <w:t xml:space="preserve">Appendix A — Approval Record</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2200"/>
        <w:gridCol w:w="2000"/>
        <w:gridCol w:w="1600"/>
        <w:gridCol w:w="1400"/>
        <w:gridCol w:w="1826"/>
      </w:tblGrid>
      <w:tr>
        <w:trPr>
          <w:tblHeader/>
          <w:cantSplit/>
        </w:trPr>
        <w:tc>
          <w:tcPr>
            <w:tcW w:w="2200" w:type="dxa"/>
            <w:shd w:val="clear" w:color="auto" w:fill="0F172A"/>
          </w:tcPr>
          <w:p>
            <w:r>
              <w:rPr>
                <w:rFonts w:ascii="Calibri" w:hAnsi="Calibri"/>
                <w:b/>
                <w:color w:val="FFFFFF"/>
                <w:sz w:val="18"/>
              </w:rPr>
              <w:t xml:space="preserve">Role</w:t>
            </w:r>
          </w:p>
        </w:tc>
        <w:tc>
          <w:tcPr>
            <w:tcW w:w="2000" w:type="dxa"/>
            <w:shd w:val="clear" w:color="auto" w:fill="0F172A"/>
          </w:tcPr>
          <w:p>
            <w:r>
              <w:rPr>
                <w:rFonts w:ascii="Calibri" w:hAnsi="Calibri"/>
                <w:b/>
                <w:color w:val="FFFFFF"/>
                <w:sz w:val="18"/>
              </w:rPr>
              <w:t xml:space="preserve">Name / identity</w:t>
            </w:r>
          </w:p>
        </w:tc>
        <w:tc>
          <w:tcPr>
            <w:tcW w:w="1600" w:type="dxa"/>
            <w:shd w:val="clear" w:color="auto" w:fill="0F172A"/>
          </w:tcPr>
          <w:p>
            <w:r>
              <w:rPr>
                <w:rFonts w:ascii="Calibri" w:hAnsi="Calibri"/>
                <w:b/>
                <w:color w:val="FFFFFF"/>
                <w:sz w:val="18"/>
              </w:rPr>
              <w:t xml:space="preserve">Decision</w:t>
            </w:r>
          </w:p>
        </w:tc>
        <w:tc>
          <w:tcPr>
            <w:tcW w:w="1400" w:type="dxa"/>
            <w:shd w:val="clear" w:color="auto" w:fill="0F172A"/>
          </w:tcPr>
          <w:p>
            <w:r>
              <w:rPr>
                <w:rFonts w:ascii="Calibri" w:hAnsi="Calibri"/>
                <w:b/>
                <w:color w:val="FFFFFF"/>
                <w:sz w:val="18"/>
              </w:rPr>
              <w:t xml:space="preserve">Date</w:t>
            </w:r>
          </w:p>
        </w:tc>
        <w:tc>
          <w:tcPr>
            <w:tcW w:w="1826" w:type="dxa"/>
            <w:shd w:val="clear" w:color="auto" w:fill="0F172A"/>
          </w:tcPr>
          <w:p>
            <w:r>
              <w:rPr>
                <w:rFonts w:ascii="Calibri" w:hAnsi="Calibri"/>
                <w:b/>
                <w:color w:val="FFFFFF"/>
                <w:sz w:val="18"/>
              </w:rPr>
              <w:t xml:space="preserve">Evidence reference</w:t>
            </w:r>
          </w:p>
        </w:tc>
      </w:tr>
      <w:tr>
        <w:trPr>
          <w:cantSplit/>
        </w:trPr>
        <w:tc>
          <w:tcPr>
            <w:tcW w:w="2200" w:type="dxa"/>
          </w:tcPr>
          <w:p>
            <w:r>
              <w:rPr>
                <w:rFonts w:ascii="Calibri" w:hAnsi="Calibri"/>
                <w:sz w:val="18"/>
                <w:color w:val="1E293B"/>
              </w:rPr>
              <w:t xml:space="preserve">Vulnerability Management Lead</w:t>
            </w:r>
          </w:p>
        </w:tc>
        <w:tc>
          <w:tcPr>
            <w:tcW w:w="2000" w:type="dxa"/>
          </w:tcPr>
          <w:p>
            <w:r>
              <w:rPr>
                <w:rFonts w:ascii="Calibri" w:hAnsi="Calibri"/>
                <w:sz w:val="18"/>
                <w:color w:val="1E293B"/>
              </w:rPr>
              <w:t xml:space="preserve">Illustrative Benchmark Role</w:t>
            </w:r>
          </w:p>
        </w:tc>
        <w:tc>
          <w:tcPr>
            <w:tcW w:w="1600" w:type="dxa"/>
          </w:tcPr>
          <w:p>
            <w:r>
              <w:rPr>
                <w:rFonts w:ascii="Calibri" w:hAnsi="Calibri"/>
                <w:sz w:val="18"/>
                <w:color w:val="1E293B"/>
              </w:rPr>
              <w:t xml:space="preserve">Review pending</w:t>
            </w:r>
          </w:p>
        </w:tc>
        <w:tc>
          <w:tcPr>
            <w:tcW w:w="1400" w:type="dxa"/>
          </w:tcPr>
          <w:p>
            <w:r>
              <w:rPr>
                <w:rFonts w:ascii="Calibri" w:hAnsi="Calibri"/>
                <w:sz w:val="18"/>
                <w:color w:val="1E293B"/>
              </w:rPr>
              <w:t xml:space="preserve">Pending</w:t>
            </w:r>
          </w:p>
        </w:tc>
        <w:tc>
          <w:tcPr>
            <w:tcW w:w="1826" w:type="dxa"/>
          </w:tcPr>
          <w:p>
            <w:r>
              <w:rPr>
                <w:rFonts w:ascii="Calibri" w:hAnsi="Calibri"/>
                <w:sz w:val="18"/>
                <w:color w:val="1E293B"/>
              </w:rPr>
              <w:t xml:space="preserve">SKANDA-MODEL-SPEC</w:t>
            </w:r>
          </w:p>
        </w:tc>
      </w:tr>
      <w:tr>
        <w:trPr>
          <w:cantSplit/>
        </w:trPr>
        <w:tc>
          <w:tcPr>
            <w:tcW w:w="2200" w:type="dxa"/>
            <w:shd w:val="clear" w:color="auto" w:fill="F8FAFC"/>
          </w:tcPr>
          <w:p>
            <w:r>
              <w:rPr>
                <w:rFonts w:ascii="Calibri" w:hAnsi="Calibri"/>
                <w:sz w:val="18"/>
                <w:color w:val="1E293B"/>
              </w:rPr>
              <w:t xml:space="preserve">CISO</w:t>
            </w:r>
          </w:p>
        </w:tc>
        <w:tc>
          <w:tcPr>
            <w:tcW w:w="2000" w:type="dxa"/>
            <w:shd w:val="clear" w:color="auto" w:fill="F8FAFC"/>
          </w:tcPr>
          <w:p>
            <w:r>
              <w:rPr>
                <w:rFonts w:ascii="Calibri" w:hAnsi="Calibri"/>
                <w:sz w:val="18"/>
                <w:color w:val="1E293B"/>
              </w:rPr>
              <w:t xml:space="preserve">Illustrative Executive Approver</w:t>
            </w:r>
          </w:p>
        </w:tc>
        <w:tc>
          <w:tcPr>
            <w:tcW w:w="1600" w:type="dxa"/>
            <w:shd w:val="clear" w:color="auto" w:fill="F8FAFC"/>
          </w:tcPr>
          <w:p>
            <w:r>
              <w:rPr>
                <w:rFonts w:ascii="Calibri" w:hAnsi="Calibri"/>
                <w:sz w:val="18"/>
                <w:color w:val="1E293B"/>
              </w:rPr>
              <w:t xml:space="preserve">Approval pending</w:t>
            </w:r>
          </w:p>
        </w:tc>
        <w:tc>
          <w:tcPr>
            <w:tcW w:w="1400" w:type="dxa"/>
            <w:shd w:val="clear" w:color="auto" w:fill="F8FAFC"/>
          </w:tcPr>
          <w:p>
            <w:r>
              <w:rPr>
                <w:rFonts w:ascii="Calibri" w:hAnsi="Calibri"/>
                <w:sz w:val="18"/>
                <w:color w:val="1E293B"/>
              </w:rPr>
              <w:t xml:space="preserve">Pending</w:t>
            </w:r>
          </w:p>
        </w:tc>
        <w:tc>
          <w:tcPr>
            <w:tcW w:w="1826" w:type="dxa"/>
            <w:shd w:val="clear" w:color="auto" w:fill="F8FAFC"/>
          </w:tcPr>
          <w:p>
            <w:r>
              <w:rPr>
                <w:rFonts w:ascii="Calibri" w:hAnsi="Calibri"/>
                <w:sz w:val="18"/>
                <w:color w:val="1E293B"/>
              </w:rPr>
              <w:t xml:space="preserve">SKANDA-MODEL-SPEC</w:t>
            </w:r>
          </w:p>
        </w:tc>
      </w:tr>
    </w:tbl>
    <w:p>
      <w:pPr>
        <w:spacing w:before="360" w:after="120"/>
        <w:rPr>
          <w:rFonts w:ascii="Calibri" w:hAnsi="Calibri"/>
          <w:b/>
          <w:sz w:val="32"/>
          <w:color w:val="0F172A"/>
        </w:rPr>
      </w:pPr>
      <w:r>
        <w:rPr>
          <w:rFonts w:ascii="Calibri" w:hAnsi="Calibri"/>
          <w:b/>
          <w:sz w:val="32"/>
          <w:color w:val="0F172A"/>
        </w:rPr>
        <w:t xml:space="preserve">Appendix C — Pre-Publication Tailoring Checklist</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1600"/>
        <w:gridCol w:w="5626"/>
        <w:gridCol w:w="1800"/>
      </w:tblGrid>
      <w:tr>
        <w:trPr>
          <w:tblHeader/>
          <w:cantSplit/>
        </w:trPr>
        <w:tc>
          <w:tcPr>
            <w:tcW w:w="1600" w:type="dxa"/>
            <w:shd w:val="clear" w:color="auto" w:fill="0F172A"/>
          </w:tcPr>
          <w:p>
            <w:r>
              <w:rPr>
                <w:rFonts w:ascii="Calibri" w:hAnsi="Calibri"/>
                <w:b/>
                <w:color w:val="FFFFFF"/>
                <w:sz w:val="18"/>
              </w:rPr>
              <w:t xml:space="preserve">Checklist ID</w:t>
            </w:r>
          </w:p>
        </w:tc>
        <w:tc>
          <w:tcPr>
            <w:tcW w:w="5626" w:type="dxa"/>
            <w:shd w:val="clear" w:color="auto" w:fill="0F172A"/>
          </w:tcPr>
          <w:p>
            <w:r>
              <w:rPr>
                <w:rFonts w:ascii="Calibri" w:hAnsi="Calibri"/>
                <w:b/>
                <w:color w:val="FFFFFF"/>
                <w:sz w:val="18"/>
              </w:rPr>
              <w:t xml:space="preserve">Description</w:t>
            </w:r>
          </w:p>
        </w:tc>
        <w:tc>
          <w:tcPr>
            <w:tcW w:w="1800" w:type="dxa"/>
            <w:shd w:val="clear" w:color="auto" w:fill="0F172A"/>
          </w:tcPr>
          <w:p>
            <w:r>
              <w:rPr>
                <w:rFonts w:ascii="Calibri" w:hAnsi="Calibri"/>
                <w:b/>
                <w:color w:val="FFFFFF"/>
                <w:sz w:val="18"/>
              </w:rPr>
              <w:t xml:space="preserve">Status</w:t>
            </w:r>
          </w:p>
        </w:tc>
      </w:tr>
      <w:tr>
        <w:trPr>
          <w:cantSplit/>
        </w:trPr>
        <w:tc>
          <w:tcPr>
            <w:tcW w:w="1600" w:type="dxa"/>
          </w:tcPr>
          <w:p>
            <w:r>
              <w:rPr>
                <w:rFonts w:ascii="Calibri" w:hAnsi="Calibri"/>
                <w:sz w:val="18"/>
                <w:color w:val="1E293B"/>
              </w:rPr>
              <w:t xml:space="preserve">CHK-INPUT-01</w:t>
            </w:r>
          </w:p>
        </w:tc>
        <w:tc>
          <w:tcPr>
            <w:tcW w:w="5626" w:type="dxa"/>
          </w:tcPr>
          <w:p>
            <w:r>
              <w:rPr>
                <w:rFonts w:ascii="Calibri" w:hAnsi="Calibri"/>
                <w:sz w:val="18"/>
                <w:color w:val="1E293B"/>
              </w:rPr>
              <w:t xml:space="preserve">Validate organizational value for: organizationProfile.legalEntityName (currently set to illustrative benchmark).</w:t>
            </w:r>
          </w:p>
        </w:tc>
        <w:tc>
          <w:tcPr>
            <w:tcW w:w="1800" w:type="dxa"/>
          </w:tcPr>
          <w:p>
            <w:r>
              <w:rPr>
                <w:rFonts w:ascii="Calibri" w:hAnsi="Calibri"/>
                <w:sz w:val="18"/>
                <w:color w:val="1E293B"/>
              </w:rPr>
              <w:t xml:space="preserve">[ ] Pending Tailoring</w:t>
            </w:r>
          </w:p>
        </w:tc>
      </w:tr>
      <w:tr>
        <w:trPr>
          <w:cantSplit/>
        </w:trPr>
        <w:tc>
          <w:tcPr>
            <w:tcW w:w="1600" w:type="dxa"/>
            <w:shd w:val="clear" w:color="auto" w:fill="F8FAFC"/>
          </w:tcPr>
          <w:p>
            <w:r>
              <w:rPr>
                <w:rFonts w:ascii="Calibri" w:hAnsi="Calibri"/>
                <w:sz w:val="18"/>
                <w:color w:val="1E293B"/>
              </w:rPr>
              <w:t xml:space="preserve">CHK-INPUT-02</w:t>
            </w:r>
          </w:p>
        </w:tc>
        <w:tc>
          <w:tcPr>
            <w:tcW w:w="5626" w:type="dxa"/>
            <w:shd w:val="clear" w:color="auto" w:fill="F8FAFC"/>
          </w:tcPr>
          <w:p>
            <w:r>
              <w:rPr>
                <w:rFonts w:ascii="Calibri" w:hAnsi="Calibri"/>
                <w:sz w:val="18"/>
                <w:color w:val="1E293B"/>
              </w:rPr>
              <w:t xml:space="preserve">Validate organizational value for: serviceLevelCommitments.standardAccessDays (currently set to illustrative benchmark).</w:t>
            </w:r>
          </w:p>
        </w:tc>
        <w:tc>
          <w:tcPr>
            <w:tcW w:w="1800" w:type="dxa"/>
            <w:shd w:val="clear" w:color="auto" w:fill="F8FAFC"/>
          </w:tcPr>
          <w:p>
            <w:r>
              <w:rPr>
                <w:rFonts w:ascii="Calibri" w:hAnsi="Calibri"/>
                <w:sz w:val="18"/>
                <w:color w:val="1E293B"/>
              </w:rPr>
              <w:t xml:space="preserve">[ ] Pending Tailoring</w:t>
            </w:r>
          </w:p>
        </w:tc>
      </w:tr>
      <w:tr>
        <w:trPr>
          <w:cantSplit/>
        </w:trPr>
        <w:tc>
          <w:tcPr>
            <w:tcW w:w="1600" w:type="dxa"/>
          </w:tcPr>
          <w:p>
            <w:r>
              <w:rPr>
                <w:rFonts w:ascii="Calibri" w:hAnsi="Calibri"/>
                <w:sz w:val="18"/>
                <w:color w:val="1E293B"/>
              </w:rPr>
              <w:t xml:space="preserve">CHK-BENCH-01</w:t>
            </w:r>
          </w:p>
        </w:tc>
        <w:tc>
          <w:tcPr>
            <w:tcW w:w="5626" w:type="dxa"/>
          </w:tcPr>
          <w:p>
            <w:r>
              <w:rPr>
                <w:rFonts w:ascii="Calibri" w:hAnsi="Calibri"/>
                <w:sz w:val="18"/>
                <w:color w:val="1E293B"/>
              </w:rPr>
              <w:t xml:space="preserve">Verify model thresholds, SLAs, and technical roles against actual corporate delegations.</w:t>
            </w:r>
          </w:p>
        </w:tc>
        <w:tc>
          <w:tcPr>
            <w:tcW w:w="1800" w:type="dxa"/>
          </w:tcPr>
          <w:p>
            <w:r>
              <w:rPr>
                <w:rFonts w:ascii="Calibri" w:hAnsi="Calibri"/>
                <w:sz w:val="18"/>
                <w:color w:val="1E293B"/>
              </w:rPr>
              <w:t xml:space="preserve">[ ] Pending Tailoring</w:t>
            </w:r>
          </w:p>
        </w:tc>
      </w:tr>
      <w:tr>
        <w:trPr>
          <w:cantSplit/>
        </w:trPr>
        <w:tc>
          <w:tcPr>
            <w:tcW w:w="1600" w:type="dxa"/>
            <w:shd w:val="clear" w:color="auto" w:fill="F8FAFC"/>
          </w:tcPr>
          <w:p>
            <w:r>
              <w:rPr>
                <w:rFonts w:ascii="Calibri" w:hAnsi="Calibri"/>
                <w:sz w:val="18"/>
                <w:color w:val="1E293B"/>
              </w:rPr>
              <w:t xml:space="preserve">CHK-BENCH-02</w:t>
            </w:r>
          </w:p>
        </w:tc>
        <w:tc>
          <w:tcPr>
            <w:tcW w:w="5626" w:type="dxa"/>
            <w:shd w:val="clear" w:color="auto" w:fill="F8FAFC"/>
          </w:tcPr>
          <w:p>
            <w:r>
              <w:rPr>
                <w:rFonts w:ascii="Calibri" w:hAnsi="Calibri"/>
                <w:sz w:val="18"/>
                <w:color w:val="1E293B"/>
              </w:rPr>
              <w:t xml:space="preserve">Obtain formal management sign-off to transition illustrative model to live draft.</w:t>
            </w:r>
          </w:p>
        </w:tc>
        <w:tc>
          <w:tcPr>
            <w:tcW w:w="1800" w:type="dxa"/>
            <w:shd w:val="clear" w:color="auto" w:fill="F8FAFC"/>
          </w:tcPr>
          <w:p>
            <w:r>
              <w:rPr>
                <w:rFonts w:ascii="Calibri" w:hAnsi="Calibri"/>
                <w:sz w:val="18"/>
                <w:color w:val="1E293B"/>
              </w:rPr>
              <w:t xml:space="preserve">[ ] Pending Tailoring</w:t>
            </w:r>
          </w:p>
        </w:tc>
      </w:tr>
    </w:tbl>
    <w:sectPr>
      <w:headerReference w:type="default" r:id="rId2"/>
      <w:footerReference w:type="default" r:id="rId3"/>
      <w:pgSz w:w="11906" w:h="16838"/>
      <w:pgMar w:top="1440" w:right="1440" w:bottom="1440" w:left="1440" w:header="720" w:footer="720"/>
    </w:sectPr>
  </w:body>
</w:document>
</file>

<file path=word/footer1.xml><?xml version="1.0" encoding="utf-8"?>
<w:ftr xmlns:w="http://schemas.openxmlformats.org/wordprocessingml/2006/main">
  <w:p>
    <w:pPr>
      <w:pBdr>
        <w:top w:val="single" w:sz="6" w:space="4" w:color="CBD5E1"/>
      </w:pBdr>
      <w:tabs>
        <w:tab w:val="right" w:pos="9360"/>
      </w:tabs>
    </w:pPr>
    <w:r>
      <w:rPr>
        <w:rFonts w:ascii="Calibri" w:hAnsi="Calibri"/>
        <w:sz w:val="16"/>
        <w:color w:val="64748B"/>
      </w:rPr>
      <w:t xml:space="preserve">CONTROLLED SAMPLE | SKANDA DOCUMENTATION</w:t>
    </w:r>
    <w:r>
      <w:tab/>
      <w:rPr>
        <w:rFonts w:ascii="Calibri" w:hAnsi="Calibri"/>
        <w:sz w:val="16"/>
        <w:color w:val="64748B"/>
      </w:rPr>
      <w:t xml:space="preserve">Page </w:t>
    </w:r>
    <w:fldSimple w:instr="PAGE"/>
    <w:r>
      <w:rPr>
        <w:rFonts w:ascii="Calibri" w:hAnsi="Calibri"/>
        <w:sz w:val="16"/>
        <w:color w:val="64748B"/>
      </w:rPr>
      <w:t xml:space="preserve"> of </w:t>
    </w:r>
    <w:fldSimple w:instr="NUMPAGES"/>
  </w:p>
</w:ftr>
</file>

<file path=word/header1.xml><?xml version="1.0" encoding="utf-8"?>
<w:hdr xmlns:w="http://schemas.openxmlformats.org/wordprocessingml/2006/main">
  <w:p>
    <w:pPr>
      <w:pBdr>
        <w:bottom w:val="single" w:sz="6" w:space="4" w:color="CBD5E1"/>
      </w:pBdr>
      <w:jc w:val="right"/>
    </w:pPr>
    <w:r>
      <w:rPr>
        <w:rFonts w:ascii="Calibri" w:hAnsi="Calibri"/>
        <w:sz w:val="16"/>
        <w:color w:val="64748B"/>
        <w:b/>
      </w:rPr>
      <w:t xml:space="preserve">SKANDA / GOVERNANCE, RISK &amp; COMPLIANCE | POL-SEC-009-MODEL</w:t>
    </w:r>
  </w:p>
</w:hdr>
</file>

<file path=word/styles.xml><?xml version="1.0" encoding="utf-8"?>
<w:styles xmlns:w="http://schemas.openxmlformats.org/wordprocessingml/2006/main">
  <w:docDefaults>
    <w:rPrDefault>
      <w:rPr>
        <w:rFonts w:ascii="Calibri" w:hAnsi="Calibri"/>
        <w:sz w:val="20"/>
        <w:color w:val="1E293B"/>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s>
</file>