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sz w:val="40"/>
          <w:szCs w:val="40"/>
        </w:rPr>
        <w:t xml:space="preserve">Barriers to Health Information Data Exchange</w:t>
      </w:r>
    </w:p>
    <w:p>
      <w:pPr>
        <w:spacing w:after="800"/>
        <w:jc w:val="center"/>
      </w:pPr>
      <w:r>
        <w:rPr>
          <w:i/>
          <w:iCs/>
          <w:sz w:val="28"/>
          <w:szCs w:val="28"/>
        </w:rPr>
        <w:t xml:space="preserve">A Policy Brief</w:t>
      </w:r>
    </w:p>
    <w:p>
      <w:pPr>
        <w:spacing w:after="200"/>
        <w:jc w:val="center"/>
      </w:pPr>
      <w:r>
        <w:rPr>
          <w:sz w:val="24"/>
          <w:szCs w:val="24"/>
        </w:rPr>
        <w:t xml:space="preserve">Prepared for: Organizational Leaders and Health Policymakers</w:t>
      </w:r>
    </w:p>
    <w:p>
      <w:pPr>
        <w:spacing w:after="100"/>
        <w:jc w:val="center"/>
      </w:pPr>
      <w:r>
        <w:rPr>
          <w:sz w:val="24"/>
          <w:szCs w:val="24"/>
        </w:rPr>
        <w:t xml:space="preserve">Srinarayan Srikanth</w:t>
      </w:r>
    </w:p>
    <w:p>
      <w:pPr>
        <w:spacing w:after="100"/>
        <w:jc w:val="center"/>
      </w:pPr>
      <w:r>
        <w:rPr>
          <w:sz w:val="24"/>
          <w:szCs w:val="24"/>
        </w:rPr>
        <w:t xml:space="preserve">INFO-102: Introduction to Information Systems</w:t>
      </w:r>
    </w:p>
    <w:p>
      <w:pPr>
        <w:spacing w:after="100"/>
        <w:jc w:val="center"/>
      </w:pPr>
      <w:r>
        <w:rPr>
          <w:sz w:val="24"/>
          <w:szCs w:val="24"/>
        </w:rPr>
        <w:t xml:space="preserve">Drexel University, College of Computing &amp; Informatics</w:t>
      </w:r>
    </w:p>
    <w:p>
      <w:pPr>
        <w:jc w:val="center"/>
      </w:pPr>
      <w:r>
        <w:rPr>
          <w:sz w:val="24"/>
          <w:szCs w:val="24"/>
        </w:rPr>
        <w:t xml:space="preserve">August 2026</w:t>
      </w:r>
    </w:p>
    <w:p>
      <w:r>
        <w:br w:type="page"/>
      </w:r>
    </w:p>
    <w:p>
      <w:pPr>
        <w:pStyle w:val="Heading1"/>
        <w:spacing w:after="160" w:before="300"/>
      </w:pPr>
      <w:r>
        <w:rPr>
          <w:b/>
          <w:bCs/>
          <w:color w:val="000000"/>
          <w:sz w:val="28"/>
          <w:szCs w:val="28"/>
        </w:rPr>
        <w:t xml:space="preserve">Executive Summary</w:t>
      </w:r>
    </w:p>
    <w:p>
      <w:pPr>
        <w:spacing w:after="200" w:line="276"/>
        <w:jc w:val="both"/>
      </w:pPr>
      <w:r>
        <w:t xml:space="preserve">This brief examines a persistent problem in U.S. healthcare: despite near-universal adoption of electronic health records (EHRs), patient information still does not move reliably between the hospitals, clinics, labs, and behavioral health providers that treat the same patient. This is the problem of health information exchange (HIE), the electronic sharing of clinical data across organizational and technical boundaries.</w:t>
      </w:r>
    </w:p>
    <w:p>
      <w:pPr>
        <w:spacing w:after="200" w:line="276"/>
        <w:jc w:val="both"/>
      </w:pPr>
      <w:r>
        <w:t xml:space="preserve">Section 1 states the problem: a wide "adoption-utilization gap" exists between hospitals' technical capacity to exchange data and their actual routine use of it, driven by two competing explanations: one that frames the barrier as fundamentally technical (incompatible standards, unreliable patient matching) and one that frames it as fundamentally behavioral and economic (vendors and health systems have incentives to limit data flow, so-called "information blocking").</w:t>
      </w:r>
    </w:p>
    <w:p>
      <w:pPr>
        <w:spacing w:after="200" w:line="276"/>
        <w:jc w:val="both"/>
      </w:pPr>
      <w:r>
        <w:t xml:space="preserve">Section 2 traces the policy history from the 2009 HITECH Act, which paid providers to adopt EHRs but did not require them to connect those systems, through the 2016 21st Century Cures Act's information-blocking provisions, to the active federal enforcement phase now underway in 2026.</w:t>
      </w:r>
    </w:p>
    <w:p>
      <w:pPr>
        <w:spacing w:after="200" w:line="276"/>
        <w:jc w:val="both"/>
      </w:pPr>
      <w:r>
        <w:t xml:space="preserve">Section 3 weighs three policy options: intensifying enforcement of the existing information-blocking rule, mandating a national unique patient identifier, and the narrower, bipartisan standardized-data-matching approach embodied in the MATCH IT Act.</w:t>
      </w:r>
    </w:p>
    <w:p>
      <w:pPr>
        <w:spacing w:after="200" w:line="276"/>
        <w:jc w:val="both"/>
      </w:pPr>
      <w:r>
        <w:t xml:space="preserve">Section 4 recommends a combined near-term strategy: continue and strengthen information-blocking enforcement while adopting standardized patient-matching data requirements, paired with targeted support for the small, rural, and behavioral health providers who lag furthest behind, deferring a national patient identifier until the political and cost picture is clearer.</w:t>
      </w:r>
    </w:p>
    <w:p>
      <w:r>
        <w:br w:type="page"/>
      </w:r>
    </w:p>
    <w:p>
      <w:pPr>
        <w:pStyle w:val="Heading1"/>
        <w:spacing w:after="160" w:before="300"/>
      </w:pPr>
      <w:r>
        <w:rPr>
          <w:b/>
          <w:bCs/>
          <w:color w:val="000000"/>
          <w:sz w:val="28"/>
          <w:szCs w:val="28"/>
        </w:rPr>
        <w:t xml:space="preserve">Section 1: Statement of the Problem</w:t>
      </w:r>
    </w:p>
    <w:p>
      <w:pPr>
        <w:spacing w:after="200" w:line="276"/>
        <w:jc w:val="both"/>
      </w:pPr>
      <w:r>
        <w:t xml:space="preserve">The problem this brief addresses is that electronic health information in the United States is technically shareable but is not, in practice, reliably shared. By 2024, 99% of hospitals had enabled patients to view their own electronic records, and by 2023, 70% of non-federal acute care hospitals reported the technical capability to send, receive, find, and integrate outside patient data, the four domains that define full interoperability (ONC, 2023). Yet capability has not translated into use. Only 43% of hospitals routinely execute all four interoperability functions in practice, and on the clinician side the gap is starker still: 71% of clinicians report having access to outside patient records, but only 42% actually use that information in their clinical workflow (CodesHealth, 2026). This 29-point gap between access and use is the central puzzle of health information exchange today, and it is compounded by unequal exchange across care settings: only 16% of hospitals send summary records to long-term post-acute care facilities and only 17% send records to behavioral health providers, meaning the patients who most need coordinated care, those transitioning between acute, behavioral, and long-term settings, are the least likely to have their records follow them (CodesHealth, 2026).</w:t>
      </w:r>
    </w:p>
    <w:p>
      <w:pPr>
        <w:spacing w:after="200" w:line="276"/>
        <w:jc w:val="both"/>
      </w:pPr>
      <w:r>
        <w:t xml:space="preserve">Two schools of thought compete to explain why this gap persists. The first, a technical-standards view, holds that exchange fails primarily because health IT systems were built to different specifications by different vendors: 65% of providers cite differences between vendor platforms as their top barrier to exchange, and 58% cite the difficulty of confidently matching one patient's records across separate systems as a leading obstacle (CodesHealth, 2026). Because no two systems reliably agree on which "John Smith" is which, exchanges default to caution, and 68% of providers report lacking basic contact information for the outside providers with whom they would need to exchange directly. The second, a behavioral-economic view, holds that the deeper obstacle is not technical difficulty but incentive: hospital systems and EHR vendors compete for patient volume and platform lock-in, and sharing data with a competitor's system can work against a system's financial interest. This is the premise behind the legal category of "information blocking" created by Congress in 2016, the recognition that some barriers to exchange are practices, not accidents.</w:t>
      </w:r>
    </w:p>
    <w:p>
      <w:pPr>
        <w:spacing w:after="200" w:line="276"/>
        <w:jc w:val="both"/>
      </w:pPr>
      <w:r>
        <w:t xml:space="preserve">The generally accepted root causes span both explanations: a health IT market that grew up around individual hospital systems rather than shared infrastructure, the absence of a single reliable way to match patient identities across organizations, and, until recently, a regulatory environment with information-blocking rules on the books but little enforcement behind them. The implications are measurable and costly. Health systems that do exchange information through HIE see $1,187 lower average charges per emergency department visit, 9-25% fewer duplicate imaging studies, and 30% lower odds of hospital admission from the ED, while high-risk care management programs using HIE saw a 68% reduction in inpatient visits (CodesHealth, 2026). Every patient encounter that occurs without access to prior records risks a duplicated test, a missed drug interaction, or a delayed diagnosis, costs borne disproportionately by patients moving between the small, rural, and behavioral health facilities that lag furthest behind on exchange capability.</w:t>
      </w:r>
    </w:p>
    <w:p>
      <w:pPr>
        <w:pStyle w:val="Heading1"/>
        <w:spacing w:after="160" w:before="300"/>
      </w:pPr>
      <w:r>
        <w:rPr>
          <w:b/>
          <w:bCs/>
          <w:color w:val="000000"/>
          <w:sz w:val="28"/>
          <w:szCs w:val="28"/>
        </w:rPr>
        <w:t xml:space="preserve">Section 2: Policy's History / Background</w:t>
      </w:r>
    </w:p>
    <w:p>
      <w:pPr>
        <w:spacing w:after="200" w:line="276"/>
        <w:jc w:val="both"/>
      </w:pPr>
      <w:r>
        <w:t xml:space="preserve">Emergence. The roots of today's exchange problem lie in policy choices made 15 years ago. The 2009 Health Information Technology for Economic and Clinical Health (HITECH) Act created the EHR Incentive Program, later renamed Promoting Interoperability, which paid hospitals and physicians billions of dollars to adopt certified EHR systems (CMS, n.d.). It succeeded on its own terms: EHR adoption among hospitals rose from a small minority before 2009 to 96% by 2021 (CodesHealth, 2026). But HITECH rewarded adoption, not connection, and providers and vendors built systems to satisfy certification requirements without a matching mandate to make those systems talk to each other. The exchange gap the country faces today is, in large part, the predictable byproduct of an incentive structure that got the first step right and left the second step voluntary.</w:t>
      </w:r>
    </w:p>
    <w:p>
      <w:pPr>
        <w:spacing w:after="200" w:line="276"/>
        <w:jc w:val="both"/>
      </w:pPr>
      <w:r>
        <w:t xml:space="preserve">Chronology. Congress and federal regulators have spent the subsequent decade trying to close that gap. In 2016, the 21st Century Cures Act created the legal concept of "information blocking," practices by providers, health IT developers, or exchange networks that interfere with the access, exchange, or use of electronic health information without a valid exception (eCFR, 45 CFR Part 171). In 2020, the Office of the National Coordinator (ONC) and the Centers for Medicare &amp; Medicaid Services (CMS) finalized companion rules implementing information-blocking definitions and patient-access application programming interface (API) requirements. Civil monetary penalties for health IT developers and exchange networks that block information took effect in September 2023, and Medicare payment disincentives for providers followed in mid-2024. In 2022, ONC published version 1.0 of the Trusted Exchange Framework and Common Agreement (TEFCA), a national "network of networks" model, and the first Qualified Health Information Networks (QHINs) began onboarding participants in 2023. In December 2024, federal regulators finalized additional TEFCA and information-blocking exception rules, and in February 2026, ONC moved into active enforcement, issuing its first formal letters of nonconformity to certified EHR developers over interoperability failures (Alston &amp; Bird, 2026).</w:t>
      </w:r>
    </w:p>
    <w:p>
      <w:pPr>
        <w:spacing w:after="200" w:line="276"/>
        <w:jc w:val="both"/>
      </w:pPr>
      <w:r>
        <w:t xml:space="preserve">Trends. The trend line shows real but uneven progress. TEFCA exchange volume grew from about 10 million records to more than 1 billion records in under a year, and 625 hospitals were connected to TEFCA by December 2024 (HHS, 2026). Seventy percent of hospitals now have full technical interoperability capability, up sharply from a decade ago. But the utilization data show that capability is outrunning practice: only 43% of hospitals routinely exchange in all four domains, and a persistent 15-point capability gap separates large hospitals (53%) from small ones (38%) (CodesHealth, 2026). Absent better trend data specific to behavioral health and post-acute settings, HIE regional data-use agreements and TEFCA participation logs are the most promising existing sources for tracking whether the access-utilization gap is closing among the providers who lag furthest behind.</w:t>
      </w:r>
    </w:p>
    <w:p>
      <w:pPr>
        <w:pStyle w:val="Heading1"/>
        <w:spacing w:after="160" w:before="300"/>
      </w:pPr>
      <w:r>
        <w:rPr>
          <w:b/>
          <w:bCs/>
          <w:color w:val="000000"/>
          <w:sz w:val="28"/>
          <w:szCs w:val="28"/>
        </w:rPr>
        <w:t xml:space="preserve">Section 3: Policy Options</w:t>
      </w:r>
    </w:p>
    <w:p>
      <w:pPr>
        <w:spacing w:after="200" w:line="276"/>
        <w:jc w:val="both"/>
      </w:pPr>
      <w:r>
        <w:t xml:space="preserve">Option A: Intensify enforcement of the existing information-blocking rule. The federal government already has the legal authority it needs: the 21st Century Cures Act's information-blocking provisions, with penalties in place since 2023 and Medicare disincentives since 2024. ONC's February 2026 shift to issuing nonconformity letters shows this authority is now being used (Alston &amp; Bird, 2026). Advantage: this option requires no new legislation and directly targets the behavioral-economic root cause: vendors and systems that withhold data for competitive reasons. Disadvantage: enforcement is reactive and resource-intensive, does not by itself fix the underlying patient-matching problem that 58% of providers cite as a barrier, and risks drawn-out litigation over what counts as a valid exception.</w:t>
      </w:r>
    </w:p>
    <w:p>
      <w:pPr>
        <w:spacing w:after="200" w:line="276"/>
        <w:jc w:val="both"/>
      </w:pPr>
      <w:r>
        <w:t xml:space="preserve">Option B: Mandate a national unique patient identifier. A single, government-issued identifier tied to every patient's health record would directly resolve the matching failures that most complicate exchange today. Advantage: it would most completely solve the technical root cause, and comparable identifier systems (e.g., Social Security numbers for other government functions) demonstrate the model can work at scale. Disadvantage: a national patient identifier has been effectively blocked in the U.S. since 1999 by a recurring congressional appropriations rider over privacy and government-tracking concerns, and reversing that political consensus would require significant new legislation, funding, and public trust-building that could take years (GovInfoSecurity, 2025).</w:t>
      </w:r>
    </w:p>
    <w:p>
      <w:pPr>
        <w:spacing w:after="200" w:line="276"/>
        <w:jc w:val="both"/>
      </w:pPr>
      <w:r>
        <w:t xml:space="preserve">Option C: Standardize patient-matching data without a national identifier: the MATCH IT Act approach. Rather than a single identifier, this option would require certified health IT products to collect and format a standard, minimum set of demographic fields (e.g., legal name, date of birth, address history) in a consistent way, and would create a way to measure match rates across the industry. This is the model behind the bipartisan MATCH IT Act, reintroduced in Congress in 2025 with support from AHIMA, CHIME, HIMSS, and the American College of Physicians (HIPAA Journal, 2025). Advantage: it targets the same root cause as Option B: a 2024 industry study found mismatched patient records responsible for 35% of denied insurance claims and roughly $6.7 billion in annual costs, without triggering the privacy backlash a national identifier invites. Disadvantage: it is incremental, places new data-formatting and reporting burdens on already under-resourced small and rural providers, and does not on its own address the vendor-fee and access barriers separate from matching.</w:t>
      </w:r>
    </w:p>
    <w:p>
      <w:pPr>
        <w:spacing w:after="200" w:line="276"/>
        <w:jc w:val="both"/>
      </w:pPr>
      <w:r>
        <w:t xml:space="preserve">A remaining gap in the available information is provider-level cost data: existing statistics establish that HIE use produces net clinical and financial benefit, but there is little published data isolating the specific cost of TEFCA or matching-standard compliance for small, rural, and behavioral health organizations, the very providers already furthest behind. This is the clearest area where additional research, rather than additional policy, is needed before committing new funding.</w:t>
      </w:r>
    </w:p>
    <w:p>
      <w:pPr>
        <w:pStyle w:val="Heading1"/>
        <w:spacing w:after="160" w:before="300"/>
      </w:pPr>
      <w:r>
        <w:rPr>
          <w:b/>
          <w:bCs/>
          <w:color w:val="000000"/>
          <w:sz w:val="28"/>
          <w:szCs w:val="28"/>
        </w:rPr>
        <w:t xml:space="preserve">Section 4: Policy Recommendations</w:t>
      </w:r>
    </w:p>
    <w:p>
      <w:pPr>
        <w:spacing w:after="200" w:line="276"/>
        <w:jc w:val="both"/>
      </w:pPr>
      <w:r>
        <w:t xml:space="preserve">This brief recommends pursuing Option A and Option C together, and deferring Option B. The strongest case for this combination is that it treats health information exchange as a problem with two independent root causes, behavioral and technical, and addresses both without provoking the singular political obstacle, privacy concerns over a government-run patient database, that has stalled national-identifier proposals for a quarter century.</w:t>
      </w:r>
    </w:p>
    <w:p>
      <w:pPr>
        <w:spacing w:after="200" w:line="276"/>
        <w:jc w:val="both"/>
      </w:pPr>
      <w:r>
        <w:t xml:space="preserve">Continuing and strengthening information-blocking enforcement, as ONC has begun doing in 2026, keeps pressure on the minority of vendors and systems whose barriers to exchange are commercial rather than technical, and it requires no new statutory authority. Pairing that enforcement with the MATCH IT Act's standardized-matching-data approach addresses the single most commonly cited technical barrier, patient matching, cited by 58% of providers, while preserving the bipartisan political coalition that has already reintroduced the bill in the current Congress. Together, these two steps are achievable within the current legal and political environment, unlike a national identifier mandate, and they directly target the two barriers providers report most often.</w:t>
      </w:r>
    </w:p>
    <w:p>
      <w:pPr>
        <w:spacing w:after="200" w:line="276"/>
        <w:jc w:val="both"/>
      </w:pPr>
      <w:r>
        <w:t xml:space="preserve">This recommendation also calls for a third, smaller step: targeted federal funding or technical-assistance grants aimed specifically at small, rural, and behavioral health providers, the organizations with the widest capability gap (38% versus 53% for large hospitals) and the lowest record-exchange rates with post-acute and behavioral health partners (16-17%). Closing the access-utilization gap only where large systems are concerned would leave the most vulnerable patient populations, those moving between behavioral health, post-acute, and rural care settings, exactly where they are today. A national patient identifier should remain on the table as a longer-term option once better cost data exist and once the standardized-matching approach has had time to demonstrate results, but it should not be the near-term priority given its political and financial cost relative to the two available and lower-friction alternatives.</w:t>
      </w:r>
    </w:p>
    <w:p>
      <w:pPr>
        <w:pStyle w:val="Heading1"/>
        <w:spacing w:after="160" w:before="300"/>
      </w:pPr>
      <w:r>
        <w:rPr>
          <w:b/>
          <w:bCs/>
          <w:color w:val="000000"/>
          <w:sz w:val="28"/>
          <w:szCs w:val="28"/>
        </w:rPr>
        <w:t xml:space="preserve">Section 5: References</w:t>
      </w:r>
    </w:p>
    <w:p>
      <w:pPr>
        <w:spacing w:after="160" w:line="276"/>
        <w:ind w:left="720" w:hanging="720"/>
      </w:pPr>
      <w:r>
        <w:t xml:space="preserve">Alston &amp; Bird. (2026, February). Information blocking enforcement enters a new phase: What digital health stakeholders should expect in 2026. https://www.alston.com/en/insights/publications/2026/02/information-blocking-enforcement-2026 [Alston &amp; Bird LLP]</w:t>
      </w:r>
    </w:p>
    <w:p>
      <w:pPr>
        <w:spacing w:after="160" w:line="276"/>
        <w:ind w:left="720" w:hanging="720"/>
      </w:pPr>
      <w:r>
        <w:t xml:space="preserve">Centers for Medicare &amp; Medicaid Services. (n.d.). A brief history of federal interoperability efforts. https://www.cms.gov/files/document/hiig-federal-interoperability-timeline-brief-history-federal-interoperability-efforts.pdf [CMS]</w:t>
      </w:r>
    </w:p>
    <w:p>
      <w:pPr>
        <w:spacing w:after="160" w:line="276"/>
        <w:ind w:left="720" w:hanging="720"/>
      </w:pPr>
      <w:r>
        <w:t xml:space="preserve">CodesHealth. (2026). 24 health information exchange (HIE) statistics: Essential data for legal and healthcare professionals in 2026. https://www.getcodeshealth.com/blogs/health-information-exchange-hie-statistics [CodesHealth]</w:t>
      </w:r>
    </w:p>
    <w:p>
      <w:pPr>
        <w:spacing w:after="160" w:line="276"/>
        <w:ind w:left="720" w:hanging="720"/>
      </w:pPr>
      <w:r>
        <w:t xml:space="preserve">Electronic Code of Federal Regulations. (n.d.). 45 CFR Part 171: Information blocking. https://www.ecfr.gov/current/title-45/subtitle-A/subchapter-D/part-171 [U.S. Government]</w:t>
      </w:r>
    </w:p>
    <w:p>
      <w:pPr>
        <w:spacing w:after="160" w:line="276"/>
        <w:ind w:left="720" w:hanging="720"/>
      </w:pPr>
      <w:r>
        <w:t xml:space="preserve">GovInfoSecurity. (2025). Lawmakers take another stab to improve patient ID matching. https://www.govinfosecurity.com/lawmakers-take-another-stab-to-improve-patient-id-matching-a-27703 [ISMG]</w:t>
      </w:r>
    </w:p>
    <w:p>
      <w:pPr>
        <w:spacing w:after="160" w:line="276"/>
        <w:ind w:left="720" w:hanging="720"/>
      </w:pPr>
      <w:r>
        <w:t xml:space="preserve">HIPAA Journal. (2025). Bipartisan senators reintroduce MATCH IT Act to streamline Americans' health care. https://www.hipaajournal.com/bipartisan-match-it-act-of-2025/ [HIPAA Journal]</w:t>
      </w:r>
    </w:p>
    <w:p>
      <w:pPr>
        <w:spacing w:after="160" w:line="276"/>
        <w:ind w:left="720" w:hanging="720"/>
      </w:pPr>
      <w:r>
        <w:t xml:space="preserve">U.S. Department of Health and Human Services. (2026). HHS expands secure access to health records through the TEFCA network, announces milestone of one billion health records exchanged. https://www.hhs.gov/press-room/onc-strengthens-tefca-one-billion-health-records-exchanged.html [HHS.gov]</w:t>
      </w:r>
    </w:p>
    <w:p>
      <w:pPr>
        <w:spacing w:after="160" w:line="276"/>
        <w:ind w:left="720" w:hanging="720"/>
      </w:pPr>
      <w:r>
        <w:t xml:space="preserve">Office of the National Coordinator for Health Information Technology. (2023). Health information exchange organization capabilities to support public health data exchange. https://healthit.gov/data/data-briefs/health-information-exchange-organization-capabilities-to-support-public-health-data-exchange/ [ONC / HealthIT.gov]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2026-08-13T02:07:45.175Z</dcterms:created>
  <dcterms:modified xsi:type="dcterms:W3CDTF">2026-08-13T02:07:45.186Z</dcterms:modified>
</cp:coreProperties>
</file>

<file path=docProps/custom.xml><?xml version="1.0" encoding="utf-8"?>
<Properties xmlns="http://schemas.openxmlformats.org/officeDocument/2006/custom-properties" xmlns:vt="http://schemas.openxmlformats.org/officeDocument/2006/docPropsVTypes"/>
</file>