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A3A5C"/>
          <w:sz w:val="40"/>
          <w:szCs w:val="40"/>
        </w:rPr>
        <w:t xml:space="preserve">Electric Fields and Electric Potentials</w:t>
      </w:r>
    </w:p>
    <w:p>
      <w:pPr>
        <w:spacing w:after="80" w:before="80"/>
        <w:jc w:val="center"/>
      </w:pPr>
      <w:r>
        <w:rPr>
          <w:rFonts w:ascii="Arial" w:cs="Arial" w:eastAsia="Arial" w:hAnsi="Arial"/>
          <w:color w:val="444444"/>
          <w:sz w:val="24"/>
          <w:szCs w:val="24"/>
        </w:rPr>
        <w:t xml:space="preserve">PHYS 102 - Laboratory Report</w:t>
      </w:r>
    </w:p>
    <w:p>
      <w:pPr>
        <w:spacing w:after="80" w:before="80"/>
        <w:jc w:val="center"/>
      </w:pPr>
      <w:r>
        <w:rPr>
          <w:rFonts w:ascii="Arial" w:cs="Arial" w:eastAsia="Arial" w:hAnsi="Arial"/>
          <w:i/>
          <w:iCs/>
          <w:sz w:val="22"/>
          <w:szCs w:val="22"/>
        </w:rPr>
        <w:t xml:space="preserve">Eamon Browne, Drishya Manda, Srinarayan Srikanth</w:t>
      </w:r>
    </w:p>
    <w:p>
      <w:pPr>
        <w:spacing w:after="480" w:before="80"/>
        <w:jc w:val="center"/>
      </w:pPr>
      <w:r>
        <w:rPr>
          <w:rFonts w:ascii="Arial" w:cs="Arial" w:eastAsia="Arial" w:hAnsi="Arial"/>
          <w:color w:val="666666"/>
          <w:sz w:val="22"/>
          <w:szCs w:val="22"/>
        </w:rPr>
        <w:t xml:space="preserve">April 14, 2026</w:t>
      </w:r>
    </w:p>
    <w:p>
      <w:pPr>
        <w:pStyle w:val="Heading1"/>
        <w:spacing w:after="120" w:before="360"/>
      </w:pPr>
      <w:r>
        <w:rPr>
          <w:rFonts w:ascii="Arial" w:cs="Arial" w:eastAsia="Arial" w:hAnsi="Arial"/>
        </w:rPr>
        <w:t xml:space="preserve">Introduction</w:t>
      </w:r>
    </w:p>
    <w:p>
      <w:pPr>
        <w:spacing w:after="120" w:before="80"/>
        <w:jc w:val="both"/>
      </w:pPr>
      <w:r>
        <w:rPr>
          <w:rFonts w:ascii="Arial" w:cs="Arial" w:eastAsia="Arial" w:hAnsi="Arial"/>
          <w:sz w:val="22"/>
          <w:szCs w:val="22"/>
        </w:rPr>
        <w:t xml:space="preserve">This experiment looked at how electric potential varies between conducting electrodes in two different configurations: two rings facing each other, and a ring paired with a flat strip. Using a digital multimeter and a shallow tray of distilled water as the conducting medium, we mapped equipotential lines at set voltage intervals and then drew the corresponding electric field lines from those maps.</w:t>
      </w:r>
    </w:p>
    <w:p>
      <w:pPr>
        <w:spacing w:after="60" w:before="60"/>
      </w:pPr>
      <w:r>
        <w:t xml:space="preserve"/>
      </w:r>
    </w:p>
    <w:p>
      <w:pPr>
        <w:spacing w:after="120" w:before="80"/>
        <w:jc w:val="both"/>
      </w:pPr>
      <w:r>
        <w:rPr>
          <w:rFonts w:ascii="Arial" w:cs="Arial" w:eastAsia="Arial" w:hAnsi="Arial"/>
          <w:sz w:val="22"/>
          <w:szCs w:val="22"/>
        </w:rPr>
        <w:t xml:space="preserve">An equipotential line connects all points that sit at the same electric potential. Because the electric field is the negative gradient of the potential, field lines always cross equipotentials at right angles. A charge moving along an equipotential does not gain or lose energy; moving between equipotentials means a net force acts on it. Both the electrodes themselves count as equipotentials, which is why no field exists inside a conductor.</w:t>
      </w:r>
    </w:p>
    <w:p>
      <w:pPr>
        <w:spacing w:after="60" w:before="60"/>
      </w:pPr>
      <w:r>
        <w:t xml:space="preserve"/>
      </w:r>
    </w:p>
    <w:p>
      <w:pPr>
        <w:spacing w:after="120" w:before="80"/>
        <w:jc w:val="both"/>
      </w:pPr>
      <w:r>
        <w:rPr>
          <w:rFonts w:ascii="Arial" w:cs="Arial" w:eastAsia="Arial" w:hAnsi="Arial"/>
          <w:sz w:val="22"/>
          <w:szCs w:val="22"/>
        </w:rPr>
        <w:t xml:space="preserve">The average electric field between two equipotential lines is:</w:t>
      </w:r>
    </w:p>
    <w:p>
      <w:pPr>
        <w:spacing w:after="120" w:before="120"/>
        <w:jc w:val="center"/>
      </w:pPr>
      <w:r>
        <w:rPr>
          <w:rFonts w:ascii="Arial" w:cs="Arial" w:eastAsia="Arial" w:hAnsi="Arial"/>
          <w:b/>
          <w:bCs/>
          <w:sz w:val="22"/>
          <w:szCs w:val="22"/>
        </w:rPr>
        <w:t xml:space="preserve">E_avg = -ΔV / Δr</w:t>
      </w:r>
    </w:p>
    <w:p>
      <w:pPr>
        <w:spacing w:after="120" w:before="80"/>
        <w:jc w:val="both"/>
      </w:pPr>
      <w:r>
        <w:rPr>
          <w:rFonts w:ascii="Arial" w:cs="Arial" w:eastAsia="Arial" w:hAnsi="Arial"/>
          <w:sz w:val="22"/>
          <w:szCs w:val="22"/>
        </w:rPr>
        <w:t xml:space="preserve">where ΔV is the potential difference and Δr is the measured distance between the two lines along the centerline. In this lab every adjacent pair of equipotentials differed by 2 V, so the field magnitude came down to how tightly the lines were packed.</w:t>
      </w:r>
    </w:p>
    <w:p>
      <w:pPr>
        <w:pStyle w:val="Heading1"/>
        <w:spacing w:after="120" w:before="360"/>
      </w:pPr>
      <w:r>
        <w:rPr>
          <w:rFonts w:ascii="Arial" w:cs="Arial" w:eastAsia="Arial" w:hAnsi="Arial"/>
        </w:rPr>
        <w:t xml:space="preserve">Methods</w:t>
      </w:r>
    </w:p>
    <w:p>
      <w:pPr>
        <w:spacing w:after="120" w:before="80"/>
        <w:jc w:val="both"/>
      </w:pPr>
      <w:r>
        <w:rPr>
          <w:rFonts w:ascii="Arial" w:cs="Arial" w:eastAsia="Arial" w:hAnsi="Arial"/>
          <w:sz w:val="22"/>
          <w:szCs w:val="22"/>
        </w:rPr>
        <w:t xml:space="preserve">Graph paper was taped to the underside of a shallow rectangular tray, which was then filled to about 1 cm depth with distilled water. A 10 V AC supply (stepped down from 120 V via a transformer and fine-tuned with a potentiometer) was connected across the two electrodes for each part of the experiment. Distilled water was used specifically to avoid electrode polarization that DC current would cause.</w:t>
      </w:r>
    </w:p>
    <w:p>
      <w:pPr>
        <w:spacing w:after="60" w:before="60"/>
      </w:pPr>
      <w:r>
        <w:t xml:space="preserve"/>
      </w:r>
    </w:p>
    <w:p>
      <w:pPr>
        <w:spacing w:after="120" w:before="80"/>
        <w:jc w:val="both"/>
      </w:pPr>
      <w:r>
        <w:rPr>
          <w:rFonts w:ascii="Arial" w:cs="Arial" w:eastAsia="Arial" w:hAnsi="Arial"/>
          <w:sz w:val="22"/>
          <w:szCs w:val="22"/>
        </w:rPr>
        <w:t xml:space="preserve">To find each equipotential line, the multimeter's LOW terminal was clipped to the 0 V electrode. The handheld probe, connected to the HIGH terminal, was moved through the water until the meter read the target voltage. Each coordinate was marked on a separate sheet of graph paper, and enough points were collected at each voltage to draw a continuous curve. Field lines were then sketched perpendicular to those curves, with arrows pointing from high to low potential.</w:t>
      </w:r>
    </w:p>
    <w:p>
      <w:pPr>
        <w:spacing w:after="60" w:before="60"/>
      </w:pPr>
      <w:r>
        <w:t xml:space="preserve"/>
      </w:r>
    </w:p>
    <w:p>
      <w:pPr>
        <w:pStyle w:val="Heading2"/>
        <w:spacing w:after="80" w:before="240"/>
      </w:pPr>
      <w:r>
        <w:rPr>
          <w:rFonts w:ascii="Arial" w:cs="Arial" w:eastAsia="Arial" w:hAnsi="Arial"/>
        </w:rPr>
        <w:t xml:space="preserve">Part A: Two Ring Electrode Configuration</w:t>
      </w:r>
    </w:p>
    <w:p>
      <w:pPr>
        <w:spacing w:after="120" w:before="80"/>
        <w:jc w:val="both"/>
      </w:pPr>
      <w:r>
        <w:rPr>
          <w:rFonts w:ascii="Arial" w:cs="Arial" w:eastAsia="Arial" w:hAnsi="Arial"/>
          <w:sz w:val="22"/>
          <w:szCs w:val="22"/>
        </w:rPr>
        <w:t xml:space="preserve">One ring was placed at (2, 9) and the other at (22, 9) on the grid. The left ring was connected to 10 V and the right to 0 V. Equipotentials were traced at 1, 3, 5, 7, and 9 V. The potential inside each ring was also recorded. Field lines were drawn along the axis connecting the two rings, and at 30 and 60 degrees off horizontal from each ring.</w:t>
      </w:r>
    </w:p>
    <w:p>
      <w:pPr>
        <w:spacing w:after="60" w:before="60"/>
      </w:pPr>
      <w:r>
        <w:t xml:space="preserve"/>
      </w:r>
    </w:p>
    <w:p>
      <w:pPr>
        <w:pStyle w:val="Heading2"/>
        <w:spacing w:after="80" w:before="240"/>
      </w:pPr>
      <w:r>
        <w:rPr>
          <w:rFonts w:ascii="Arial" w:cs="Arial" w:eastAsia="Arial" w:hAnsi="Arial"/>
        </w:rPr>
        <w:t xml:space="preserve">Part B: One Ring - One Strip Configuration</w:t>
      </w:r>
    </w:p>
    <w:p>
      <w:pPr>
        <w:spacing w:after="120" w:before="80"/>
        <w:jc w:val="both"/>
      </w:pPr>
      <w:r>
        <w:rPr>
          <w:rFonts w:ascii="Arial" w:cs="Arial" w:eastAsia="Arial" w:hAnsi="Arial"/>
          <w:sz w:val="22"/>
          <w:szCs w:val="22"/>
        </w:rPr>
        <w:t xml:space="preserve">The ring stayed at (2, 9) and a strip electrode was placed vertically at x = 22, centered at (22, 9). The strip was tied to 0 V and the ring to 10 V. The same mapping procedure followed: probe readings at 1, 3, 5, 7, and 9 V, with field lines drawn perpendicular to the resulting curves. This setup was intentionally asymmetric so we could see how a flat electrode changes the field compared to Part A.</w:t>
      </w:r>
    </w:p>
    <w:p>
      <w:pPr>
        <w:pStyle w:val="Heading1"/>
        <w:spacing w:after="120" w:before="360"/>
      </w:pPr>
      <w:r>
        <w:rPr>
          <w:rFonts w:ascii="Arial" w:cs="Arial" w:eastAsia="Arial" w:hAnsi="Arial"/>
        </w:rPr>
        <w:t xml:space="preserve">Results</w:t>
      </w:r>
    </w:p>
    <w:p>
      <w:pPr>
        <w:pStyle w:val="Heading2"/>
        <w:spacing w:after="80" w:before="240"/>
      </w:pPr>
      <w:r>
        <w:rPr>
          <w:rFonts w:ascii="Arial" w:cs="Arial" w:eastAsia="Arial" w:hAnsi="Arial"/>
        </w:rPr>
        <w:t xml:space="preserve">Part A: Two Ring Electrode Configuration</w:t>
      </w:r>
    </w:p>
    <w:p>
      <w:pPr>
        <w:spacing w:after="120" w:before="80"/>
        <w:jc w:val="both"/>
      </w:pPr>
      <w:r>
        <w:rPr>
          <w:rFonts w:ascii="Arial" w:cs="Arial" w:eastAsia="Arial" w:hAnsi="Arial"/>
          <w:sz w:val="22"/>
          <w:szCs w:val="22"/>
        </w:rPr>
        <w:t xml:space="preserve">The equipotential lines in the two-ring setup were bilaterally symmetric about the midpoint axis. Near each ring, the lines curved tightly and concentrically around the electrode. By the time they reached the center of the tray, around x = 12-13, the 5 V line was nearly straight and vertical. This is what you would expect from a symmetric dipole-like field.</w:t>
      </w:r>
    </w:p>
    <w:p>
      <w:pPr>
        <w:spacing w:after="60" w:before="60"/>
      </w:pPr>
      <w:r>
        <w:t xml:space="preserve"/>
      </w:r>
    </w:p>
    <w:p>
      <w:pPr>
        <w:spacing w:after="120" w:before="80"/>
        <w:jc w:val="both"/>
      </w:pPr>
      <w:r>
        <w:rPr>
          <w:rFonts w:ascii="Arial" w:cs="Arial" w:eastAsia="Arial" w:hAnsi="Arial"/>
          <w:sz w:val="22"/>
          <w:szCs w:val="22"/>
        </w:rPr>
        <w:t xml:space="preserve">Electric field magnitudes along the centerline (y = 9):</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Equipotential Pair</w:t>
            </w:r>
          </w:p>
        </w:tc>
        <w:tc>
          <w:tcPr>
            <w:tcW w:type="dxa" w:w="1872"/>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ΔV (V)</w:t>
            </w:r>
          </w:p>
        </w:tc>
        <w:tc>
          <w:tcPr>
            <w:tcW w:type="dxa" w:w="1872"/>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Δr (m)</w:t>
            </w:r>
          </w:p>
        </w:tc>
        <w:tc>
          <w:tcPr>
            <w:tcW w:type="dxa" w:w="1872"/>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E_avg (N/C)</w:t>
            </w:r>
          </w:p>
        </w:tc>
        <w:tc>
          <w:tcPr>
            <w:tcW w:type="dxa" w:w="1872"/>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Direction</w:t>
            </w:r>
          </w:p>
        </w:tc>
      </w:tr>
      <w:tr>
        <w:tc>
          <w:tcPr>
            <w:tcW w:type="dxa" w:w="1872"/>
            <w:tcBorders>
              <w:top w:val="single" w:color="AAAAAA" w:sz="1"/>
              <w:left w:val="single" w:color="AAAAAA" w:sz="1"/>
              <w:bottom w:val="single" w:color="AAAAAA" w:sz="1"/>
              <w:right w:val="single" w:color="AAAAAA" w:sz="1"/>
            </w:tcBorders>
            <w:shd w:fill="F4F6F8" w:val="clear"/>
            <w:tcMar>
              <w:top w:type="dxa" w:w="80"/>
              <w:left w:type="dxa" w:w="120"/>
              <w:bottom w:type="dxa" w:w="80"/>
              <w:right w:type="dxa" w:w="120"/>
            </w:tcMar>
            <w:vAlign w:val="center"/>
          </w:tcPr>
          <w:p>
            <w:pPr>
              <w:jc w:val="center"/>
            </w:pPr>
            <w:r>
              <w:rPr>
                <w:rFonts w:ascii="Arial" w:cs="Arial" w:eastAsia="Arial" w:hAnsi="Arial"/>
                <w:sz w:val="20"/>
                <w:szCs w:val="20"/>
              </w:rPr>
              <w:t xml:space="preserve">3 V to 5 V</w:t>
            </w:r>
          </w:p>
        </w:tc>
        <w:tc>
          <w:tcPr>
            <w:tcW w:type="dxa" w:w="1872"/>
            <w:tcBorders>
              <w:top w:val="single" w:color="AAAAAA" w:sz="1"/>
              <w:left w:val="single" w:color="AAAAAA" w:sz="1"/>
              <w:bottom w:val="single" w:color="AAAAAA" w:sz="1"/>
              <w:right w:val="single" w:color="AAAAAA" w:sz="1"/>
            </w:tcBorders>
            <w:shd w:fill="F4F6F8" w:val="clear"/>
            <w:tcMar>
              <w:top w:type="dxa" w:w="80"/>
              <w:left w:type="dxa" w:w="120"/>
              <w:bottom w:type="dxa" w:w="80"/>
              <w:right w:type="dxa" w:w="120"/>
            </w:tcMar>
            <w:vAlign w:val="center"/>
          </w:tcPr>
          <w:p>
            <w:pPr>
              <w:jc w:val="center"/>
            </w:pPr>
            <w:r>
              <w:rPr>
                <w:rFonts w:ascii="Arial" w:cs="Arial" w:eastAsia="Arial" w:hAnsi="Arial"/>
                <w:sz w:val="20"/>
                <w:szCs w:val="20"/>
              </w:rPr>
              <w:t xml:space="preserve">2</w:t>
            </w:r>
          </w:p>
        </w:tc>
        <w:tc>
          <w:tcPr>
            <w:tcW w:type="dxa" w:w="1872"/>
            <w:tcBorders>
              <w:top w:val="single" w:color="AAAAAA" w:sz="1"/>
              <w:left w:val="single" w:color="AAAAAA" w:sz="1"/>
              <w:bottom w:val="single" w:color="AAAAAA" w:sz="1"/>
              <w:right w:val="single" w:color="AAAAAA" w:sz="1"/>
            </w:tcBorders>
            <w:shd w:fill="F4F6F8" w:val="clear"/>
            <w:tcMar>
              <w:top w:type="dxa" w:w="80"/>
              <w:left w:type="dxa" w:w="120"/>
              <w:bottom w:type="dxa" w:w="80"/>
              <w:right w:type="dxa" w:w="120"/>
            </w:tcMar>
            <w:vAlign w:val="center"/>
          </w:tcPr>
          <w:p>
            <w:pPr>
              <w:jc w:val="center"/>
            </w:pPr>
            <w:r>
              <w:rPr>
                <w:rFonts w:ascii="Arial" w:cs="Arial" w:eastAsia="Arial" w:hAnsi="Arial"/>
                <w:sz w:val="20"/>
                <w:szCs w:val="20"/>
              </w:rPr>
              <w:t xml:space="preserve">0.07</w:t>
            </w:r>
          </w:p>
        </w:tc>
        <w:tc>
          <w:tcPr>
            <w:tcW w:type="dxa" w:w="1872"/>
            <w:tcBorders>
              <w:top w:val="single" w:color="AAAAAA" w:sz="1"/>
              <w:left w:val="single" w:color="AAAAAA" w:sz="1"/>
              <w:bottom w:val="single" w:color="AAAAAA" w:sz="1"/>
              <w:right w:val="single" w:color="AAAAAA" w:sz="1"/>
            </w:tcBorders>
            <w:shd w:fill="F4F6F8" w:val="clear"/>
            <w:tcMar>
              <w:top w:type="dxa" w:w="80"/>
              <w:left w:type="dxa" w:w="120"/>
              <w:bottom w:type="dxa" w:w="80"/>
              <w:right w:type="dxa" w:w="120"/>
            </w:tcMar>
            <w:vAlign w:val="center"/>
          </w:tcPr>
          <w:p>
            <w:pPr>
              <w:jc w:val="center"/>
            </w:pPr>
            <w:r>
              <w:rPr>
                <w:rFonts w:ascii="Arial" w:cs="Arial" w:eastAsia="Arial" w:hAnsi="Arial"/>
                <w:sz w:val="20"/>
                <w:szCs w:val="20"/>
              </w:rPr>
              <w:t xml:space="preserve">28.6</w:t>
            </w:r>
          </w:p>
        </w:tc>
        <w:tc>
          <w:tcPr>
            <w:tcW w:type="dxa" w:w="1872"/>
            <w:tcBorders>
              <w:top w:val="single" w:color="AAAAAA" w:sz="1"/>
              <w:left w:val="single" w:color="AAAAAA" w:sz="1"/>
              <w:bottom w:val="single" w:color="AAAAAA" w:sz="1"/>
              <w:right w:val="single" w:color="AAAAAA" w:sz="1"/>
            </w:tcBorders>
            <w:shd w:fill="F4F6F8" w:val="clear"/>
            <w:tcMar>
              <w:top w:type="dxa" w:w="80"/>
              <w:left w:type="dxa" w:w="120"/>
              <w:bottom w:type="dxa" w:w="80"/>
              <w:right w:type="dxa" w:w="120"/>
            </w:tcMar>
            <w:vAlign w:val="center"/>
          </w:tcPr>
          <w:p>
            <w:pPr>
              <w:jc w:val="center"/>
            </w:pPr>
            <w:r>
              <w:rPr>
                <w:rFonts w:ascii="Arial" w:cs="Arial" w:eastAsia="Arial" w:hAnsi="Arial"/>
                <w:sz w:val="20"/>
                <w:szCs w:val="20"/>
              </w:rPr>
              <w:t xml:space="preserve">Toward 0 V ring</w:t>
            </w:r>
          </w:p>
        </w:tc>
      </w:tr>
      <w:tr>
        <w:tc>
          <w:tcPr>
            <w:tcW w:type="dxa" w:w="187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1 V to 3 V</w:t>
            </w:r>
          </w:p>
        </w:tc>
        <w:tc>
          <w:tcPr>
            <w:tcW w:type="dxa" w:w="187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2</w:t>
            </w:r>
          </w:p>
        </w:tc>
        <w:tc>
          <w:tcPr>
            <w:tcW w:type="dxa" w:w="187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0.05</w:t>
            </w:r>
          </w:p>
        </w:tc>
        <w:tc>
          <w:tcPr>
            <w:tcW w:type="dxa" w:w="187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40.0</w:t>
            </w:r>
          </w:p>
        </w:tc>
        <w:tc>
          <w:tcPr>
            <w:tcW w:type="dxa" w:w="187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Toward 0 V ring</w:t>
            </w:r>
          </w:p>
        </w:tc>
      </w:tr>
      <w:tr>
        <w:tc>
          <w:tcPr>
            <w:tcW w:type="dxa" w:w="1872"/>
            <w:tcBorders>
              <w:top w:val="single" w:color="AAAAAA" w:sz="1"/>
              <w:left w:val="single" w:color="AAAAAA" w:sz="1"/>
              <w:bottom w:val="single" w:color="AAAAAA" w:sz="1"/>
              <w:right w:val="single" w:color="AAAAAA" w:sz="1"/>
            </w:tcBorders>
            <w:shd w:fill="F4F6F8" w:val="clear"/>
            <w:tcMar>
              <w:top w:type="dxa" w:w="80"/>
              <w:left w:type="dxa" w:w="120"/>
              <w:bottom w:type="dxa" w:w="80"/>
              <w:right w:type="dxa" w:w="120"/>
            </w:tcMar>
            <w:vAlign w:val="center"/>
          </w:tcPr>
          <w:p>
            <w:pPr>
              <w:jc w:val="center"/>
            </w:pPr>
            <w:r>
              <w:rPr>
                <w:rFonts w:ascii="Arial" w:cs="Arial" w:eastAsia="Arial" w:hAnsi="Arial"/>
                <w:sz w:val="20"/>
                <w:szCs w:val="20"/>
              </w:rPr>
              <w:t xml:space="preserve">Coord. (13, 7)</w:t>
            </w:r>
          </w:p>
        </w:tc>
        <w:tc>
          <w:tcPr>
            <w:tcW w:type="dxa" w:w="1872"/>
            <w:tcBorders>
              <w:top w:val="single" w:color="AAAAAA" w:sz="1"/>
              <w:left w:val="single" w:color="AAAAAA" w:sz="1"/>
              <w:bottom w:val="single" w:color="AAAAAA" w:sz="1"/>
              <w:right w:val="single" w:color="AAAAAA" w:sz="1"/>
            </w:tcBorders>
            <w:shd w:fill="F4F6F8" w:val="clear"/>
            <w:tcMar>
              <w:top w:type="dxa" w:w="80"/>
              <w:left w:type="dxa" w:w="120"/>
              <w:bottom w:type="dxa" w:w="80"/>
              <w:right w:type="dxa" w:w="120"/>
            </w:tcMar>
            <w:vAlign w:val="center"/>
          </w:tcPr>
          <w:p>
            <w:pPr>
              <w:jc w:val="center"/>
            </w:pPr>
            <w:r>
              <w:rPr>
                <w:rFonts w:ascii="Arial" w:cs="Arial" w:eastAsia="Arial" w:hAnsi="Arial"/>
                <w:sz w:val="20"/>
                <w:szCs w:val="20"/>
              </w:rPr>
              <w:t xml:space="preserve">4</w:t>
            </w:r>
          </w:p>
        </w:tc>
        <w:tc>
          <w:tcPr>
            <w:tcW w:type="dxa" w:w="1872"/>
            <w:tcBorders>
              <w:top w:val="single" w:color="AAAAAA" w:sz="1"/>
              <w:left w:val="single" w:color="AAAAAA" w:sz="1"/>
              <w:bottom w:val="single" w:color="AAAAAA" w:sz="1"/>
              <w:right w:val="single" w:color="AAAAAA" w:sz="1"/>
            </w:tcBorders>
            <w:shd w:fill="F4F6F8" w:val="clear"/>
            <w:tcMar>
              <w:top w:type="dxa" w:w="80"/>
              <w:left w:type="dxa" w:w="120"/>
              <w:bottom w:type="dxa" w:w="80"/>
              <w:right w:type="dxa" w:w="120"/>
            </w:tcMar>
            <w:vAlign w:val="center"/>
          </w:tcPr>
          <w:p>
            <w:pPr>
              <w:jc w:val="center"/>
            </w:pPr>
            <w:r>
              <w:rPr>
                <w:rFonts w:ascii="Arial" w:cs="Arial" w:eastAsia="Arial" w:hAnsi="Arial"/>
                <w:sz w:val="20"/>
                <w:szCs w:val="20"/>
              </w:rPr>
              <w:t xml:space="preserve">~1.0</w:t>
            </w:r>
          </w:p>
        </w:tc>
        <w:tc>
          <w:tcPr>
            <w:tcW w:type="dxa" w:w="1872"/>
            <w:tcBorders>
              <w:top w:val="single" w:color="AAAAAA" w:sz="1"/>
              <w:left w:val="single" w:color="AAAAAA" w:sz="1"/>
              <w:bottom w:val="single" w:color="AAAAAA" w:sz="1"/>
              <w:right w:val="single" w:color="AAAAAA" w:sz="1"/>
            </w:tcBorders>
            <w:shd w:fill="F4F6F8" w:val="clear"/>
            <w:tcMar>
              <w:top w:type="dxa" w:w="80"/>
              <w:left w:type="dxa" w:w="120"/>
              <w:bottom w:type="dxa" w:w="80"/>
              <w:right w:type="dxa" w:w="120"/>
            </w:tcMar>
            <w:vAlign w:val="center"/>
          </w:tcPr>
          <w:p>
            <w:pPr>
              <w:jc w:val="center"/>
            </w:pPr>
            <w:r>
              <w:rPr>
                <w:rFonts w:ascii="Arial" w:cs="Arial" w:eastAsia="Arial" w:hAnsi="Arial"/>
                <w:sz w:val="20"/>
                <w:szCs w:val="20"/>
              </w:rPr>
              <w:t xml:space="preserve">4.0</w:t>
            </w:r>
          </w:p>
        </w:tc>
        <w:tc>
          <w:tcPr>
            <w:tcW w:type="dxa" w:w="1872"/>
            <w:tcBorders>
              <w:top w:val="single" w:color="AAAAAA" w:sz="1"/>
              <w:left w:val="single" w:color="AAAAAA" w:sz="1"/>
              <w:bottom w:val="single" w:color="AAAAAA" w:sz="1"/>
              <w:right w:val="single" w:color="AAAAAA" w:sz="1"/>
            </w:tcBorders>
            <w:shd w:fill="F4F6F8" w:val="clear"/>
            <w:tcMar>
              <w:top w:type="dxa" w:w="80"/>
              <w:left w:type="dxa" w:w="120"/>
              <w:bottom w:type="dxa" w:w="80"/>
              <w:right w:type="dxa" w:w="120"/>
            </w:tcMar>
            <w:vAlign w:val="center"/>
          </w:tcPr>
          <w:p>
            <w:pPr>
              <w:jc w:val="center"/>
            </w:pPr>
            <w:r>
              <w:rPr>
                <w:rFonts w:ascii="Arial" w:cs="Arial" w:eastAsia="Arial" w:hAnsi="Arial"/>
                <w:sz w:val="20"/>
                <w:szCs w:val="20"/>
              </w:rPr>
              <w:t xml:space="preserve">Toward 0 V electrode</w:t>
            </w:r>
          </w:p>
        </w:tc>
      </w:tr>
    </w:tbl>
    <w:p>
      <w:pPr>
        <w:spacing w:after="60" w:before="60"/>
      </w:pPr>
      <w:r>
        <w:t xml:space="preserve"/>
      </w:r>
    </w:p>
    <w:p>
      <w:pPr>
        <w:spacing w:after="120" w:before="80"/>
        <w:jc w:val="both"/>
      </w:pPr>
      <w:r>
        <w:rPr>
          <w:rFonts w:ascii="Arial" w:cs="Arial" w:eastAsia="Arial" w:hAnsi="Arial"/>
          <w:sz w:val="22"/>
          <w:szCs w:val="22"/>
        </w:rPr>
        <w:t xml:space="preserve">The lines were most tightly packed near the center between the two rings, which is where the field was strongest. The 5 V equipotential ran almost exactly through the midpoint, consistent with the symmetric geometry. Inside both ring electrodes the potential was constant and the field was zero, as expected for a conductor.</w:t>
      </w:r>
    </w:p>
    <w:p>
      <w:pPr>
        <w:spacing w:after="60" w:before="60"/>
      </w:pPr>
      <w:r>
        <w:t xml:space="preserve"/>
      </w:r>
    </w:p>
    <w:p>
      <w:pPr>
        <w:pStyle w:val="Heading2"/>
        <w:spacing w:after="80" w:before="240"/>
      </w:pPr>
      <w:r>
        <w:rPr>
          <w:rFonts w:ascii="Arial" w:cs="Arial" w:eastAsia="Arial" w:hAnsi="Arial"/>
        </w:rPr>
        <w:t xml:space="preserve">Part B: One Ring - One Strip Configuration</w:t>
      </w:r>
    </w:p>
    <w:p>
      <w:pPr>
        <w:spacing w:after="120" w:before="80"/>
        <w:jc w:val="both"/>
      </w:pPr>
      <w:r>
        <w:rPr>
          <w:rFonts w:ascii="Arial" w:cs="Arial" w:eastAsia="Arial" w:hAnsi="Arial"/>
          <w:sz w:val="22"/>
          <w:szCs w:val="22"/>
        </w:rPr>
        <w:t xml:space="preserve">Replacing one ring with a strip broke the symmetry of the field map considerably. Near the ring, equipotentials were tight and circular. Near the strip, they flattened out and ran roughly parallel to the electrode, resembling the pattern you see between parallel plates.</w:t>
      </w:r>
    </w:p>
    <w:p>
      <w:pPr>
        <w:spacing w:after="60" w:before="60"/>
      </w:pPr>
      <w:r>
        <w:t xml:space="preserve"/>
      </w:r>
    </w:p>
    <w:p>
      <w:pPr>
        <w:spacing w:after="120" w:before="80"/>
        <w:jc w:val="both"/>
      </w:pPr>
      <w:r>
        <w:rPr>
          <w:rFonts w:ascii="Arial" w:cs="Arial" w:eastAsia="Arial" w:hAnsi="Arial"/>
          <w:sz w:val="22"/>
          <w:szCs w:val="22"/>
        </w:rPr>
        <w:t xml:space="preserve">Electric field magnitudes along the centerline: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Equipotential Pair</w:t>
            </w:r>
          </w:p>
        </w:tc>
        <w:tc>
          <w:tcPr>
            <w:tcW w:type="dxa" w:w="1872"/>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ΔV (V)</w:t>
            </w:r>
          </w:p>
        </w:tc>
        <w:tc>
          <w:tcPr>
            <w:tcW w:type="dxa" w:w="1872"/>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Δr (m)</w:t>
            </w:r>
          </w:p>
        </w:tc>
        <w:tc>
          <w:tcPr>
            <w:tcW w:type="dxa" w:w="1872"/>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E_avg (N/C)</w:t>
            </w:r>
          </w:p>
        </w:tc>
        <w:tc>
          <w:tcPr>
            <w:tcW w:type="dxa" w:w="1872"/>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Direction</w:t>
            </w:r>
          </w:p>
        </w:tc>
      </w:tr>
      <w:tr>
        <w:tc>
          <w:tcPr>
            <w:tcW w:type="dxa" w:w="1872"/>
            <w:tcBorders>
              <w:top w:val="single" w:color="AAAAAA" w:sz="1"/>
              <w:left w:val="single" w:color="AAAAAA" w:sz="1"/>
              <w:bottom w:val="single" w:color="AAAAAA" w:sz="1"/>
              <w:right w:val="single" w:color="AAAAAA" w:sz="1"/>
            </w:tcBorders>
            <w:shd w:fill="F4F6F8" w:val="clear"/>
            <w:tcMar>
              <w:top w:type="dxa" w:w="80"/>
              <w:left w:type="dxa" w:w="120"/>
              <w:bottom w:type="dxa" w:w="80"/>
              <w:right w:type="dxa" w:w="120"/>
            </w:tcMar>
            <w:vAlign w:val="center"/>
          </w:tcPr>
          <w:p>
            <w:pPr>
              <w:jc w:val="center"/>
            </w:pPr>
            <w:r>
              <w:rPr>
                <w:rFonts w:ascii="Arial" w:cs="Arial" w:eastAsia="Arial" w:hAnsi="Arial"/>
                <w:sz w:val="20"/>
                <w:szCs w:val="20"/>
              </w:rPr>
              <w:t xml:space="preserve">3 V to 5 V</w:t>
            </w:r>
          </w:p>
        </w:tc>
        <w:tc>
          <w:tcPr>
            <w:tcW w:type="dxa" w:w="1872"/>
            <w:tcBorders>
              <w:top w:val="single" w:color="AAAAAA" w:sz="1"/>
              <w:left w:val="single" w:color="AAAAAA" w:sz="1"/>
              <w:bottom w:val="single" w:color="AAAAAA" w:sz="1"/>
              <w:right w:val="single" w:color="AAAAAA" w:sz="1"/>
            </w:tcBorders>
            <w:shd w:fill="F4F6F8" w:val="clear"/>
            <w:tcMar>
              <w:top w:type="dxa" w:w="80"/>
              <w:left w:type="dxa" w:w="120"/>
              <w:bottom w:type="dxa" w:w="80"/>
              <w:right w:type="dxa" w:w="120"/>
            </w:tcMar>
            <w:vAlign w:val="center"/>
          </w:tcPr>
          <w:p>
            <w:pPr>
              <w:jc w:val="center"/>
            </w:pPr>
            <w:r>
              <w:rPr>
                <w:rFonts w:ascii="Arial" w:cs="Arial" w:eastAsia="Arial" w:hAnsi="Arial"/>
                <w:sz w:val="20"/>
                <w:szCs w:val="20"/>
              </w:rPr>
              <w:t xml:space="preserve">2</w:t>
            </w:r>
          </w:p>
        </w:tc>
        <w:tc>
          <w:tcPr>
            <w:tcW w:type="dxa" w:w="1872"/>
            <w:tcBorders>
              <w:top w:val="single" w:color="AAAAAA" w:sz="1"/>
              <w:left w:val="single" w:color="AAAAAA" w:sz="1"/>
              <w:bottom w:val="single" w:color="AAAAAA" w:sz="1"/>
              <w:right w:val="single" w:color="AAAAAA" w:sz="1"/>
            </w:tcBorders>
            <w:shd w:fill="F4F6F8" w:val="clear"/>
            <w:tcMar>
              <w:top w:type="dxa" w:w="80"/>
              <w:left w:type="dxa" w:w="120"/>
              <w:bottom w:type="dxa" w:w="80"/>
              <w:right w:type="dxa" w:w="120"/>
            </w:tcMar>
            <w:vAlign w:val="center"/>
          </w:tcPr>
          <w:p>
            <w:pPr>
              <w:jc w:val="center"/>
            </w:pPr>
            <w:r>
              <w:rPr>
                <w:rFonts w:ascii="Arial" w:cs="Arial" w:eastAsia="Arial" w:hAnsi="Arial"/>
                <w:sz w:val="20"/>
                <w:szCs w:val="20"/>
              </w:rPr>
              <w:t xml:space="preserve">0.07</w:t>
            </w:r>
          </w:p>
        </w:tc>
        <w:tc>
          <w:tcPr>
            <w:tcW w:type="dxa" w:w="1872"/>
            <w:tcBorders>
              <w:top w:val="single" w:color="AAAAAA" w:sz="1"/>
              <w:left w:val="single" w:color="AAAAAA" w:sz="1"/>
              <w:bottom w:val="single" w:color="AAAAAA" w:sz="1"/>
              <w:right w:val="single" w:color="AAAAAA" w:sz="1"/>
            </w:tcBorders>
            <w:shd w:fill="F4F6F8" w:val="clear"/>
            <w:tcMar>
              <w:top w:type="dxa" w:w="80"/>
              <w:left w:type="dxa" w:w="120"/>
              <w:bottom w:type="dxa" w:w="80"/>
              <w:right w:type="dxa" w:w="120"/>
            </w:tcMar>
            <w:vAlign w:val="center"/>
          </w:tcPr>
          <w:p>
            <w:pPr>
              <w:jc w:val="center"/>
            </w:pPr>
            <w:r>
              <w:rPr>
                <w:rFonts w:ascii="Arial" w:cs="Arial" w:eastAsia="Arial" w:hAnsi="Arial"/>
                <w:sz w:val="20"/>
                <w:szCs w:val="20"/>
              </w:rPr>
              <w:t xml:space="preserve">28.6</w:t>
            </w:r>
          </w:p>
        </w:tc>
        <w:tc>
          <w:tcPr>
            <w:tcW w:type="dxa" w:w="1872"/>
            <w:tcBorders>
              <w:top w:val="single" w:color="AAAAAA" w:sz="1"/>
              <w:left w:val="single" w:color="AAAAAA" w:sz="1"/>
              <w:bottom w:val="single" w:color="AAAAAA" w:sz="1"/>
              <w:right w:val="single" w:color="AAAAAA" w:sz="1"/>
            </w:tcBorders>
            <w:shd w:fill="F4F6F8" w:val="clear"/>
            <w:tcMar>
              <w:top w:type="dxa" w:w="80"/>
              <w:left w:type="dxa" w:w="120"/>
              <w:bottom w:type="dxa" w:w="80"/>
              <w:right w:type="dxa" w:w="120"/>
            </w:tcMar>
            <w:vAlign w:val="center"/>
          </w:tcPr>
          <w:p>
            <w:pPr>
              <w:jc w:val="center"/>
            </w:pPr>
            <w:r>
              <w:rPr>
                <w:rFonts w:ascii="Arial" w:cs="Arial" w:eastAsia="Arial" w:hAnsi="Arial"/>
                <w:sz w:val="20"/>
                <w:szCs w:val="20"/>
              </w:rPr>
              <w:t xml:space="preserve">Toward strip (0 V)</w:t>
            </w:r>
          </w:p>
        </w:tc>
      </w:tr>
      <w:tr>
        <w:tc>
          <w:tcPr>
            <w:tcW w:type="dxa" w:w="187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1 V to 3 V</w:t>
            </w:r>
          </w:p>
        </w:tc>
        <w:tc>
          <w:tcPr>
            <w:tcW w:type="dxa" w:w="187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2</w:t>
            </w:r>
          </w:p>
        </w:tc>
        <w:tc>
          <w:tcPr>
            <w:tcW w:type="dxa" w:w="187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0.08</w:t>
            </w:r>
          </w:p>
        </w:tc>
        <w:tc>
          <w:tcPr>
            <w:tcW w:type="dxa" w:w="187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25.0</w:t>
            </w:r>
          </w:p>
        </w:tc>
        <w:tc>
          <w:tcPr>
            <w:tcW w:type="dxa" w:w="187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Toward strip (0 V)</w:t>
            </w:r>
          </w:p>
        </w:tc>
      </w:tr>
      <w:tr>
        <w:tc>
          <w:tcPr>
            <w:tcW w:type="dxa" w:w="1872"/>
            <w:tcBorders>
              <w:top w:val="single" w:color="AAAAAA" w:sz="1"/>
              <w:left w:val="single" w:color="AAAAAA" w:sz="1"/>
              <w:bottom w:val="single" w:color="AAAAAA" w:sz="1"/>
              <w:right w:val="single" w:color="AAAAAA" w:sz="1"/>
            </w:tcBorders>
            <w:shd w:fill="F4F6F8" w:val="clear"/>
            <w:tcMar>
              <w:top w:type="dxa" w:w="80"/>
              <w:left w:type="dxa" w:w="120"/>
              <w:bottom w:type="dxa" w:w="80"/>
              <w:right w:type="dxa" w:w="120"/>
            </w:tcMar>
            <w:vAlign w:val="center"/>
          </w:tcPr>
          <w:p>
            <w:pPr>
              <w:jc w:val="center"/>
            </w:pPr>
            <w:r>
              <w:rPr>
                <w:rFonts w:ascii="Arial" w:cs="Arial" w:eastAsia="Arial" w:hAnsi="Arial"/>
                <w:sz w:val="20"/>
                <w:szCs w:val="20"/>
              </w:rPr>
              <w:t xml:space="preserve">7 V to 9 V</w:t>
            </w:r>
          </w:p>
        </w:tc>
        <w:tc>
          <w:tcPr>
            <w:tcW w:type="dxa" w:w="1872"/>
            <w:tcBorders>
              <w:top w:val="single" w:color="AAAAAA" w:sz="1"/>
              <w:left w:val="single" w:color="AAAAAA" w:sz="1"/>
              <w:bottom w:val="single" w:color="AAAAAA" w:sz="1"/>
              <w:right w:val="single" w:color="AAAAAA" w:sz="1"/>
            </w:tcBorders>
            <w:shd w:fill="F4F6F8" w:val="clear"/>
            <w:tcMar>
              <w:top w:type="dxa" w:w="80"/>
              <w:left w:type="dxa" w:w="120"/>
              <w:bottom w:type="dxa" w:w="80"/>
              <w:right w:type="dxa" w:w="120"/>
            </w:tcMar>
            <w:vAlign w:val="center"/>
          </w:tcPr>
          <w:p>
            <w:pPr>
              <w:jc w:val="center"/>
            </w:pPr>
            <w:r>
              <w:rPr>
                <w:rFonts w:ascii="Arial" w:cs="Arial" w:eastAsia="Arial" w:hAnsi="Arial"/>
                <w:sz w:val="20"/>
                <w:szCs w:val="20"/>
              </w:rPr>
              <w:t xml:space="preserve">2</w:t>
            </w:r>
          </w:p>
        </w:tc>
        <w:tc>
          <w:tcPr>
            <w:tcW w:type="dxa" w:w="1872"/>
            <w:tcBorders>
              <w:top w:val="single" w:color="AAAAAA" w:sz="1"/>
              <w:left w:val="single" w:color="AAAAAA" w:sz="1"/>
              <w:bottom w:val="single" w:color="AAAAAA" w:sz="1"/>
              <w:right w:val="single" w:color="AAAAAA" w:sz="1"/>
            </w:tcBorders>
            <w:shd w:fill="F4F6F8" w:val="clear"/>
            <w:tcMar>
              <w:top w:type="dxa" w:w="80"/>
              <w:left w:type="dxa" w:w="120"/>
              <w:bottom w:type="dxa" w:w="80"/>
              <w:right w:type="dxa" w:w="120"/>
            </w:tcMar>
            <w:vAlign w:val="center"/>
          </w:tcPr>
          <w:p>
            <w:pPr>
              <w:jc w:val="center"/>
            </w:pPr>
            <w:r>
              <w:rPr>
                <w:rFonts w:ascii="Arial" w:cs="Arial" w:eastAsia="Arial" w:hAnsi="Arial"/>
                <w:sz w:val="20"/>
                <w:szCs w:val="20"/>
              </w:rPr>
              <w:t xml:space="preserve">0.02</w:t>
            </w:r>
          </w:p>
        </w:tc>
        <w:tc>
          <w:tcPr>
            <w:tcW w:type="dxa" w:w="1872"/>
            <w:tcBorders>
              <w:top w:val="single" w:color="AAAAAA" w:sz="1"/>
              <w:left w:val="single" w:color="AAAAAA" w:sz="1"/>
              <w:bottom w:val="single" w:color="AAAAAA" w:sz="1"/>
              <w:right w:val="single" w:color="AAAAAA" w:sz="1"/>
            </w:tcBorders>
            <w:shd w:fill="F4F6F8" w:val="clear"/>
            <w:tcMar>
              <w:top w:type="dxa" w:w="80"/>
              <w:left w:type="dxa" w:w="120"/>
              <w:bottom w:type="dxa" w:w="80"/>
              <w:right w:type="dxa" w:w="120"/>
            </w:tcMar>
            <w:vAlign w:val="center"/>
          </w:tcPr>
          <w:p>
            <w:pPr>
              <w:jc w:val="center"/>
            </w:pPr>
            <w:r>
              <w:rPr>
                <w:rFonts w:ascii="Arial" w:cs="Arial" w:eastAsia="Arial" w:hAnsi="Arial"/>
                <w:sz w:val="20"/>
                <w:szCs w:val="20"/>
              </w:rPr>
              <w:t xml:space="preserve">100.0</w:t>
            </w:r>
          </w:p>
        </w:tc>
        <w:tc>
          <w:tcPr>
            <w:tcW w:type="dxa" w:w="1872"/>
            <w:tcBorders>
              <w:top w:val="single" w:color="AAAAAA" w:sz="1"/>
              <w:left w:val="single" w:color="AAAAAA" w:sz="1"/>
              <w:bottom w:val="single" w:color="AAAAAA" w:sz="1"/>
              <w:right w:val="single" w:color="AAAAAA" w:sz="1"/>
            </w:tcBorders>
            <w:shd w:fill="F4F6F8" w:val="clear"/>
            <w:tcMar>
              <w:top w:type="dxa" w:w="80"/>
              <w:left w:type="dxa" w:w="120"/>
              <w:bottom w:type="dxa" w:w="80"/>
              <w:right w:type="dxa" w:w="120"/>
            </w:tcMar>
            <w:vAlign w:val="center"/>
          </w:tcPr>
          <w:p>
            <w:pPr>
              <w:jc w:val="center"/>
            </w:pPr>
            <w:r>
              <w:rPr>
                <w:rFonts w:ascii="Arial" w:cs="Arial" w:eastAsia="Arial" w:hAnsi="Arial"/>
                <w:sz w:val="20"/>
                <w:szCs w:val="20"/>
              </w:rPr>
              <w:t xml:space="preserve">Toward strip (0 V)</w:t>
            </w:r>
          </w:p>
        </w:tc>
      </w:tr>
      <w:tr>
        <w:tc>
          <w:tcPr>
            <w:tcW w:type="dxa" w:w="187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Coord. (13, 7)</w:t>
            </w:r>
          </w:p>
        </w:tc>
        <w:tc>
          <w:tcPr>
            <w:tcW w:type="dxa" w:w="187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~0.07</w:t>
            </w:r>
          </w:p>
        </w:tc>
        <w:tc>
          <w:tcPr>
            <w:tcW w:type="dxa" w:w="187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0.02</w:t>
            </w:r>
          </w:p>
        </w:tc>
        <w:tc>
          <w:tcPr>
            <w:tcW w:type="dxa" w:w="187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3.5</w:t>
            </w:r>
          </w:p>
        </w:tc>
        <w:tc>
          <w:tcPr>
            <w:tcW w:type="dxa" w:w="187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Toward strip (0 V)</w:t>
            </w:r>
          </w:p>
        </w:tc>
      </w:tr>
    </w:tbl>
    <w:p>
      <w:pPr>
        <w:spacing w:after="60" w:before="60"/>
      </w:pPr>
      <w:r>
        <w:t xml:space="preserve"/>
      </w:r>
    </w:p>
    <w:p>
      <w:pPr>
        <w:spacing w:after="120" w:before="80"/>
        <w:jc w:val="both"/>
      </w:pPr>
      <w:r>
        <w:rPr>
          <w:rFonts w:ascii="Arial" w:cs="Arial" w:eastAsia="Arial" w:hAnsi="Arial"/>
          <w:sz w:val="22"/>
          <w:szCs w:val="22"/>
        </w:rPr>
        <w:t xml:space="preserve">The 7-9 V pair had the smallest spacing on the graph, giving the highest field value at 100 N/C. That region sits closest to the ring, which concentrates the field more than the flat strip does on the other side. The field weakened steadily moving toward the strip. Inside the ring, the potential was uniform at 10 V and the field was again zero.</w:t>
      </w:r>
    </w:p>
    <w:p>
      <w:pPr>
        <w:pStyle w:val="Heading1"/>
        <w:spacing w:after="120" w:before="360"/>
      </w:pPr>
      <w:r>
        <w:rPr>
          <w:rFonts w:ascii="Arial" w:cs="Arial" w:eastAsia="Arial" w:hAnsi="Arial"/>
        </w:rPr>
        <w:t xml:space="preserve">Discussion and Conclusion</w:t>
      </w:r>
    </w:p>
    <w:p>
      <w:pPr>
        <w:pStyle w:val="Heading2"/>
        <w:spacing w:after="80" w:before="240"/>
      </w:pPr>
      <w:r>
        <w:rPr>
          <w:rFonts w:ascii="Arial" w:cs="Arial" w:eastAsia="Arial" w:hAnsi="Arial"/>
        </w:rPr>
        <w:t xml:space="preserve">Comparing the Two Configurations</w:t>
      </w:r>
    </w:p>
    <w:p>
      <w:pPr>
        <w:spacing w:after="120" w:before="80"/>
        <w:jc w:val="both"/>
      </w:pPr>
      <w:r>
        <w:rPr>
          <w:rFonts w:ascii="Arial" w:cs="Arial" w:eastAsia="Arial" w:hAnsi="Arial"/>
          <w:sz w:val="22"/>
          <w:szCs w:val="22"/>
        </w:rPr>
        <w:t xml:space="preserve">Both setups produced circular equipotentials near the ring electrode, and both confirmed that conductors sit at constant potential with no internal field. The differences came from the asymmetry introduced by swapping one ring for a strip.</w:t>
      </w:r>
    </w:p>
    <w:p>
      <w:pPr>
        <w:spacing w:after="60" w:before="60"/>
      </w:pPr>
      <w:r>
        <w:t xml:space="preserve"/>
      </w:r>
    </w:p>
    <w:p>
      <w:pPr>
        <w:pStyle w:val="ListParagraph"/>
        <w:numPr>
          <w:ilvl w:val="0"/>
          <w:numId w:val="2"/>
        </w:numPr>
        <w:spacing w:after="60" w:before="60"/>
      </w:pPr>
      <w:r>
        <w:rPr>
          <w:rFonts w:ascii="Arial" w:cs="Arial" w:eastAsia="Arial" w:hAnsi="Arial"/>
          <w:sz w:val="22"/>
          <w:szCs w:val="22"/>
        </w:rPr>
        <w:t xml:space="preserve">In the two-ring setup, the field was symmetric about the midpoint. The 5 V equipotential formed a near-vertical line at the center, and the field peaked there where the lines were closest together.</w:t>
      </w:r>
    </w:p>
    <w:p>
      <w:pPr>
        <w:pStyle w:val="ListParagraph"/>
        <w:numPr>
          <w:ilvl w:val="0"/>
          <w:numId w:val="2"/>
        </w:numPr>
        <w:spacing w:after="60" w:before="60"/>
      </w:pPr>
      <w:r>
        <w:rPr>
          <w:rFonts w:ascii="Arial" w:cs="Arial" w:eastAsia="Arial" w:hAnsi="Arial"/>
          <w:sz w:val="22"/>
          <w:szCs w:val="22"/>
        </w:rPr>
        <w:t xml:space="preserve">In the ring-strip setup, the field was much stronger near the ring (100 N/C for the 7-9 V pair) and weaker near the strip. The equipotentials near the strip were more spread out and planar, while those near the ring stayed tightly curved.</w:t>
      </w:r>
    </w:p>
    <w:p>
      <w:pPr>
        <w:pStyle w:val="ListParagraph"/>
        <w:numPr>
          <w:ilvl w:val="0"/>
          <w:numId w:val="2"/>
        </w:numPr>
        <w:spacing w:after="60" w:before="60"/>
      </w:pPr>
      <w:r>
        <w:rPr>
          <w:rFonts w:ascii="Arial" w:cs="Arial" w:eastAsia="Arial" w:hAnsi="Arial"/>
          <w:sz w:val="22"/>
          <w:szCs w:val="22"/>
        </w:rPr>
        <w:t xml:space="preserve">In both cases, the electric field inside the conducting ring was zero, confirming that conductors are equipotential surfaces with no net internal field.</w:t>
      </w:r>
    </w:p>
    <w:p>
      <w:pPr>
        <w:spacing w:after="60" w:before="60"/>
      </w:pPr>
      <w:r>
        <w:t xml:space="preserve"/>
      </w:r>
    </w:p>
    <w:p>
      <w:pPr>
        <w:pStyle w:val="Heading2"/>
        <w:spacing w:after="80" w:before="240"/>
      </w:pPr>
      <w:r>
        <w:rPr>
          <w:rFonts w:ascii="Arial" w:cs="Arial" w:eastAsia="Arial" w:hAnsi="Arial"/>
        </w:rPr>
        <w:t xml:space="preserve">Sources of Error</w:t>
      </w:r>
    </w:p>
    <w:p>
      <w:pPr>
        <w:spacing w:after="120" w:before="80"/>
        <w:jc w:val="both"/>
      </w:pPr>
      <w:r>
        <w:rPr>
          <w:rFonts w:ascii="Arial" w:cs="Arial" w:eastAsia="Arial" w:hAnsi="Arial"/>
          <w:sz w:val="22"/>
          <w:szCs w:val="22"/>
        </w:rPr>
        <w:t xml:space="preserve">The largest source of error was probe positioning. Locating the exact point where the voltmeter read, say, 7.00 V by hand introduces roughly 0.5 cm of spatial uncertainty. For the 7-9 V pair in Part B, where the measured spacing was only about 2 cm, that is a 25% relative error in the field calculation alone.</w:t>
      </w:r>
    </w:p>
    <w:p>
      <w:pPr>
        <w:spacing w:after="60" w:before="60"/>
      </w:pPr>
      <w:r>
        <w:t xml:space="preserve"/>
      </w:r>
    </w:p>
    <w:p>
      <w:pPr>
        <w:spacing w:after="120" w:before="80"/>
        <w:jc w:val="both"/>
      </w:pPr>
      <w:r>
        <w:rPr>
          <w:rFonts w:ascii="Arial" w:cs="Arial" w:eastAsia="Arial" w:hAnsi="Arial"/>
          <w:sz w:val="22"/>
          <w:szCs w:val="22"/>
        </w:rPr>
        <w:t xml:space="preserve">Other factors that likely affected the results include uneven water depth from slight tray tilting, which would shift current density across the tray, and imperfect electrode contact at the tray surface. The off-axis field measurement at (13, 7) in Part B came out at 3.5 N/C, which is lower than the centerline values at similar x positions. That makes sense: moving off-axis puts you in a region where the field is weaker and more oblique, so a centerline-based distance estimate overstates the actual spacing between equipotentials there.</w:t>
      </w:r>
    </w:p>
    <w:p>
      <w:pPr>
        <w:spacing w:after="60" w:before="60"/>
      </w:pPr>
      <w:r>
        <w:t xml:space="preserve"/>
      </w:r>
    </w:p>
    <w:p>
      <w:pPr>
        <w:pStyle w:val="Heading2"/>
        <w:spacing w:after="80" w:before="240"/>
      </w:pPr>
      <w:r>
        <w:rPr>
          <w:rFonts w:ascii="Arial" w:cs="Arial" w:eastAsia="Arial" w:hAnsi="Arial"/>
        </w:rPr>
        <w:t xml:space="preserve">Conclusion</w:t>
      </w:r>
    </w:p>
    <w:p>
      <w:pPr>
        <w:spacing w:after="120" w:before="80"/>
        <w:jc w:val="both"/>
      </w:pPr>
      <w:r>
        <w:rPr>
          <w:rFonts w:ascii="Arial" w:cs="Arial" w:eastAsia="Arial" w:hAnsi="Arial"/>
          <w:sz w:val="22"/>
          <w:szCs w:val="22"/>
        </w:rPr>
        <w:t xml:space="preserve">The experiment confirmed the core relationships between electric potential and field. Equipotentials formed perpendicular to field lines in both configurations, conductors maintained constant internal potential, and the field strength tracked directly with how densely the equipotential lines were packed. Swapping one ring for a strip shifted the strongest field region toward the ring and flattened the equipotentials near the strip side. The measured field values matched what the geometry would predict, and deviations were consistent with the probe positioning error described above.</w:t>
      </w:r>
    </w:p>
    <w:p>
      <w:pPr>
        <w:pStyle w:val="Heading1"/>
        <w:spacing w:after="120" w:before="360"/>
      </w:pPr>
      <w:r>
        <w:rPr>
          <w:rFonts w:ascii="Arial" w:cs="Arial" w:eastAsia="Arial" w:hAnsi="Arial"/>
        </w:rPr>
        <w:t xml:space="preserve">Appendix: Raw Worksheet Data</w:t>
      </w:r>
    </w:p>
    <w:p>
      <w:pPr>
        <w:spacing w:after="120" w:before="80"/>
        <w:jc w:val="both"/>
      </w:pPr>
      <w:r>
        <w:rPr>
          <w:rFonts w:ascii="Arial" w:cs="Arial" w:eastAsia="Arial" w:hAnsi="Arial"/>
          <w:sz w:val="22"/>
          <w:szCs w:val="22"/>
        </w:rPr>
        <w:t xml:space="preserve">All values below were calculated directly from measurements taken during the lab session.</w:t>
      </w:r>
    </w:p>
    <w:p>
      <w:pPr>
        <w:spacing w:after="60" w:before="60"/>
      </w:pPr>
      <w:r>
        <w:t xml:space="preserve"/>
      </w:r>
    </w:p>
    <w:p>
      <w:pPr>
        <w:pStyle w:val="Heading2"/>
        <w:spacing w:after="80" w:before="240"/>
      </w:pPr>
      <w:r>
        <w:rPr>
          <w:rFonts w:ascii="Arial" w:cs="Arial" w:eastAsia="Arial" w:hAnsi="Arial"/>
        </w:rPr>
        <w:t xml:space="preserve">Part A - Calculated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Quantity</w:t>
            </w:r>
          </w:p>
        </w:tc>
        <w:tc>
          <w:tcPr>
            <w:tcW w:type="dxa" w:w="312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Value</w:t>
            </w:r>
          </w:p>
        </w:tc>
        <w:tc>
          <w:tcPr>
            <w:tcW w:type="dxa" w:w="312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Notes</w:t>
            </w:r>
          </w:p>
        </w:tc>
      </w:tr>
      <w:tr>
        <w:tc>
          <w:tcPr>
            <w:tcW w:type="dxa" w:w="3120"/>
            <w:tcBorders>
              <w:top w:val="single" w:color="AAAAAA" w:sz="1"/>
              <w:left w:val="single" w:color="AAAAAA" w:sz="1"/>
              <w:bottom w:val="single" w:color="AAAAAA" w:sz="1"/>
              <w:right w:val="single" w:color="AAAAAA" w:sz="1"/>
            </w:tcBorders>
            <w:shd w:fill="F4F6F8" w:val="clear"/>
            <w:tcMar>
              <w:top w:type="dxa" w:w="80"/>
              <w:left w:type="dxa" w:w="120"/>
              <w:bottom w:type="dxa" w:w="80"/>
              <w:right w:type="dxa" w:w="120"/>
            </w:tcMar>
            <w:vAlign w:val="center"/>
          </w:tcPr>
          <w:p>
            <w:pPr>
              <w:jc w:val="center"/>
            </w:pPr>
            <w:r>
              <w:rPr>
                <w:rFonts w:ascii="Arial" w:cs="Arial" w:eastAsia="Arial" w:hAnsi="Arial"/>
                <w:sz w:val="20"/>
                <w:szCs w:val="20"/>
              </w:rPr>
              <w:t xml:space="preserve">E between 3 V and 5 V (centerline)</w:t>
            </w:r>
          </w:p>
        </w:tc>
        <w:tc>
          <w:tcPr>
            <w:tcW w:type="dxa" w:w="3120"/>
            <w:tcBorders>
              <w:top w:val="single" w:color="AAAAAA" w:sz="1"/>
              <w:left w:val="single" w:color="AAAAAA" w:sz="1"/>
              <w:bottom w:val="single" w:color="AAAAAA" w:sz="1"/>
              <w:right w:val="single" w:color="AAAAAA" w:sz="1"/>
            </w:tcBorders>
            <w:shd w:fill="F4F6F8" w:val="clear"/>
            <w:tcMar>
              <w:top w:type="dxa" w:w="80"/>
              <w:left w:type="dxa" w:w="120"/>
              <w:bottom w:type="dxa" w:w="80"/>
              <w:right w:type="dxa" w:w="120"/>
            </w:tcMar>
            <w:vAlign w:val="center"/>
          </w:tcPr>
          <w:p>
            <w:pPr>
              <w:jc w:val="center"/>
            </w:pPr>
            <w:r>
              <w:rPr>
                <w:rFonts w:ascii="Arial" w:cs="Arial" w:eastAsia="Arial" w:hAnsi="Arial"/>
                <w:sz w:val="20"/>
                <w:szCs w:val="20"/>
              </w:rPr>
              <w:t xml:space="preserve">28.6 N/C</w:t>
            </w:r>
          </w:p>
        </w:tc>
        <w:tc>
          <w:tcPr>
            <w:tcW w:type="dxa" w:w="3120"/>
            <w:tcBorders>
              <w:top w:val="single" w:color="AAAAAA" w:sz="1"/>
              <w:left w:val="single" w:color="AAAAAA" w:sz="1"/>
              <w:bottom w:val="single" w:color="AAAAAA" w:sz="1"/>
              <w:right w:val="single" w:color="AAAAAA" w:sz="1"/>
            </w:tcBorders>
            <w:shd w:fill="F4F6F8" w:val="clear"/>
            <w:tcMar>
              <w:top w:type="dxa" w:w="80"/>
              <w:left w:type="dxa" w:w="120"/>
              <w:bottom w:type="dxa" w:w="80"/>
              <w:right w:type="dxa" w:w="120"/>
            </w:tcMar>
            <w:vAlign w:val="center"/>
          </w:tcPr>
          <w:p>
            <w:pPr>
              <w:jc w:val="center"/>
            </w:pPr>
            <w:r>
              <w:rPr>
                <w:rFonts w:ascii="Arial" w:cs="Arial" w:eastAsia="Arial" w:hAnsi="Arial"/>
                <w:sz w:val="20"/>
                <w:szCs w:val="20"/>
              </w:rPr>
              <w:t xml:space="preserve">ΔV = 2 V, Δr = 0.07 m</w:t>
            </w:r>
          </w:p>
        </w:tc>
      </w:tr>
      <w:tr>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E between 1 V and 3 V (centerline)</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40 N/C</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ΔV = 2 V, Δr = 0.05 m</w:t>
            </w:r>
          </w:p>
        </w:tc>
      </w:tr>
      <w:tr>
        <w:tc>
          <w:tcPr>
            <w:tcW w:type="dxa" w:w="3120"/>
            <w:tcBorders>
              <w:top w:val="single" w:color="AAAAAA" w:sz="1"/>
              <w:left w:val="single" w:color="AAAAAA" w:sz="1"/>
              <w:bottom w:val="single" w:color="AAAAAA" w:sz="1"/>
              <w:right w:val="single" w:color="AAAAAA" w:sz="1"/>
            </w:tcBorders>
            <w:shd w:fill="F4F6F8" w:val="clear"/>
            <w:tcMar>
              <w:top w:type="dxa" w:w="80"/>
              <w:left w:type="dxa" w:w="120"/>
              <w:bottom w:type="dxa" w:w="80"/>
              <w:right w:type="dxa" w:w="120"/>
            </w:tcMar>
            <w:vAlign w:val="center"/>
          </w:tcPr>
          <w:p>
            <w:pPr>
              <w:jc w:val="center"/>
            </w:pPr>
            <w:r>
              <w:rPr>
                <w:rFonts w:ascii="Arial" w:cs="Arial" w:eastAsia="Arial" w:hAnsi="Arial"/>
                <w:sz w:val="20"/>
                <w:szCs w:val="20"/>
              </w:rPr>
              <w:t xml:space="preserve">E at coordinate (13, 7)</w:t>
            </w:r>
          </w:p>
        </w:tc>
        <w:tc>
          <w:tcPr>
            <w:tcW w:type="dxa" w:w="3120"/>
            <w:tcBorders>
              <w:top w:val="single" w:color="AAAAAA" w:sz="1"/>
              <w:left w:val="single" w:color="AAAAAA" w:sz="1"/>
              <w:bottom w:val="single" w:color="AAAAAA" w:sz="1"/>
              <w:right w:val="single" w:color="AAAAAA" w:sz="1"/>
            </w:tcBorders>
            <w:shd w:fill="F4F6F8" w:val="clear"/>
            <w:tcMar>
              <w:top w:type="dxa" w:w="80"/>
              <w:left w:type="dxa" w:w="120"/>
              <w:bottom w:type="dxa" w:w="80"/>
              <w:right w:type="dxa" w:w="120"/>
            </w:tcMar>
            <w:vAlign w:val="center"/>
          </w:tcPr>
          <w:p>
            <w:pPr>
              <w:jc w:val="center"/>
            </w:pPr>
            <w:r>
              <w:rPr>
                <w:rFonts w:ascii="Arial" w:cs="Arial" w:eastAsia="Arial" w:hAnsi="Arial"/>
                <w:sz w:val="20"/>
                <w:szCs w:val="20"/>
              </w:rPr>
              <w:t xml:space="preserve">4 N/C</w:t>
            </w:r>
          </w:p>
        </w:tc>
        <w:tc>
          <w:tcPr>
            <w:tcW w:type="dxa" w:w="3120"/>
            <w:tcBorders>
              <w:top w:val="single" w:color="AAAAAA" w:sz="1"/>
              <w:left w:val="single" w:color="AAAAAA" w:sz="1"/>
              <w:bottom w:val="single" w:color="AAAAAA" w:sz="1"/>
              <w:right w:val="single" w:color="AAAAAA" w:sz="1"/>
            </w:tcBorders>
            <w:shd w:fill="F4F6F8" w:val="clear"/>
            <w:tcMar>
              <w:top w:type="dxa" w:w="80"/>
              <w:left w:type="dxa" w:w="120"/>
              <w:bottom w:type="dxa" w:w="80"/>
              <w:right w:type="dxa" w:w="120"/>
            </w:tcMar>
            <w:vAlign w:val="center"/>
          </w:tcPr>
          <w:p>
            <w:pPr>
              <w:jc w:val="center"/>
            </w:pPr>
            <w:r>
              <w:rPr>
                <w:rFonts w:ascii="Arial" w:cs="Arial" w:eastAsia="Arial" w:hAnsi="Arial"/>
                <w:sz w:val="20"/>
                <w:szCs w:val="20"/>
              </w:rPr>
              <w:t xml:space="preserve">ΔV = 4 V, Δr = 1 m (coarse)</w:t>
            </w:r>
          </w:p>
        </w:tc>
      </w:tr>
      <w:tr>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Potential inside left ring</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10 V</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Connected to +10 V terminal</w:t>
            </w:r>
          </w:p>
        </w:tc>
      </w:tr>
      <w:tr>
        <w:tc>
          <w:tcPr>
            <w:tcW w:type="dxa" w:w="3120"/>
            <w:tcBorders>
              <w:top w:val="single" w:color="AAAAAA" w:sz="1"/>
              <w:left w:val="single" w:color="AAAAAA" w:sz="1"/>
              <w:bottom w:val="single" w:color="AAAAAA" w:sz="1"/>
              <w:right w:val="single" w:color="AAAAAA" w:sz="1"/>
            </w:tcBorders>
            <w:shd w:fill="F4F6F8" w:val="clear"/>
            <w:tcMar>
              <w:top w:type="dxa" w:w="80"/>
              <w:left w:type="dxa" w:w="120"/>
              <w:bottom w:type="dxa" w:w="80"/>
              <w:right w:type="dxa" w:w="120"/>
            </w:tcMar>
            <w:vAlign w:val="center"/>
          </w:tcPr>
          <w:p>
            <w:pPr>
              <w:jc w:val="center"/>
            </w:pPr>
            <w:r>
              <w:rPr>
                <w:rFonts w:ascii="Arial" w:cs="Arial" w:eastAsia="Arial" w:hAnsi="Arial"/>
                <w:sz w:val="20"/>
                <w:szCs w:val="20"/>
              </w:rPr>
              <w:t xml:space="preserve">Potential inside right ring</w:t>
            </w:r>
          </w:p>
        </w:tc>
        <w:tc>
          <w:tcPr>
            <w:tcW w:type="dxa" w:w="3120"/>
            <w:tcBorders>
              <w:top w:val="single" w:color="AAAAAA" w:sz="1"/>
              <w:left w:val="single" w:color="AAAAAA" w:sz="1"/>
              <w:bottom w:val="single" w:color="AAAAAA" w:sz="1"/>
              <w:right w:val="single" w:color="AAAAAA" w:sz="1"/>
            </w:tcBorders>
            <w:shd w:fill="F4F6F8" w:val="clear"/>
            <w:tcMar>
              <w:top w:type="dxa" w:w="80"/>
              <w:left w:type="dxa" w:w="120"/>
              <w:bottom w:type="dxa" w:w="80"/>
              <w:right w:type="dxa" w:w="120"/>
            </w:tcMar>
            <w:vAlign w:val="center"/>
          </w:tcPr>
          <w:p>
            <w:pPr>
              <w:jc w:val="center"/>
            </w:pPr>
            <w:r>
              <w:rPr>
                <w:rFonts w:ascii="Arial" w:cs="Arial" w:eastAsia="Arial" w:hAnsi="Arial"/>
                <w:sz w:val="20"/>
                <w:szCs w:val="20"/>
              </w:rPr>
              <w:t xml:space="preserve">0 V</w:t>
            </w:r>
          </w:p>
        </w:tc>
        <w:tc>
          <w:tcPr>
            <w:tcW w:type="dxa" w:w="3120"/>
            <w:tcBorders>
              <w:top w:val="single" w:color="AAAAAA" w:sz="1"/>
              <w:left w:val="single" w:color="AAAAAA" w:sz="1"/>
              <w:bottom w:val="single" w:color="AAAAAA" w:sz="1"/>
              <w:right w:val="single" w:color="AAAAAA" w:sz="1"/>
            </w:tcBorders>
            <w:shd w:fill="F4F6F8" w:val="clear"/>
            <w:tcMar>
              <w:top w:type="dxa" w:w="80"/>
              <w:left w:type="dxa" w:w="120"/>
              <w:bottom w:type="dxa" w:w="80"/>
              <w:right w:type="dxa" w:w="120"/>
            </w:tcMar>
            <w:vAlign w:val="center"/>
          </w:tcPr>
          <w:p>
            <w:pPr>
              <w:jc w:val="center"/>
            </w:pPr>
            <w:r>
              <w:rPr>
                <w:rFonts w:ascii="Arial" w:cs="Arial" w:eastAsia="Arial" w:hAnsi="Arial"/>
                <w:sz w:val="20"/>
                <w:szCs w:val="20"/>
              </w:rPr>
              <w:t xml:space="preserve">Connected to 0 V reference</w:t>
            </w:r>
          </w:p>
        </w:tc>
      </w:tr>
      <w:tr>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E-field inside either ring</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0 N/C</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Conductor - no internal field</w:t>
            </w:r>
          </w:p>
        </w:tc>
      </w:tr>
    </w:tbl>
    <w:p>
      <w:pPr>
        <w:spacing w:after="60" w:before="60"/>
      </w:pPr>
      <w:r>
        <w:t xml:space="preserve"/>
      </w:r>
    </w:p>
    <w:p>
      <w:pPr>
        <w:pStyle w:val="Heading2"/>
        <w:spacing w:after="80" w:before="240"/>
      </w:pPr>
      <w:r>
        <w:rPr>
          <w:rFonts w:ascii="Arial" w:cs="Arial" w:eastAsia="Arial" w:hAnsi="Arial"/>
        </w:rPr>
        <w:t xml:space="preserve">Part B - Calculated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Quantity</w:t>
            </w:r>
          </w:p>
        </w:tc>
        <w:tc>
          <w:tcPr>
            <w:tcW w:type="dxa" w:w="312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Value</w:t>
            </w:r>
          </w:p>
        </w:tc>
        <w:tc>
          <w:tcPr>
            <w:tcW w:type="dxa" w:w="312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Notes</w:t>
            </w:r>
          </w:p>
        </w:tc>
      </w:tr>
      <w:tr>
        <w:tc>
          <w:tcPr>
            <w:tcW w:type="dxa" w:w="3120"/>
            <w:tcBorders>
              <w:top w:val="single" w:color="AAAAAA" w:sz="1"/>
              <w:left w:val="single" w:color="AAAAAA" w:sz="1"/>
              <w:bottom w:val="single" w:color="AAAAAA" w:sz="1"/>
              <w:right w:val="single" w:color="AAAAAA" w:sz="1"/>
            </w:tcBorders>
            <w:shd w:fill="F4F6F8" w:val="clear"/>
            <w:tcMar>
              <w:top w:type="dxa" w:w="80"/>
              <w:left w:type="dxa" w:w="120"/>
              <w:bottom w:type="dxa" w:w="80"/>
              <w:right w:type="dxa" w:w="120"/>
            </w:tcMar>
            <w:vAlign w:val="center"/>
          </w:tcPr>
          <w:p>
            <w:pPr>
              <w:jc w:val="center"/>
            </w:pPr>
            <w:r>
              <w:rPr>
                <w:rFonts w:ascii="Arial" w:cs="Arial" w:eastAsia="Arial" w:hAnsi="Arial"/>
                <w:sz w:val="20"/>
                <w:szCs w:val="20"/>
              </w:rPr>
              <w:t xml:space="preserve">E between 3 V and 5 V (centerline)</w:t>
            </w:r>
          </w:p>
        </w:tc>
        <w:tc>
          <w:tcPr>
            <w:tcW w:type="dxa" w:w="3120"/>
            <w:tcBorders>
              <w:top w:val="single" w:color="AAAAAA" w:sz="1"/>
              <w:left w:val="single" w:color="AAAAAA" w:sz="1"/>
              <w:bottom w:val="single" w:color="AAAAAA" w:sz="1"/>
              <w:right w:val="single" w:color="AAAAAA" w:sz="1"/>
            </w:tcBorders>
            <w:shd w:fill="F4F6F8" w:val="clear"/>
            <w:tcMar>
              <w:top w:type="dxa" w:w="80"/>
              <w:left w:type="dxa" w:w="120"/>
              <w:bottom w:type="dxa" w:w="80"/>
              <w:right w:type="dxa" w:w="120"/>
            </w:tcMar>
            <w:vAlign w:val="center"/>
          </w:tcPr>
          <w:p>
            <w:pPr>
              <w:jc w:val="center"/>
            </w:pPr>
            <w:r>
              <w:rPr>
                <w:rFonts w:ascii="Arial" w:cs="Arial" w:eastAsia="Arial" w:hAnsi="Arial"/>
                <w:sz w:val="20"/>
                <w:szCs w:val="20"/>
              </w:rPr>
              <w:t xml:space="preserve">28.6 N/C</w:t>
            </w:r>
          </w:p>
        </w:tc>
        <w:tc>
          <w:tcPr>
            <w:tcW w:type="dxa" w:w="3120"/>
            <w:tcBorders>
              <w:top w:val="single" w:color="AAAAAA" w:sz="1"/>
              <w:left w:val="single" w:color="AAAAAA" w:sz="1"/>
              <w:bottom w:val="single" w:color="AAAAAA" w:sz="1"/>
              <w:right w:val="single" w:color="AAAAAA" w:sz="1"/>
            </w:tcBorders>
            <w:shd w:fill="F4F6F8" w:val="clear"/>
            <w:tcMar>
              <w:top w:type="dxa" w:w="80"/>
              <w:left w:type="dxa" w:w="120"/>
              <w:bottom w:type="dxa" w:w="80"/>
              <w:right w:type="dxa" w:w="120"/>
            </w:tcMar>
            <w:vAlign w:val="center"/>
          </w:tcPr>
          <w:p>
            <w:pPr>
              <w:jc w:val="center"/>
            </w:pPr>
            <w:r>
              <w:rPr>
                <w:rFonts w:ascii="Arial" w:cs="Arial" w:eastAsia="Arial" w:hAnsi="Arial"/>
                <w:sz w:val="20"/>
                <w:szCs w:val="20"/>
              </w:rPr>
              <w:t xml:space="preserve">ΔV = 2 V, Δr = 0.07 m</w:t>
            </w:r>
          </w:p>
        </w:tc>
      </w:tr>
      <w:tr>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E between 1 V and 3 V (centerline)</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25 N/C</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ΔV = 2 V, Δr = 0.08 m</w:t>
            </w:r>
          </w:p>
        </w:tc>
      </w:tr>
      <w:tr>
        <w:tc>
          <w:tcPr>
            <w:tcW w:type="dxa" w:w="3120"/>
            <w:tcBorders>
              <w:top w:val="single" w:color="AAAAAA" w:sz="1"/>
              <w:left w:val="single" w:color="AAAAAA" w:sz="1"/>
              <w:bottom w:val="single" w:color="AAAAAA" w:sz="1"/>
              <w:right w:val="single" w:color="AAAAAA" w:sz="1"/>
            </w:tcBorders>
            <w:shd w:fill="F4F6F8" w:val="clear"/>
            <w:tcMar>
              <w:top w:type="dxa" w:w="80"/>
              <w:left w:type="dxa" w:w="120"/>
              <w:bottom w:type="dxa" w:w="80"/>
              <w:right w:type="dxa" w:w="120"/>
            </w:tcMar>
            <w:vAlign w:val="center"/>
          </w:tcPr>
          <w:p>
            <w:pPr>
              <w:jc w:val="center"/>
            </w:pPr>
            <w:r>
              <w:rPr>
                <w:rFonts w:ascii="Arial" w:cs="Arial" w:eastAsia="Arial" w:hAnsi="Arial"/>
                <w:sz w:val="20"/>
                <w:szCs w:val="20"/>
              </w:rPr>
              <w:t xml:space="preserve">E between 7 V and 9 V (centerline)</w:t>
            </w:r>
          </w:p>
        </w:tc>
        <w:tc>
          <w:tcPr>
            <w:tcW w:type="dxa" w:w="3120"/>
            <w:tcBorders>
              <w:top w:val="single" w:color="AAAAAA" w:sz="1"/>
              <w:left w:val="single" w:color="AAAAAA" w:sz="1"/>
              <w:bottom w:val="single" w:color="AAAAAA" w:sz="1"/>
              <w:right w:val="single" w:color="AAAAAA" w:sz="1"/>
            </w:tcBorders>
            <w:shd w:fill="F4F6F8" w:val="clear"/>
            <w:tcMar>
              <w:top w:type="dxa" w:w="80"/>
              <w:left w:type="dxa" w:w="120"/>
              <w:bottom w:type="dxa" w:w="80"/>
              <w:right w:type="dxa" w:w="120"/>
            </w:tcMar>
            <w:vAlign w:val="center"/>
          </w:tcPr>
          <w:p>
            <w:pPr>
              <w:jc w:val="center"/>
            </w:pPr>
            <w:r>
              <w:rPr>
                <w:rFonts w:ascii="Arial" w:cs="Arial" w:eastAsia="Arial" w:hAnsi="Arial"/>
                <w:sz w:val="20"/>
                <w:szCs w:val="20"/>
              </w:rPr>
              <w:t xml:space="preserve">100 N/C</w:t>
            </w:r>
          </w:p>
        </w:tc>
        <w:tc>
          <w:tcPr>
            <w:tcW w:type="dxa" w:w="3120"/>
            <w:tcBorders>
              <w:top w:val="single" w:color="AAAAAA" w:sz="1"/>
              <w:left w:val="single" w:color="AAAAAA" w:sz="1"/>
              <w:bottom w:val="single" w:color="AAAAAA" w:sz="1"/>
              <w:right w:val="single" w:color="AAAAAA" w:sz="1"/>
            </w:tcBorders>
            <w:shd w:fill="F4F6F8" w:val="clear"/>
            <w:tcMar>
              <w:top w:type="dxa" w:w="80"/>
              <w:left w:type="dxa" w:w="120"/>
              <w:bottom w:type="dxa" w:w="80"/>
              <w:right w:type="dxa" w:w="120"/>
            </w:tcMar>
            <w:vAlign w:val="center"/>
          </w:tcPr>
          <w:p>
            <w:pPr>
              <w:jc w:val="center"/>
            </w:pPr>
            <w:r>
              <w:rPr>
                <w:rFonts w:ascii="Arial" w:cs="Arial" w:eastAsia="Arial" w:hAnsi="Arial"/>
                <w:sz w:val="20"/>
                <w:szCs w:val="20"/>
              </w:rPr>
              <w:t xml:space="preserve">ΔV = 2 V, Δr = 0.02 m</w:t>
            </w:r>
          </w:p>
        </w:tc>
      </w:tr>
      <w:tr>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E at coordinate (13, 7)</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3.5 N/C</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ΔV = 0.07 V, Δr = 0.02 m</w:t>
            </w:r>
          </w:p>
        </w:tc>
      </w:tr>
      <w:tr>
        <w:tc>
          <w:tcPr>
            <w:tcW w:type="dxa" w:w="3120"/>
            <w:tcBorders>
              <w:top w:val="single" w:color="AAAAAA" w:sz="1"/>
              <w:left w:val="single" w:color="AAAAAA" w:sz="1"/>
              <w:bottom w:val="single" w:color="AAAAAA" w:sz="1"/>
              <w:right w:val="single" w:color="AAAAAA" w:sz="1"/>
            </w:tcBorders>
            <w:shd w:fill="F4F6F8" w:val="clear"/>
            <w:tcMar>
              <w:top w:type="dxa" w:w="80"/>
              <w:left w:type="dxa" w:w="120"/>
              <w:bottom w:type="dxa" w:w="80"/>
              <w:right w:type="dxa" w:w="120"/>
            </w:tcMar>
            <w:vAlign w:val="center"/>
          </w:tcPr>
          <w:p>
            <w:pPr>
              <w:jc w:val="center"/>
            </w:pPr>
            <w:r>
              <w:rPr>
                <w:rFonts w:ascii="Arial" w:cs="Arial" w:eastAsia="Arial" w:hAnsi="Arial"/>
                <w:sz w:val="20"/>
                <w:szCs w:val="20"/>
              </w:rPr>
              <w:t xml:space="preserve">Potential inside ring</w:t>
            </w:r>
          </w:p>
        </w:tc>
        <w:tc>
          <w:tcPr>
            <w:tcW w:type="dxa" w:w="3120"/>
            <w:tcBorders>
              <w:top w:val="single" w:color="AAAAAA" w:sz="1"/>
              <w:left w:val="single" w:color="AAAAAA" w:sz="1"/>
              <w:bottom w:val="single" w:color="AAAAAA" w:sz="1"/>
              <w:right w:val="single" w:color="AAAAAA" w:sz="1"/>
            </w:tcBorders>
            <w:shd w:fill="F4F6F8" w:val="clear"/>
            <w:tcMar>
              <w:top w:type="dxa" w:w="80"/>
              <w:left w:type="dxa" w:w="120"/>
              <w:bottom w:type="dxa" w:w="80"/>
              <w:right w:type="dxa" w:w="120"/>
            </w:tcMar>
            <w:vAlign w:val="center"/>
          </w:tcPr>
          <w:p>
            <w:pPr>
              <w:jc w:val="center"/>
            </w:pPr>
            <w:r>
              <w:rPr>
                <w:rFonts w:ascii="Arial" w:cs="Arial" w:eastAsia="Arial" w:hAnsi="Arial"/>
                <w:sz w:val="20"/>
                <w:szCs w:val="20"/>
              </w:rPr>
              <w:t xml:space="preserve">10 V</w:t>
            </w:r>
          </w:p>
        </w:tc>
        <w:tc>
          <w:tcPr>
            <w:tcW w:type="dxa" w:w="3120"/>
            <w:tcBorders>
              <w:top w:val="single" w:color="AAAAAA" w:sz="1"/>
              <w:left w:val="single" w:color="AAAAAA" w:sz="1"/>
              <w:bottom w:val="single" w:color="AAAAAA" w:sz="1"/>
              <w:right w:val="single" w:color="AAAAAA" w:sz="1"/>
            </w:tcBorders>
            <w:shd w:fill="F4F6F8" w:val="clear"/>
            <w:tcMar>
              <w:top w:type="dxa" w:w="80"/>
              <w:left w:type="dxa" w:w="120"/>
              <w:bottom w:type="dxa" w:w="80"/>
              <w:right w:type="dxa" w:w="120"/>
            </w:tcMar>
            <w:vAlign w:val="center"/>
          </w:tcPr>
          <w:p>
            <w:pPr>
              <w:jc w:val="center"/>
            </w:pPr>
            <w:r>
              <w:rPr>
                <w:rFonts w:ascii="Arial" w:cs="Arial" w:eastAsia="Arial" w:hAnsi="Arial"/>
                <w:sz w:val="20"/>
                <w:szCs w:val="20"/>
              </w:rPr>
              <w:t xml:space="preserve">Ring connected to +10 V terminal</w:t>
            </w:r>
          </w:p>
        </w:tc>
      </w:tr>
      <w:tr>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E-field inside ring</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0 N/C</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sz w:val="20"/>
                <w:szCs w:val="20"/>
              </w:rPr>
              <w:t xml:space="preserve">Conductor - no internal field</w:t>
            </w:r>
          </w:p>
        </w:tc>
      </w:tr>
    </w:tbl>
    <w:p>
      <w:pPr>
        <w:spacing w:after="60" w:before="60"/>
      </w:pPr>
      <w:r>
        <w:t xml:space="preserve"/>
      </w:r>
    </w:p>
    <w:p>
      <w:pPr>
        <w:pStyle w:val="Heading2"/>
        <w:spacing w:after="80" w:before="240"/>
      </w:pPr>
      <w:r>
        <w:rPr>
          <w:rFonts w:ascii="Arial" w:cs="Arial" w:eastAsia="Arial" w:hAnsi="Arial"/>
        </w:rPr>
        <w:t xml:space="preserve">Graph Paper Plots</w:t>
      </w:r>
    </w:p>
    <w:p>
      <w:pPr>
        <w:spacing w:after="120" w:before="80"/>
        <w:jc w:val="both"/>
      </w:pPr>
      <w:r>
        <w:rPr>
          <w:rFonts w:ascii="Arial" w:cs="Arial" w:eastAsia="Arial" w:hAnsi="Arial"/>
          <w:sz w:val="22"/>
          <w:szCs w:val="22"/>
        </w:rPr>
        <w:t xml:space="preserve">Photographs of both hand-drawn field maps are shown in Figures 1 and 2. Figure 1 shows the two-ring configuration with the symmetric bilateral layout and the nearly vertical 5 V line at the center. Figure 2 shows the ring-strip configuration, where the equipotentials bunch up near the ring and flatten out approaching the strip. Field line arrows are marked perpendicular to the equipotentials in both figures.</w:t>
      </w:r>
    </w:p>
    <w:p>
      <w:pPr>
        <w:spacing w:after="60" w:before="60"/>
      </w:pPr>
      <w:r>
        <w:t xml:space="preserve"/>
      </w:r>
    </w:p>
    <w:p>
      <w:pPr>
        <w:spacing w:after="60" w:before="120"/>
        <w:jc w:val="center"/>
      </w:pPr>
      <w:r>
        <w:rPr>
          <w:rFonts w:ascii="Arial" w:cs="Arial" w:eastAsia="Arial" w:hAnsi="Arial"/>
          <w:i/>
          <w:iCs/>
          <w:color w:val="666666"/>
          <w:sz w:val="20"/>
          <w:szCs w:val="20"/>
        </w:rPr>
        <w:t xml:space="preserve">[Figure 1: Two Ring Configuration - hand-drawn equipotential and E-field map]</w:t>
      </w:r>
    </w:p>
    <w:p>
      <w:pPr>
        <w:spacing w:after="120" w:before="60"/>
        <w:jc w:val="center"/>
      </w:pPr>
      <w:r>
        <w:rPr>
          <w:rFonts w:ascii="Arial" w:cs="Arial" w:eastAsia="Arial" w:hAnsi="Arial"/>
          <w:i/>
          <w:iCs/>
          <w:color w:val="666666"/>
          <w:sz w:val="20"/>
          <w:szCs w:val="20"/>
        </w:rPr>
        <w:t xml:space="preserve">[Figure 2: Ring-Strip Configuration - hand-drawn equipotential and E-field map]</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of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pPr>
    <w:r>
      <w:rPr>
        <w:rFonts w:ascii="Arial" w:cs="Arial" w:eastAsia="Arial" w:hAnsi="Arial"/>
        <w:color w:val="666666"/>
        <w:sz w:val="18"/>
        <w:szCs w:val="18"/>
      </w:rPr>
      <w:t xml:space="preserve">PHYS 102 - Lab 1: Electric Fields and Electric Potentials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A3A5C" w:sz="4" w:space="4"/>
      </w:pBdr>
      <w:spacing w:after="120" w:before="360"/>
      <w:outlineLvl w:val="0"/>
    </w:pPr>
    <w:rPr>
      <w:rFonts w:ascii="Arial" w:cs="Arial" w:eastAsia="Arial" w:hAnsi="Arial"/>
      <w:b/>
      <w:bCs/>
      <w:color w:val="1A3A5C"/>
      <w:sz w:val="28"/>
      <w:szCs w:val="28"/>
    </w:rPr>
  </w:style>
  <w:style w:type="paragraph" w:styleId="Heading2">
    <w:name w:val="Heading 2"/>
    <w:basedOn w:val="Normal"/>
    <w:next w:val="Normal"/>
    <w:qFormat/>
    <w:pPr>
      <w:spacing w:after="80" w:before="240"/>
      <w:outlineLvl w:val="1"/>
    </w:pPr>
    <w:rPr>
      <w:rFonts w:ascii="Arial" w:cs="Arial" w:eastAsia="Arial" w:hAnsi="Arial"/>
      <w:b/>
      <w:bCs/>
      <w:color w:val="2E6DA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2026-04-14T14:30:43.517Z</dcterms:created>
  <dcterms:modified xsi:type="dcterms:W3CDTF">2026-04-14T14:30:43.519Z</dcterms:modified>
</cp:coreProperties>
</file>

<file path=docProps/custom.xml><?xml version="1.0" encoding="utf-8"?>
<Properties xmlns="http://schemas.openxmlformats.org/officeDocument/2006/custom-properties" xmlns:vt="http://schemas.openxmlformats.org/officeDocument/2006/docPropsVTypes"/>
</file>