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Scoring Guide</w:t>
      </w:r>
    </w:p>
    <w:p>
      <w:pPr>
        <w:pStyle w:val="Subtitle"/>
      </w:pPr>
      <w:r>
        <w:t>Evidence rules, deterministic formulas and worked examples</w:t>
      </w:r>
    </w:p>
    <w:p>
      <w:r>
        <w:t>Version 1.0  •  27 October 2026  •  Current dev implementation</w:t>
      </w:r>
    </w:p>
    <w:p>
      <w:r>
        <w:t>Policy version: icp_contact_growth_v2. This guide describes the current implementation, including score caps and contact requirements. It supersedes historical five-factor examples in older documentation. Authority and data-accuracy columns are inactive legacy storage, not additional weighted components.</w:t>
      </w:r>
    </w:p>
    <w:p>
      <w:pPr>
        <w:pStyle w:val="Heading2"/>
      </w:pPr>
      <w:r>
        <w:t>01  Final score and priority</w:t>
      </w:r>
    </w:p>
    <w:tbl>
      <w:tblPr>
        <w:tblW w:type="auto" w:w="0"/>
        <w:jc w:val="center"/>
        <w:tblLayout w:type="fixed"/>
        <w:tblLook w:firstColumn="1" w:firstRow="1" w:lastColumn="0" w:lastRow="0" w:noHBand="0" w:noVBand="1" w:val="04A0"/>
      </w:tblPr>
      <w:tblGrid>
        <w:gridCol w:w="1872"/>
        <w:gridCol w:w="1080"/>
        <w:gridCol w:w="1224"/>
        <w:gridCol w:w="5717"/>
      </w:tblGrid>
      <w:tr>
        <w:trPr>
          <w:tblHeader/>
          <w:cantSplit/>
        </w:trPr>
        <w:tc>
          <w:tcPr>
            <w:tcW w:type="dxa" w:w="1872"/>
            <w:shd w:fill="126A76"/>
            <w:vAlign w:val="center"/>
          </w:tcPr>
          <w:p>
            <w:pPr>
              <w:spacing w:before="80" w:after="80" w:line="240" w:lineRule="auto"/>
            </w:pPr>
            <w:r>
              <w:rPr>
                <w:b/>
                <w:color w:val="FFFFFF"/>
                <w:sz w:val="18"/>
              </w:rPr>
              <w:t>Component</w:t>
            </w:r>
          </w:p>
        </w:tc>
        <w:tc>
          <w:tcPr>
            <w:tcW w:type="dxa" w:w="1080"/>
            <w:shd w:fill="126A76"/>
            <w:vAlign w:val="center"/>
          </w:tcPr>
          <w:p>
            <w:pPr>
              <w:spacing w:before="80" w:after="80" w:line="240" w:lineRule="auto"/>
            </w:pPr>
            <w:r>
              <w:rPr>
                <w:b/>
                <w:color w:val="FFFFFF"/>
                <w:sz w:val="18"/>
              </w:rPr>
              <w:t>Weight</w:t>
            </w:r>
          </w:p>
        </w:tc>
        <w:tc>
          <w:tcPr>
            <w:tcW w:type="dxa" w:w="1224"/>
            <w:shd w:fill="126A76"/>
            <w:vAlign w:val="center"/>
          </w:tcPr>
          <w:p>
            <w:pPr>
              <w:spacing w:before="80" w:after="80" w:line="240" w:lineRule="auto"/>
            </w:pPr>
            <w:r>
              <w:rPr>
                <w:b/>
                <w:color w:val="FFFFFF"/>
                <w:sz w:val="18"/>
              </w:rPr>
              <w:t>Range</w:t>
            </w:r>
          </w:p>
        </w:tc>
        <w:tc>
          <w:tcPr>
            <w:tcW w:type="dxa" w:w="5717"/>
            <w:shd w:fill="126A76"/>
            <w:vAlign w:val="center"/>
          </w:tcPr>
          <w:p>
            <w:pPr>
              <w:spacing w:before="80" w:after="80" w:line="240" w:lineRule="auto"/>
            </w:pPr>
            <w:r>
              <w:rPr>
                <w:b/>
                <w:color w:val="FFFFFF"/>
                <w:sz w:val="18"/>
              </w:rPr>
              <w:t>Purpose</w:t>
            </w:r>
          </w:p>
        </w:tc>
      </w:tr>
      <w:tr>
        <w:trPr>
          <w:cantSplit/>
        </w:trPr>
        <w:tc>
          <w:tcPr>
            <w:tcW w:type="dxa" w:w="1872"/>
            <w:shd w:fill="EDF5F7"/>
            <w:vAlign w:val="center"/>
          </w:tcPr>
          <w:p>
            <w:pPr>
              <w:spacing w:before="80" w:after="80" w:line="240" w:lineRule="auto"/>
            </w:pPr>
            <w:r>
              <w:rPr>
                <w:sz w:val="18"/>
              </w:rPr>
              <w:t>ICP</w:t>
            </w:r>
          </w:p>
        </w:tc>
        <w:tc>
          <w:tcPr>
            <w:tcW w:type="dxa" w:w="1080"/>
            <w:shd w:fill="EDF5F7"/>
            <w:vAlign w:val="center"/>
          </w:tcPr>
          <w:p>
            <w:pPr>
              <w:spacing w:before="80" w:after="80" w:line="240" w:lineRule="auto"/>
            </w:pPr>
            <w:r>
              <w:rPr>
                <w:sz w:val="18"/>
              </w:rPr>
              <w:t>60%</w:t>
            </w:r>
          </w:p>
        </w:tc>
        <w:tc>
          <w:tcPr>
            <w:tcW w:type="dxa" w:w="1224"/>
            <w:shd w:fill="EDF5F7"/>
            <w:vAlign w:val="center"/>
          </w:tcPr>
          <w:p>
            <w:pPr>
              <w:spacing w:before="80" w:after="80" w:line="240" w:lineRule="auto"/>
            </w:pPr>
            <w:r>
              <w:rPr>
                <w:sz w:val="18"/>
              </w:rPr>
              <w:t>0–100</w:t>
            </w:r>
          </w:p>
        </w:tc>
        <w:tc>
          <w:tcPr>
            <w:tcW w:type="dxa" w:w="5717"/>
            <w:shd w:fill="EDF5F7"/>
            <w:vAlign w:val="center"/>
          </w:tcPr>
          <w:p>
            <w:pPr>
              <w:spacing w:before="80" w:after="80" w:line="240" w:lineRule="auto"/>
            </w:pPr>
            <w:r>
              <w:rPr>
                <w:sz w:val="18"/>
              </w:rPr>
              <w:t>Required customer-profile evidence</w:t>
            </w:r>
          </w:p>
        </w:tc>
      </w:tr>
      <w:tr>
        <w:trPr>
          <w:cantSplit/>
        </w:trPr>
        <w:tc>
          <w:tcPr>
            <w:tcW w:type="dxa" w:w="1872"/>
            <w:vAlign w:val="center"/>
          </w:tcPr>
          <w:p>
            <w:pPr>
              <w:spacing w:before="80" w:after="80" w:line="240" w:lineRule="auto"/>
            </w:pPr>
            <w:r>
              <w:rPr>
                <w:sz w:val="18"/>
              </w:rPr>
              <w:t>Contact</w:t>
            </w:r>
          </w:p>
        </w:tc>
        <w:tc>
          <w:tcPr>
            <w:tcW w:type="dxa" w:w="1080"/>
            <w:vAlign w:val="center"/>
          </w:tcPr>
          <w:p>
            <w:pPr>
              <w:spacing w:before="80" w:after="80" w:line="240" w:lineRule="auto"/>
            </w:pPr>
            <w:r>
              <w:rPr>
                <w:sz w:val="18"/>
              </w:rPr>
              <w:t>25%</w:t>
            </w:r>
          </w:p>
        </w:tc>
        <w:tc>
          <w:tcPr>
            <w:tcW w:type="dxa" w:w="1224"/>
            <w:vAlign w:val="center"/>
          </w:tcPr>
          <w:p>
            <w:pPr>
              <w:spacing w:before="80" w:after="80" w:line="240" w:lineRule="auto"/>
            </w:pPr>
            <w:r>
              <w:rPr>
                <w:sz w:val="18"/>
              </w:rPr>
              <w:t>0–100</w:t>
            </w:r>
          </w:p>
        </w:tc>
        <w:tc>
          <w:tcPr>
            <w:tcW w:type="dxa" w:w="5717"/>
            <w:vAlign w:val="center"/>
          </w:tcPr>
          <w:p>
            <w:pPr>
              <w:spacing w:before="80" w:after="80" w:line="240" w:lineRule="auto"/>
            </w:pPr>
            <w:r>
              <w:rPr>
                <w:sz w:val="18"/>
              </w:rPr>
              <w:t>Permitted contact-route availability</w:t>
            </w:r>
          </w:p>
        </w:tc>
      </w:tr>
      <w:tr>
        <w:trPr>
          <w:cantSplit/>
        </w:trPr>
        <w:tc>
          <w:tcPr>
            <w:tcW w:type="dxa" w:w="1872"/>
            <w:shd w:fill="EDF5F7"/>
            <w:vAlign w:val="center"/>
          </w:tcPr>
          <w:p>
            <w:pPr>
              <w:spacing w:before="80" w:after="80" w:line="240" w:lineRule="auto"/>
            </w:pPr>
            <w:r>
              <w:rPr>
                <w:sz w:val="18"/>
              </w:rPr>
              <w:t>Growth</w:t>
            </w:r>
          </w:p>
        </w:tc>
        <w:tc>
          <w:tcPr>
            <w:tcW w:type="dxa" w:w="1080"/>
            <w:shd w:fill="EDF5F7"/>
            <w:vAlign w:val="center"/>
          </w:tcPr>
          <w:p>
            <w:pPr>
              <w:spacing w:before="80" w:after="80" w:line="240" w:lineRule="auto"/>
            </w:pPr>
            <w:r>
              <w:rPr>
                <w:sz w:val="18"/>
              </w:rPr>
              <w:t>15%</w:t>
            </w:r>
          </w:p>
        </w:tc>
        <w:tc>
          <w:tcPr>
            <w:tcW w:type="dxa" w:w="1224"/>
            <w:shd w:fill="EDF5F7"/>
            <w:vAlign w:val="center"/>
          </w:tcPr>
          <w:p>
            <w:pPr>
              <w:spacing w:before="80" w:after="80" w:line="240" w:lineRule="auto"/>
            </w:pPr>
            <w:r>
              <w:rPr>
                <w:sz w:val="18"/>
              </w:rPr>
              <w:t>0–100</w:t>
            </w:r>
          </w:p>
        </w:tc>
        <w:tc>
          <w:tcPr>
            <w:tcW w:type="dxa" w:w="5717"/>
            <w:shd w:fill="EDF5F7"/>
            <w:vAlign w:val="center"/>
          </w:tcPr>
          <w:p>
            <w:pPr>
              <w:spacing w:before="80" w:after="80" w:line="240" w:lineRule="auto"/>
            </w:pPr>
            <w:r>
              <w:rPr>
                <w:sz w:val="18"/>
              </w:rPr>
              <w:t>Sourced, dated demand indicators</w:t>
            </w:r>
          </w:p>
        </w:tc>
      </w:tr>
    </w:tbl>
    <w:p>
      <w:pPr>
        <w:spacing w:after="0"/>
      </w:pPr>
    </w:p>
    <w:p>
      <w:r>
        <w:t>Raw score = ICP × 0.60 + Contact × 0.25 + Growth × 0.15. The code then applies qualification caps, clamps to 0–100 and rounds to one decimal. It never accepts model arithmetic.</w:t>
      </w:r>
    </w:p>
    <w:tbl>
      <w:tblPr>
        <w:tblW w:type="auto" w:w="0"/>
        <w:jc w:val="center"/>
        <w:tblLayout w:type="fixed"/>
        <w:tblLook w:firstColumn="1" w:firstRow="1" w:lastColumn="0" w:lastRow="0" w:noHBand="0" w:noVBand="1" w:val="04A0"/>
      </w:tblPr>
      <w:tblGrid>
        <w:gridCol w:w="2160"/>
        <w:gridCol w:w="7733"/>
      </w:tblGrid>
      <w:tr>
        <w:trPr>
          <w:tblHeader/>
          <w:cantSplit/>
        </w:trPr>
        <w:tc>
          <w:tcPr>
            <w:tcW w:type="dxa" w:w="2160"/>
            <w:shd w:fill="126A76"/>
            <w:vAlign w:val="center"/>
          </w:tcPr>
          <w:p>
            <w:pPr>
              <w:spacing w:before="80" w:after="80" w:line="240" w:lineRule="auto"/>
            </w:pPr>
            <w:r>
              <w:rPr>
                <w:b/>
                <w:color w:val="FFFFFF"/>
                <w:sz w:val="18"/>
              </w:rPr>
              <w:t>Priority</w:t>
            </w:r>
          </w:p>
        </w:tc>
        <w:tc>
          <w:tcPr>
            <w:tcW w:type="dxa" w:w="7733"/>
            <w:shd w:fill="126A76"/>
            <w:vAlign w:val="center"/>
          </w:tcPr>
          <w:p>
            <w:pPr>
              <w:spacing w:before="80" w:after="80" w:line="240" w:lineRule="auto"/>
            </w:pPr>
            <w:r>
              <w:rPr>
                <w:b/>
                <w:color w:val="FFFFFF"/>
                <w:sz w:val="18"/>
              </w:rPr>
              <w:t>Final score</w:t>
            </w:r>
          </w:p>
        </w:tc>
      </w:tr>
      <w:tr>
        <w:trPr>
          <w:cantSplit/>
        </w:trPr>
        <w:tc>
          <w:tcPr>
            <w:tcW w:type="dxa" w:w="2160"/>
            <w:shd w:fill="EDF5F7"/>
            <w:vAlign w:val="center"/>
          </w:tcPr>
          <w:p>
            <w:pPr>
              <w:spacing w:before="80" w:after="80" w:line="240" w:lineRule="auto"/>
            </w:pPr>
            <w:r>
              <w:rPr>
                <w:sz w:val="18"/>
              </w:rPr>
              <w:t>High</w:t>
            </w:r>
          </w:p>
        </w:tc>
        <w:tc>
          <w:tcPr>
            <w:tcW w:type="dxa" w:w="7733"/>
            <w:shd w:fill="EDF5F7"/>
            <w:vAlign w:val="center"/>
          </w:tcPr>
          <w:p>
            <w:pPr>
              <w:spacing w:before="80" w:after="80" w:line="240" w:lineRule="auto"/>
            </w:pPr>
            <w:r>
              <w:rPr>
                <w:sz w:val="18"/>
              </w:rPr>
              <w:t>80.0–100.0</w:t>
            </w:r>
          </w:p>
        </w:tc>
      </w:tr>
      <w:tr>
        <w:trPr>
          <w:cantSplit/>
        </w:trPr>
        <w:tc>
          <w:tcPr>
            <w:tcW w:type="dxa" w:w="2160"/>
            <w:vAlign w:val="center"/>
          </w:tcPr>
          <w:p>
            <w:pPr>
              <w:spacing w:before="80" w:after="80" w:line="240" w:lineRule="auto"/>
            </w:pPr>
            <w:r>
              <w:rPr>
                <w:sz w:val="18"/>
              </w:rPr>
              <w:t>Medium</w:t>
            </w:r>
          </w:p>
        </w:tc>
        <w:tc>
          <w:tcPr>
            <w:tcW w:type="dxa" w:w="7733"/>
            <w:vAlign w:val="center"/>
          </w:tcPr>
          <w:p>
            <w:pPr>
              <w:spacing w:before="80" w:after="80" w:line="240" w:lineRule="auto"/>
            </w:pPr>
            <w:r>
              <w:rPr>
                <w:sz w:val="18"/>
              </w:rPr>
              <w:t>50.0–79.9</w:t>
            </w:r>
          </w:p>
        </w:tc>
      </w:tr>
      <w:tr>
        <w:trPr>
          <w:cantSplit/>
        </w:trPr>
        <w:tc>
          <w:tcPr>
            <w:tcW w:type="dxa" w:w="2160"/>
            <w:shd w:fill="EDF5F7"/>
            <w:vAlign w:val="center"/>
          </w:tcPr>
          <w:p>
            <w:pPr>
              <w:spacing w:before="80" w:after="80" w:line="240" w:lineRule="auto"/>
            </w:pPr>
            <w:r>
              <w:rPr>
                <w:sz w:val="18"/>
              </w:rPr>
              <w:t>Low</w:t>
            </w:r>
          </w:p>
        </w:tc>
        <w:tc>
          <w:tcPr>
            <w:tcW w:type="dxa" w:w="7733"/>
            <w:shd w:fill="EDF5F7"/>
            <w:vAlign w:val="center"/>
          </w:tcPr>
          <w:p>
            <w:pPr>
              <w:spacing w:before="80" w:after="80" w:line="240" w:lineRule="auto"/>
            </w:pPr>
            <w:r>
              <w:rPr>
                <w:sz w:val="18"/>
              </w:rPr>
              <w:t>0.0–49.9</w:t>
            </w:r>
          </w:p>
        </w:tc>
      </w:tr>
    </w:tbl>
    <w:p>
      <w:pPr>
        <w:spacing w:after="0"/>
      </w:pPr>
    </w:p>
    <w:tbl>
      <w:tblPr>
        <w:tblW w:type="auto" w:w="0"/>
        <w:jc w:val="center"/>
        <w:tblLayout w:type="fixed"/>
        <w:tblLook w:firstColumn="1" w:firstRow="1" w:lastColumn="0" w:lastRow="0" w:noHBand="0" w:noVBand="1" w:val="04A0"/>
      </w:tblPr>
      <w:tblGrid>
        <w:gridCol w:w="1944"/>
        <w:gridCol w:w="6581"/>
        <w:gridCol w:w="1368"/>
      </w:tblGrid>
      <w:tr>
        <w:trPr>
          <w:tblHeader/>
          <w:cantSplit/>
        </w:trPr>
        <w:tc>
          <w:tcPr>
            <w:tcW w:type="dxa" w:w="1944"/>
            <w:shd w:fill="126A76"/>
            <w:vAlign w:val="center"/>
          </w:tcPr>
          <w:p>
            <w:pPr>
              <w:spacing w:before="80" w:after="80" w:line="240" w:lineRule="auto"/>
            </w:pPr>
            <w:r>
              <w:rPr>
                <w:b/>
                <w:color w:val="FFFFFF"/>
                <w:sz w:val="18"/>
              </w:rPr>
              <w:t>Qualification state</w:t>
            </w:r>
          </w:p>
        </w:tc>
        <w:tc>
          <w:tcPr>
            <w:tcW w:type="dxa" w:w="6581"/>
            <w:shd w:fill="126A76"/>
            <w:vAlign w:val="center"/>
          </w:tcPr>
          <w:p>
            <w:pPr>
              <w:spacing w:before="80" w:after="80" w:line="240" w:lineRule="auto"/>
            </w:pPr>
            <w:r>
              <w:rPr>
                <w:b/>
                <w:color w:val="FFFFFF"/>
                <w:sz w:val="18"/>
              </w:rPr>
              <w:t>Rule</w:t>
            </w:r>
          </w:p>
        </w:tc>
        <w:tc>
          <w:tcPr>
            <w:tcW w:type="dxa" w:w="1368"/>
            <w:shd w:fill="126A76"/>
            <w:vAlign w:val="center"/>
          </w:tcPr>
          <w:p>
            <w:pPr>
              <w:spacing w:before="80" w:after="80" w:line="240" w:lineRule="auto"/>
            </w:pPr>
            <w:r>
              <w:rPr>
                <w:b/>
                <w:color w:val="FFFFFF"/>
                <w:sz w:val="18"/>
              </w:rPr>
              <w:t>Final cap</w:t>
            </w:r>
          </w:p>
        </w:tc>
      </w:tr>
      <w:tr>
        <w:trPr>
          <w:cantSplit/>
        </w:trPr>
        <w:tc>
          <w:tcPr>
            <w:tcW w:type="dxa" w:w="1944"/>
            <w:shd w:fill="EDF5F7"/>
            <w:vAlign w:val="center"/>
          </w:tcPr>
          <w:p>
            <w:pPr>
              <w:spacing w:before="80" w:after="80" w:line="240" w:lineRule="auto"/>
            </w:pPr>
            <w:r>
              <w:rPr>
                <w:sz w:val="18"/>
              </w:rPr>
              <w:t>qualified</w:t>
            </w:r>
          </w:p>
        </w:tc>
        <w:tc>
          <w:tcPr>
            <w:tcW w:type="dxa" w:w="6581"/>
            <w:shd w:fill="EDF5F7"/>
            <w:vAlign w:val="center"/>
          </w:tcPr>
          <w:p>
            <w:pPr>
              <w:spacing w:before="80" w:after="80" w:line="240" w:lineRule="auto"/>
            </w:pPr>
            <w:r>
              <w:rPr>
                <w:sz w:val="18"/>
              </w:rPr>
              <w:t>All required ICP checks match and a permitted contact route matches.</w:t>
            </w:r>
          </w:p>
        </w:tc>
        <w:tc>
          <w:tcPr>
            <w:tcW w:type="dxa" w:w="1368"/>
            <w:shd w:fill="EDF5F7"/>
            <w:vAlign w:val="center"/>
          </w:tcPr>
          <w:p>
            <w:pPr>
              <w:spacing w:before="80" w:after="80" w:line="240" w:lineRule="auto"/>
            </w:pPr>
            <w:r>
              <w:rPr>
                <w:sz w:val="18"/>
              </w:rPr>
              <w:t>No extra cap</w:t>
            </w:r>
          </w:p>
        </w:tc>
      </w:tr>
      <w:tr>
        <w:trPr>
          <w:cantSplit/>
        </w:trPr>
        <w:tc>
          <w:tcPr>
            <w:tcW w:type="dxa" w:w="1944"/>
            <w:vAlign w:val="center"/>
          </w:tcPr>
          <w:p>
            <w:pPr>
              <w:spacing w:before="80" w:after="80" w:line="240" w:lineRule="auto"/>
            </w:pPr>
            <w:r>
              <w:rPr>
                <w:sz w:val="18"/>
              </w:rPr>
              <w:t>needs_review</w:t>
            </w:r>
          </w:p>
        </w:tc>
        <w:tc>
          <w:tcPr>
            <w:tcW w:type="dxa" w:w="6581"/>
            <w:vAlign w:val="center"/>
          </w:tcPr>
          <w:p>
            <w:pPr>
              <w:spacing w:before="80" w:after="80" w:line="240" w:lineRule="auto"/>
            </w:pPr>
            <w:r>
              <w:rPr>
                <w:sz w:val="18"/>
              </w:rPr>
              <w:t>No confirmed disqualifier, but required ICP/contact evidence is unresolved.</w:t>
            </w:r>
          </w:p>
        </w:tc>
        <w:tc>
          <w:tcPr>
            <w:tcW w:type="dxa" w:w="1368"/>
            <w:vAlign w:val="center"/>
          </w:tcPr>
          <w:p>
            <w:pPr>
              <w:spacing w:before="80" w:after="80" w:line="240" w:lineRule="auto"/>
            </w:pPr>
            <w:r>
              <w:rPr>
                <w:sz w:val="18"/>
              </w:rPr>
              <w:t>79.9</w:t>
            </w:r>
          </w:p>
        </w:tc>
      </w:tr>
      <w:tr>
        <w:trPr>
          <w:cantSplit/>
        </w:trPr>
        <w:tc>
          <w:tcPr>
            <w:tcW w:type="dxa" w:w="1944"/>
            <w:shd w:fill="EDF5F7"/>
            <w:vAlign w:val="center"/>
          </w:tcPr>
          <w:p>
            <w:pPr>
              <w:spacing w:before="80" w:after="80" w:line="240" w:lineRule="auto"/>
            </w:pPr>
            <w:r>
              <w:rPr>
                <w:sz w:val="18"/>
              </w:rPr>
              <w:t>disqualified</w:t>
            </w:r>
          </w:p>
        </w:tc>
        <w:tc>
          <w:tcPr>
            <w:tcW w:type="dxa" w:w="6581"/>
            <w:shd w:fill="EDF5F7"/>
            <w:vAlign w:val="center"/>
          </w:tcPr>
          <w:p>
            <w:pPr>
              <w:spacing w:before="80" w:after="80" w:line="240" w:lineRule="auto"/>
            </w:pPr>
            <w:r>
              <w:rPr>
                <w:sz w:val="18"/>
              </w:rPr>
              <w:t>At least one required ICP mismatch is established.</w:t>
            </w:r>
          </w:p>
        </w:tc>
        <w:tc>
          <w:tcPr>
            <w:tcW w:type="dxa" w:w="1368"/>
            <w:shd w:fill="EDF5F7"/>
            <w:vAlign w:val="center"/>
          </w:tcPr>
          <w:p>
            <w:pPr>
              <w:spacing w:before="80" w:after="80" w:line="240" w:lineRule="auto"/>
            </w:pPr>
            <w:r>
              <w:rPr>
                <w:sz w:val="18"/>
              </w:rPr>
              <w:t>49.0</w:t>
            </w:r>
          </w:p>
        </w:tc>
      </w:tr>
      <w:tr>
        <w:trPr>
          <w:cantSplit/>
        </w:trPr>
        <w:tc>
          <w:tcPr>
            <w:tcW w:type="dxa" w:w="1944"/>
            <w:vAlign w:val="center"/>
          </w:tcPr>
          <w:p>
            <w:pPr>
              <w:spacing w:before="80" w:after="80" w:line="240" w:lineRule="auto"/>
            </w:pPr>
            <w:r>
              <w:rPr>
                <w:sz w:val="18"/>
              </w:rPr>
              <w:t>uncontactable</w:t>
            </w:r>
          </w:p>
        </w:tc>
        <w:tc>
          <w:tcPr>
            <w:tcW w:type="dxa" w:w="6581"/>
            <w:vAlign w:val="center"/>
          </w:tcPr>
          <w:p>
            <w:pPr>
              <w:spacing w:before="80" w:after="80" w:line="240" w:lineRule="auto"/>
            </w:pPr>
            <w:r>
              <w:rPr>
                <w:sz w:val="18"/>
              </w:rPr>
              <w:t>The contact requirement mismatches (takes precedence over ICP mismatch).</w:t>
            </w:r>
          </w:p>
        </w:tc>
        <w:tc>
          <w:tcPr>
            <w:tcW w:type="dxa" w:w="1368"/>
            <w:vAlign w:val="center"/>
          </w:tcPr>
          <w:p>
            <w:pPr>
              <w:spacing w:before="80" w:after="80" w:line="240" w:lineRule="auto"/>
            </w:pPr>
            <w:r>
              <w:rPr>
                <w:sz w:val="18"/>
              </w:rPr>
              <w:t>49.0</w:t>
            </w:r>
          </w:p>
        </w:tc>
      </w:tr>
    </w:tbl>
    <w:p>
      <w:pPr>
        <w:spacing w:after="0"/>
      </w:pPr>
    </w:p>
    <w:p>
      <w:r>
        <w:t>Qualification state and priority are different: a fully qualified lead without growth can still be High (85.0); low numerical fit does not automatically prove a mismatch.</w:t>
      </w:r>
    </w:p>
    <w:p>
      <w:r>
        <w:br w:type="page"/>
      </w:r>
    </w:p>
    <w:p>
      <w:pPr>
        <w:pStyle w:val="Heading1"/>
      </w:pPr>
      <w:r>
        <w:t>02  ICP evidence and points</w:t>
      </w:r>
    </w:p>
    <w:tbl>
      <w:tblPr>
        <w:tblW w:type="auto" w:w="0"/>
        <w:jc w:val="center"/>
        <w:tblLayout w:type="fixed"/>
        <w:tblLook w:firstColumn="1" w:firstRow="1" w:lastColumn="0" w:lastRow="0" w:noHBand="0" w:noVBand="1" w:val="04A0"/>
      </w:tblPr>
      <w:tblGrid>
        <w:gridCol w:w="2376"/>
        <w:gridCol w:w="7517"/>
      </w:tblGrid>
      <w:tr>
        <w:trPr>
          <w:tblHeader/>
          <w:cantSplit/>
        </w:trPr>
        <w:tc>
          <w:tcPr>
            <w:tcW w:type="dxa" w:w="2376"/>
            <w:shd w:fill="126A76"/>
            <w:vAlign w:val="center"/>
          </w:tcPr>
          <w:p>
            <w:pPr>
              <w:spacing w:before="80" w:after="80" w:line="240" w:lineRule="auto"/>
            </w:pPr>
            <w:r>
              <w:rPr>
                <w:b/>
                <w:color w:val="FFFFFF"/>
                <w:sz w:val="18"/>
              </w:rPr>
              <w:t>Field</w:t>
            </w:r>
          </w:p>
        </w:tc>
        <w:tc>
          <w:tcPr>
            <w:tcW w:type="dxa" w:w="7517"/>
            <w:shd w:fill="126A76"/>
            <w:vAlign w:val="center"/>
          </w:tcPr>
          <w:p>
            <w:pPr>
              <w:spacing w:before="80" w:after="80" w:line="240" w:lineRule="auto"/>
            </w:pPr>
            <w:r>
              <w:rPr>
                <w:b/>
                <w:color w:val="FFFFFF"/>
                <w:sz w:val="18"/>
              </w:rPr>
              <w:t>What is compared</w:t>
            </w:r>
          </w:p>
        </w:tc>
      </w:tr>
      <w:tr>
        <w:trPr>
          <w:cantSplit/>
        </w:trPr>
        <w:tc>
          <w:tcPr>
            <w:tcW w:type="dxa" w:w="2376"/>
            <w:shd w:fill="EDF5F7"/>
            <w:vAlign w:val="center"/>
          </w:tcPr>
          <w:p>
            <w:pPr>
              <w:spacing w:before="80" w:after="80" w:line="240" w:lineRule="auto"/>
            </w:pPr>
            <w:r>
              <w:rPr>
                <w:sz w:val="18"/>
              </w:rPr>
              <w:t>Company size</w:t>
            </w:r>
          </w:p>
        </w:tc>
        <w:tc>
          <w:tcPr>
            <w:tcW w:type="dxa" w:w="7517"/>
            <w:shd w:fill="EDF5F7"/>
            <w:vAlign w:val="center"/>
          </w:tcPr>
          <w:p>
            <w:pPr>
              <w:spacing w:before="80" w:after="80" w:line="240" w:lineRule="auto"/>
            </w:pPr>
            <w:r>
              <w:rPr>
                <w:sz w:val="18"/>
              </w:rPr>
              <w:t>Researched company size against the requested range.</w:t>
            </w:r>
          </w:p>
        </w:tc>
      </w:tr>
      <w:tr>
        <w:trPr>
          <w:cantSplit/>
        </w:trPr>
        <w:tc>
          <w:tcPr>
            <w:tcW w:type="dxa" w:w="2376"/>
            <w:vAlign w:val="center"/>
          </w:tcPr>
          <w:p>
            <w:pPr>
              <w:spacing w:before="80" w:after="80" w:line="240" w:lineRule="auto"/>
            </w:pPr>
            <w:r>
              <w:rPr>
                <w:sz w:val="18"/>
              </w:rPr>
              <w:t>Company location</w:t>
            </w:r>
          </w:p>
        </w:tc>
        <w:tc>
          <w:tcPr>
            <w:tcW w:type="dxa" w:w="7517"/>
            <w:vAlign w:val="center"/>
          </w:tcPr>
          <w:p>
            <w:pPr>
              <w:spacing w:before="80" w:after="80" w:line="240" w:lineRule="auto"/>
            </w:pPr>
            <w:r>
              <w:rPr>
                <w:sz w:val="18"/>
              </w:rPr>
              <w:t>Company location against target geography.</w:t>
            </w:r>
          </w:p>
        </w:tc>
      </w:tr>
      <w:tr>
        <w:trPr>
          <w:cantSplit/>
        </w:trPr>
        <w:tc>
          <w:tcPr>
            <w:tcW w:type="dxa" w:w="2376"/>
            <w:shd w:fill="EDF5F7"/>
            <w:vAlign w:val="center"/>
          </w:tcPr>
          <w:p>
            <w:pPr>
              <w:spacing w:before="80" w:after="80" w:line="240" w:lineRule="auto"/>
            </w:pPr>
            <w:r>
              <w:rPr>
                <w:sz w:val="18"/>
              </w:rPr>
              <w:t>Annual revenue</w:t>
            </w:r>
          </w:p>
        </w:tc>
        <w:tc>
          <w:tcPr>
            <w:tcW w:type="dxa" w:w="7517"/>
            <w:shd w:fill="EDF5F7"/>
            <w:vAlign w:val="center"/>
          </w:tcPr>
          <w:p>
            <w:pPr>
              <w:spacing w:before="80" w:after="80" w:line="240" w:lineRule="auto"/>
            </w:pPr>
            <w:r>
              <w:rPr>
                <w:sz w:val="18"/>
              </w:rPr>
              <w:t>Researched revenue against the requested range.</w:t>
            </w:r>
          </w:p>
        </w:tc>
      </w:tr>
      <w:tr>
        <w:trPr>
          <w:cantSplit/>
        </w:trPr>
        <w:tc>
          <w:tcPr>
            <w:tcW w:type="dxa" w:w="2376"/>
            <w:vAlign w:val="center"/>
          </w:tcPr>
          <w:p>
            <w:pPr>
              <w:spacing w:before="80" w:after="80" w:line="240" w:lineRule="auto"/>
            </w:pPr>
            <w:r>
              <w:rPr>
                <w:sz w:val="18"/>
              </w:rPr>
              <w:t>Industry</w:t>
            </w:r>
          </w:p>
        </w:tc>
        <w:tc>
          <w:tcPr>
            <w:tcW w:type="dxa" w:w="7517"/>
            <w:vAlign w:val="center"/>
          </w:tcPr>
          <w:p>
            <w:pPr>
              <w:spacing w:before="80" w:after="80" w:line="240" w:lineRule="auto"/>
            </w:pPr>
            <w:r>
              <w:rPr>
                <w:sz w:val="18"/>
              </w:rPr>
              <w:t>Evidence-backed company industry.</w:t>
            </w:r>
          </w:p>
        </w:tc>
      </w:tr>
      <w:tr>
        <w:trPr>
          <w:cantSplit/>
        </w:trPr>
        <w:tc>
          <w:tcPr>
            <w:tcW w:type="dxa" w:w="2376"/>
            <w:shd w:fill="EDF5F7"/>
            <w:vAlign w:val="center"/>
          </w:tcPr>
          <w:p>
            <w:pPr>
              <w:spacing w:before="80" w:after="80" w:line="240" w:lineRule="auto"/>
            </w:pPr>
            <w:r>
              <w:rPr>
                <w:sz w:val="18"/>
              </w:rPr>
              <w:t>Current role / seniority</w:t>
            </w:r>
          </w:p>
        </w:tc>
        <w:tc>
          <w:tcPr>
            <w:tcW w:type="dxa" w:w="7517"/>
            <w:shd w:fill="EDF5F7"/>
            <w:vAlign w:val="center"/>
          </w:tcPr>
          <w:p>
            <w:pPr>
              <w:spacing w:before="80" w:after="80" w:line="240" w:lineRule="auto"/>
            </w:pPr>
            <w:r>
              <w:rPr>
                <w:sz w:val="18"/>
              </w:rPr>
              <w:t>Current role/function and required seniority.</w:t>
            </w:r>
          </w:p>
        </w:tc>
      </w:tr>
      <w:tr>
        <w:trPr>
          <w:cantSplit/>
        </w:trPr>
        <w:tc>
          <w:tcPr>
            <w:tcW w:type="dxa" w:w="2376"/>
            <w:vAlign w:val="center"/>
          </w:tcPr>
          <w:p>
            <w:pPr>
              <w:spacing w:before="80" w:after="80" w:line="240" w:lineRule="auto"/>
            </w:pPr>
            <w:r>
              <w:rPr>
                <w:sz w:val="18"/>
              </w:rPr>
              <w:t>Current employment</w:t>
            </w:r>
          </w:p>
        </w:tc>
        <w:tc>
          <w:tcPr>
            <w:tcW w:type="dxa" w:w="7517"/>
            <w:vAlign w:val="center"/>
          </w:tcPr>
          <w:p>
            <w:pPr>
              <w:spacing w:before="80" w:after="80" w:line="240" w:lineRule="auto"/>
            </w:pPr>
            <w:r>
              <w:rPr>
                <w:sz w:val="18"/>
              </w:rPr>
              <w:t>Current employment at the uploaded company (always required).</w:t>
            </w:r>
          </w:p>
        </w:tc>
      </w:tr>
    </w:tbl>
    <w:p>
      <w:pPr>
        <w:spacing w:after="0"/>
      </w:pPr>
    </w:p>
    <w:tbl>
      <w:tblPr>
        <w:tblW w:type="auto" w:w="0"/>
        <w:jc w:val="center"/>
        <w:tblLayout w:type="fixed"/>
        <w:tblLook w:firstColumn="1" w:firstRow="1" w:lastColumn="0" w:lastRow="0" w:noHBand="0" w:noVBand="1" w:val="04A0"/>
      </w:tblPr>
      <w:tblGrid>
        <w:gridCol w:w="2592"/>
        <w:gridCol w:w="1296"/>
        <w:gridCol w:w="6005"/>
      </w:tblGrid>
      <w:tr>
        <w:trPr>
          <w:tblHeader/>
          <w:cantSplit/>
        </w:trPr>
        <w:tc>
          <w:tcPr>
            <w:tcW w:type="dxa" w:w="2592"/>
            <w:shd w:fill="126A76"/>
            <w:vAlign w:val="center"/>
          </w:tcPr>
          <w:p>
            <w:pPr>
              <w:spacing w:before="80" w:after="80" w:line="240" w:lineRule="auto"/>
            </w:pPr>
            <w:r>
              <w:rPr>
                <w:b/>
                <w:color w:val="FFFFFF"/>
                <w:sz w:val="18"/>
              </w:rPr>
              <w:t>Verdict</w:t>
            </w:r>
          </w:p>
        </w:tc>
        <w:tc>
          <w:tcPr>
            <w:tcW w:type="dxa" w:w="1296"/>
            <w:shd w:fill="126A76"/>
            <w:vAlign w:val="center"/>
          </w:tcPr>
          <w:p>
            <w:pPr>
              <w:spacing w:before="80" w:after="80" w:line="240" w:lineRule="auto"/>
            </w:pPr>
            <w:r>
              <w:rPr>
                <w:b/>
                <w:color w:val="FFFFFF"/>
                <w:sz w:val="18"/>
              </w:rPr>
              <w:t>ICP points</w:t>
            </w:r>
          </w:p>
        </w:tc>
        <w:tc>
          <w:tcPr>
            <w:tcW w:type="dxa" w:w="6005"/>
            <w:shd w:fill="126A76"/>
            <w:vAlign w:val="center"/>
          </w:tcPr>
          <w:p>
            <w:pPr>
              <w:spacing w:before="80" w:after="80" w:line="240" w:lineRule="auto"/>
            </w:pPr>
            <w:r>
              <w:rPr>
                <w:b/>
                <w:color w:val="FFFFFF"/>
                <w:sz w:val="18"/>
              </w:rPr>
              <w:t>Treatment</w:t>
            </w:r>
          </w:p>
        </w:tc>
      </w:tr>
      <w:tr>
        <w:trPr>
          <w:cantSplit/>
        </w:trPr>
        <w:tc>
          <w:tcPr>
            <w:tcW w:type="dxa" w:w="2592"/>
            <w:shd w:fill="EDF5F7"/>
            <w:vAlign w:val="center"/>
          </w:tcPr>
          <w:p>
            <w:pPr>
              <w:spacing w:before="80" w:after="80" w:line="240" w:lineRule="auto"/>
            </w:pPr>
            <w:r>
              <w:rPr>
                <w:sz w:val="18"/>
              </w:rPr>
              <w:t>match</w:t>
            </w:r>
          </w:p>
        </w:tc>
        <w:tc>
          <w:tcPr>
            <w:tcW w:type="dxa" w:w="1296"/>
            <w:shd w:fill="EDF5F7"/>
            <w:vAlign w:val="center"/>
          </w:tcPr>
          <w:p>
            <w:pPr>
              <w:spacing w:before="80" w:after="80" w:line="240" w:lineRule="auto"/>
            </w:pPr>
            <w:r>
              <w:rPr>
                <w:sz w:val="18"/>
              </w:rPr>
              <w:t>1.0</w:t>
            </w:r>
          </w:p>
        </w:tc>
        <w:tc>
          <w:tcPr>
            <w:tcW w:type="dxa" w:w="6005"/>
            <w:shd w:fill="EDF5F7"/>
            <w:vAlign w:val="center"/>
          </w:tcPr>
          <w:p>
            <w:pPr>
              <w:spacing w:before="80" w:after="80" w:line="240" w:lineRule="auto"/>
            </w:pPr>
            <w:r>
              <w:rPr>
                <w:sz w:val="18"/>
              </w:rPr>
              <w:t>Required criterion is supported and matched.</w:t>
            </w:r>
          </w:p>
        </w:tc>
      </w:tr>
      <w:tr>
        <w:trPr>
          <w:cantSplit/>
        </w:trPr>
        <w:tc>
          <w:tcPr>
            <w:tcW w:type="dxa" w:w="2592"/>
            <w:vAlign w:val="center"/>
          </w:tcPr>
          <w:p>
            <w:pPr>
              <w:spacing w:before="80" w:after="80" w:line="240" w:lineRule="auto"/>
            </w:pPr>
            <w:r>
              <w:rPr>
                <w:sz w:val="18"/>
              </w:rPr>
              <w:t>mismatch</w:t>
            </w:r>
          </w:p>
        </w:tc>
        <w:tc>
          <w:tcPr>
            <w:tcW w:type="dxa" w:w="1296"/>
            <w:vAlign w:val="center"/>
          </w:tcPr>
          <w:p>
            <w:pPr>
              <w:spacing w:before="80" w:after="80" w:line="240" w:lineRule="auto"/>
            </w:pPr>
            <w:r>
              <w:rPr>
                <w:sz w:val="18"/>
              </w:rPr>
              <w:t>0.0</w:t>
            </w:r>
          </w:p>
        </w:tc>
        <w:tc>
          <w:tcPr>
            <w:tcW w:type="dxa" w:w="6005"/>
            <w:vAlign w:val="center"/>
          </w:tcPr>
          <w:p>
            <w:pPr>
              <w:spacing w:before="80" w:after="80" w:line="240" w:lineRule="auto"/>
            </w:pPr>
            <w:r>
              <w:rPr>
                <w:sz w:val="18"/>
              </w:rPr>
              <w:t>Confirmed required contradiction; final score capped at 49.</w:t>
            </w:r>
          </w:p>
        </w:tc>
      </w:tr>
      <w:tr>
        <w:trPr>
          <w:cantSplit/>
        </w:trPr>
        <w:tc>
          <w:tcPr>
            <w:tcW w:type="dxa" w:w="2592"/>
            <w:shd w:fill="EDF5F7"/>
            <w:vAlign w:val="center"/>
          </w:tcPr>
          <w:p>
            <w:pPr>
              <w:spacing w:before="80" w:after="80" w:line="240" w:lineRule="auto"/>
            </w:pPr>
            <w:r>
              <w:rPr>
                <w:sz w:val="18"/>
              </w:rPr>
              <w:t>unclear / unresolved</w:t>
            </w:r>
          </w:p>
        </w:tc>
        <w:tc>
          <w:tcPr>
            <w:tcW w:type="dxa" w:w="1296"/>
            <w:shd w:fill="EDF5F7"/>
            <w:vAlign w:val="center"/>
          </w:tcPr>
          <w:p>
            <w:pPr>
              <w:spacing w:before="80" w:after="80" w:line="240" w:lineRule="auto"/>
            </w:pPr>
            <w:r>
              <w:rPr>
                <w:sz w:val="18"/>
              </w:rPr>
              <w:t>0.5</w:t>
            </w:r>
          </w:p>
        </w:tc>
        <w:tc>
          <w:tcPr>
            <w:tcW w:type="dxa" w:w="6005"/>
            <w:shd w:fill="EDF5F7"/>
            <w:vAlign w:val="center"/>
          </w:tcPr>
          <w:p>
            <w:pPr>
              <w:spacing w:before="80" w:after="80" w:line="240" w:lineRule="auto"/>
            </w:pPr>
            <w:r>
              <w:rPr>
                <w:sz w:val="18"/>
              </w:rPr>
              <w:t>Required evidence unresolved; cannot be High until resolved.</w:t>
            </w:r>
          </w:p>
        </w:tc>
      </w:tr>
      <w:tr>
        <w:trPr>
          <w:cantSplit/>
        </w:trPr>
        <w:tc>
          <w:tcPr>
            <w:tcW w:type="dxa" w:w="2592"/>
            <w:vAlign w:val="center"/>
          </w:tcPr>
          <w:p>
            <w:pPr>
              <w:spacing w:before="80" w:after="80" w:line="240" w:lineRule="auto"/>
            </w:pPr>
            <w:r>
              <w:rPr>
                <w:sz w:val="18"/>
              </w:rPr>
              <w:t>not_specified / optional</w:t>
            </w:r>
          </w:p>
        </w:tc>
        <w:tc>
          <w:tcPr>
            <w:tcW w:type="dxa" w:w="1296"/>
            <w:vAlign w:val="center"/>
          </w:tcPr>
          <w:p>
            <w:pPr>
              <w:spacing w:before="80" w:after="80" w:line="240" w:lineRule="auto"/>
            </w:pPr>
            <w:r>
              <w:rPr>
                <w:sz w:val="18"/>
              </w:rPr>
              <w:t>Excluded</w:t>
            </w:r>
          </w:p>
        </w:tc>
        <w:tc>
          <w:tcPr>
            <w:tcW w:type="dxa" w:w="6005"/>
            <w:vAlign w:val="center"/>
          </w:tcPr>
          <w:p>
            <w:pPr>
              <w:spacing w:before="80" w:after="80" w:line="240" w:lineRule="auto"/>
            </w:pPr>
            <w:r>
              <w:rPr>
                <w:sz w:val="18"/>
              </w:rPr>
              <w:t>Not counted in the required-criteria denominator.</w:t>
            </w:r>
          </w:p>
        </w:tc>
      </w:tr>
    </w:tbl>
    <w:p>
      <w:pPr>
        <w:spacing w:after="0"/>
      </w:pPr>
    </w:p>
    <w:p>
      <w:r>
        <w:t>ICP score = 100 × total points / required criteria count, rounded to one decimal. No required criteria yields 0 and a pending assessment. Contact method and growth checks are excluded from this ICP average; employment is always included.</w:t>
      </w:r>
    </w:p>
    <w:p>
      <w:r>
        <w:t>Example: four matches plus one unclear required criterion produce (4 + 0.5) / 5 × 100 = 90.0. This is not a complete match; even strong contact/growth cannot override the needs_review cap.</w:t>
      </w:r>
    </w:p>
    <w:p>
      <w:pPr>
        <w:pStyle w:val="Heading2"/>
      </w:pPr>
      <w:r>
        <w:t>Proof safeguards</w:t>
      </w:r>
    </w:p>
    <w:p>
      <w:r>
        <w:t>Confirmed evidence needs a value, a safe HTTP(S) source URL returned by the search tool, and a supporting excerpt. Unsupported comparisons become unclear. Current employment matches; former employment mismatches; no reliable current proof is unclear. Additional mandatory criteria must quote the actual ICP and use allowed supporting sources. Optional language such as prefer, ideally or nice to have does not create a hard disqualifier.</w:t>
      </w:r>
    </w:p>
    <w:p>
      <w:r>
        <w:br w:type="page"/>
      </w:r>
    </w:p>
    <w:p>
      <w:pPr>
        <w:pStyle w:val="Heading1"/>
      </w:pPr>
      <w:r>
        <w:t>03  Contact availability</w:t>
      </w:r>
    </w:p>
    <w:p>
      <w:r>
        <w:t>The default rule needs at least one email or phone route. Requiring both channels when the ICP does not ask for both would incorrectly penalize leads; this policy avoids that.</w:t>
      </w:r>
    </w:p>
    <w:tbl>
      <w:tblPr>
        <w:tblW w:type="auto" w:w="0"/>
        <w:jc w:val="center"/>
        <w:tblLayout w:type="fixed"/>
        <w:tblLook w:firstColumn="1" w:firstRow="1" w:lastColumn="0" w:lastRow="0" w:noHBand="0" w:noVBand="1" w:val="04A0"/>
      </w:tblPr>
      <w:tblGrid>
        <w:gridCol w:w="3600"/>
        <w:gridCol w:w="6293"/>
      </w:tblGrid>
      <w:tr>
        <w:trPr>
          <w:tblHeader/>
          <w:cantSplit/>
        </w:trPr>
        <w:tc>
          <w:tcPr>
            <w:tcW w:type="dxa" w:w="3600"/>
            <w:shd w:fill="126A76"/>
            <w:vAlign w:val="center"/>
          </w:tcPr>
          <w:p>
            <w:pPr>
              <w:spacing w:before="80" w:after="80" w:line="240" w:lineRule="auto"/>
            </w:pPr>
            <w:r>
              <w:rPr>
                <w:b/>
                <w:color w:val="FFFFFF"/>
                <w:sz w:val="18"/>
              </w:rPr>
              <w:t>ICP requirement</w:t>
            </w:r>
          </w:p>
        </w:tc>
        <w:tc>
          <w:tcPr>
            <w:tcW w:type="dxa" w:w="6293"/>
            <w:shd w:fill="126A76"/>
            <w:vAlign w:val="center"/>
          </w:tcPr>
          <w:p>
            <w:pPr>
              <w:spacing w:before="80" w:after="80" w:line="240" w:lineRule="auto"/>
            </w:pPr>
            <w:r>
              <w:rPr>
                <w:b/>
                <w:color w:val="FFFFFF"/>
                <w:sz w:val="18"/>
              </w:rPr>
              <w:t>Passing channels</w:t>
            </w:r>
          </w:p>
        </w:tc>
      </w:tr>
      <w:tr>
        <w:trPr>
          <w:cantSplit/>
        </w:trPr>
        <w:tc>
          <w:tcPr>
            <w:tcW w:type="dxa" w:w="3600"/>
            <w:shd w:fill="EDF5F7"/>
            <w:vAlign w:val="center"/>
          </w:tcPr>
          <w:p>
            <w:pPr>
              <w:spacing w:before="80" w:after="80" w:line="240" w:lineRule="auto"/>
            </w:pPr>
            <w:r>
              <w:rPr>
                <w:sz w:val="18"/>
              </w:rPr>
              <w:t>Default / email OR phone</w:t>
            </w:r>
          </w:p>
        </w:tc>
        <w:tc>
          <w:tcPr>
            <w:tcW w:type="dxa" w:w="6293"/>
            <w:shd w:fill="EDF5F7"/>
            <w:vAlign w:val="center"/>
          </w:tcPr>
          <w:p>
            <w:pPr>
              <w:spacing w:before="80" w:after="80" w:line="240" w:lineRule="auto"/>
            </w:pPr>
            <w:r>
              <w:rPr>
                <w:sz w:val="18"/>
              </w:rPr>
              <w:t>Any available email or phone.</w:t>
            </w:r>
          </w:p>
        </w:tc>
      </w:tr>
      <w:tr>
        <w:trPr>
          <w:cantSplit/>
        </w:trPr>
        <w:tc>
          <w:tcPr>
            <w:tcW w:type="dxa" w:w="3600"/>
            <w:vAlign w:val="center"/>
          </w:tcPr>
          <w:p>
            <w:pPr>
              <w:spacing w:before="80" w:after="80" w:line="240" w:lineRule="auto"/>
            </w:pPr>
            <w:r>
              <w:rPr>
                <w:sz w:val="18"/>
              </w:rPr>
              <w:t>Email explicitly required</w:t>
            </w:r>
          </w:p>
        </w:tc>
        <w:tc>
          <w:tcPr>
            <w:tcW w:type="dxa" w:w="6293"/>
            <w:vAlign w:val="center"/>
          </w:tcPr>
          <w:p>
            <w:pPr>
              <w:spacing w:before="80" w:after="80" w:line="240" w:lineRule="auto"/>
            </w:pPr>
            <w:r>
              <w:rPr>
                <w:sz w:val="18"/>
              </w:rPr>
              <w:t>An available email; a phone alone is insufficient.</w:t>
            </w:r>
          </w:p>
        </w:tc>
      </w:tr>
      <w:tr>
        <w:trPr>
          <w:cantSplit/>
        </w:trPr>
        <w:tc>
          <w:tcPr>
            <w:tcW w:type="dxa" w:w="3600"/>
            <w:shd w:fill="EDF5F7"/>
            <w:vAlign w:val="center"/>
          </w:tcPr>
          <w:p>
            <w:pPr>
              <w:spacing w:before="80" w:after="80" w:line="240" w:lineRule="auto"/>
            </w:pPr>
            <w:r>
              <w:rPr>
                <w:sz w:val="18"/>
              </w:rPr>
              <w:t>Phone explicitly required</w:t>
            </w:r>
          </w:p>
        </w:tc>
        <w:tc>
          <w:tcPr>
            <w:tcW w:type="dxa" w:w="6293"/>
            <w:shd w:fill="EDF5F7"/>
            <w:vAlign w:val="center"/>
          </w:tcPr>
          <w:p>
            <w:pPr>
              <w:spacing w:before="80" w:after="80" w:line="240" w:lineRule="auto"/>
            </w:pPr>
            <w:r>
              <w:rPr>
                <w:sz w:val="18"/>
              </w:rPr>
              <w:t>An available phone; an email alone is insufficient.</w:t>
            </w:r>
          </w:p>
        </w:tc>
      </w:tr>
      <w:tr>
        <w:trPr>
          <w:cantSplit/>
        </w:trPr>
        <w:tc>
          <w:tcPr>
            <w:tcW w:type="dxa" w:w="3600"/>
            <w:vAlign w:val="center"/>
          </w:tcPr>
          <w:p>
            <w:pPr>
              <w:spacing w:before="80" w:after="80" w:line="240" w:lineRule="auto"/>
            </w:pPr>
            <w:r>
              <w:rPr>
                <w:sz w:val="18"/>
              </w:rPr>
              <w:t>Both explicitly required</w:t>
            </w:r>
          </w:p>
        </w:tc>
        <w:tc>
          <w:tcPr>
            <w:tcW w:type="dxa" w:w="6293"/>
            <w:vAlign w:val="center"/>
          </w:tcPr>
          <w:p>
            <w:pPr>
              <w:spacing w:before="80" w:after="80" w:line="240" w:lineRule="auto"/>
            </w:pPr>
            <w:r>
              <w:rPr>
                <w:sz w:val="18"/>
              </w:rPr>
              <w:t>Both email and phone available.</w:t>
            </w:r>
          </w:p>
        </w:tc>
      </w:tr>
      <w:tr>
        <w:trPr>
          <w:cantSplit/>
        </w:trPr>
        <w:tc>
          <w:tcPr>
            <w:tcW w:type="dxa" w:w="3600"/>
            <w:shd w:fill="EDF5F7"/>
            <w:vAlign w:val="center"/>
          </w:tcPr>
          <w:p>
            <w:pPr>
              <w:spacing w:before="80" w:after="80" w:line="240" w:lineRule="auto"/>
            </w:pPr>
            <w:r>
              <w:rPr>
                <w:sz w:val="18"/>
              </w:rPr>
              <w:t>Verified/deliverable email explicitly required</w:t>
            </w:r>
          </w:p>
        </w:tc>
        <w:tc>
          <w:tcPr>
            <w:tcW w:type="dxa" w:w="6293"/>
            <w:shd w:fill="EDF5F7"/>
            <w:vAlign w:val="center"/>
          </w:tcPr>
          <w:p>
            <w:pPr>
              <w:spacing w:before="80" w:after="80" w:line="240" w:lineRule="auto"/>
            </w:pPr>
            <w:r>
              <w:rPr>
                <w:sz w:val="18"/>
              </w:rPr>
              <w:t>Mailbox delivery is not established by these checks; email stays unresolved.</w:t>
            </w:r>
          </w:p>
        </w:tc>
      </w:tr>
    </w:tbl>
    <w:p>
      <w:pPr>
        <w:spacing w:after="0"/>
      </w:pPr>
    </w:p>
    <w:tbl>
      <w:tblPr>
        <w:tblW w:type="auto" w:w="0"/>
        <w:jc w:val="center"/>
        <w:tblLayout w:type="fixed"/>
        <w:tblLook w:firstColumn="1" w:firstRow="1" w:lastColumn="0" w:lastRow="0" w:noHBand="0" w:noVBand="1" w:val="04A0"/>
      </w:tblPr>
      <w:tblGrid>
        <w:gridCol w:w="2160"/>
        <w:gridCol w:w="1008"/>
        <w:gridCol w:w="6725"/>
      </w:tblGrid>
      <w:tr>
        <w:trPr>
          <w:tblHeader/>
          <w:cantSplit/>
        </w:trPr>
        <w:tc>
          <w:tcPr>
            <w:tcW w:type="dxa" w:w="2160"/>
            <w:shd w:fill="126A76"/>
            <w:vAlign w:val="center"/>
          </w:tcPr>
          <w:p>
            <w:pPr>
              <w:spacing w:before="80" w:after="80" w:line="240" w:lineRule="auto"/>
            </w:pPr>
            <w:r>
              <w:rPr>
                <w:b/>
                <w:color w:val="FFFFFF"/>
                <w:sz w:val="18"/>
              </w:rPr>
              <w:t>Contact outcome</w:t>
            </w:r>
          </w:p>
        </w:tc>
        <w:tc>
          <w:tcPr>
            <w:tcW w:type="dxa" w:w="1008"/>
            <w:shd w:fill="126A76"/>
            <w:vAlign w:val="center"/>
          </w:tcPr>
          <w:p>
            <w:pPr>
              <w:spacing w:before="80" w:after="80" w:line="240" w:lineRule="auto"/>
            </w:pPr>
            <w:r>
              <w:rPr>
                <w:b/>
                <w:color w:val="FFFFFF"/>
                <w:sz w:val="18"/>
              </w:rPr>
              <w:t>Score</w:t>
            </w:r>
          </w:p>
        </w:tc>
        <w:tc>
          <w:tcPr>
            <w:tcW w:type="dxa" w:w="6725"/>
            <w:shd w:fill="126A76"/>
            <w:vAlign w:val="center"/>
          </w:tcPr>
          <w:p>
            <w:pPr>
              <w:spacing w:before="80" w:after="80" w:line="240" w:lineRule="auto"/>
            </w:pPr>
            <w:r>
              <w:rPr>
                <w:b/>
                <w:color w:val="FFFFFF"/>
                <w:sz w:val="18"/>
              </w:rPr>
              <w:t>Qualification effect</w:t>
            </w:r>
          </w:p>
        </w:tc>
      </w:tr>
      <w:tr>
        <w:trPr>
          <w:cantSplit/>
        </w:trPr>
        <w:tc>
          <w:tcPr>
            <w:tcW w:type="dxa" w:w="2160"/>
            <w:shd w:fill="EDF5F7"/>
            <w:vAlign w:val="center"/>
          </w:tcPr>
          <w:p>
            <w:pPr>
              <w:spacing w:before="80" w:after="80" w:line="240" w:lineRule="auto"/>
            </w:pPr>
            <w:r>
              <w:rPr>
                <w:sz w:val="18"/>
              </w:rPr>
              <w:t>match</w:t>
            </w:r>
          </w:p>
        </w:tc>
        <w:tc>
          <w:tcPr>
            <w:tcW w:type="dxa" w:w="1008"/>
            <w:shd w:fill="EDF5F7"/>
            <w:vAlign w:val="center"/>
          </w:tcPr>
          <w:p>
            <w:pPr>
              <w:spacing w:before="80" w:after="80" w:line="240" w:lineRule="auto"/>
            </w:pPr>
            <w:r>
              <w:rPr>
                <w:sz w:val="18"/>
              </w:rPr>
              <w:t>100</w:t>
            </w:r>
          </w:p>
        </w:tc>
        <w:tc>
          <w:tcPr>
            <w:tcW w:type="dxa" w:w="6725"/>
            <w:shd w:fill="EDF5F7"/>
            <w:vAlign w:val="center"/>
          </w:tcPr>
          <w:p>
            <w:pPr>
              <w:spacing w:before="80" w:after="80" w:line="240" w:lineRule="auto"/>
            </w:pPr>
            <w:r>
              <w:rPr>
                <w:sz w:val="18"/>
              </w:rPr>
              <w:t>A permitted route is established.</w:t>
            </w:r>
          </w:p>
        </w:tc>
      </w:tr>
      <w:tr>
        <w:trPr>
          <w:cantSplit/>
        </w:trPr>
        <w:tc>
          <w:tcPr>
            <w:tcW w:type="dxa" w:w="2160"/>
            <w:vAlign w:val="center"/>
          </w:tcPr>
          <w:p>
            <w:pPr>
              <w:spacing w:before="80" w:after="80" w:line="240" w:lineRule="auto"/>
            </w:pPr>
            <w:r>
              <w:rPr>
                <w:sz w:val="18"/>
              </w:rPr>
              <w:t>unclear</w:t>
            </w:r>
          </w:p>
        </w:tc>
        <w:tc>
          <w:tcPr>
            <w:tcW w:type="dxa" w:w="1008"/>
            <w:vAlign w:val="center"/>
          </w:tcPr>
          <w:p>
            <w:pPr>
              <w:spacing w:before="80" w:after="80" w:line="240" w:lineRule="auto"/>
            </w:pPr>
            <w:r>
              <w:rPr>
                <w:sz w:val="18"/>
              </w:rPr>
              <w:t>50</w:t>
            </w:r>
          </w:p>
        </w:tc>
        <w:tc>
          <w:tcPr>
            <w:tcW w:type="dxa" w:w="6725"/>
            <w:vAlign w:val="center"/>
          </w:tcPr>
          <w:p>
            <w:pPr>
              <w:spacing w:before="80" w:after="80" w:line="240" w:lineRule="auto"/>
            </w:pPr>
            <w:r>
              <w:rPr>
                <w:sz w:val="18"/>
              </w:rPr>
              <w:t>No pass, but a required/default channel has unknown evidence; needs review.</w:t>
            </w:r>
          </w:p>
        </w:tc>
      </w:tr>
      <w:tr>
        <w:trPr>
          <w:cantSplit/>
        </w:trPr>
        <w:tc>
          <w:tcPr>
            <w:tcW w:type="dxa" w:w="2160"/>
            <w:shd w:fill="EDF5F7"/>
            <w:vAlign w:val="center"/>
          </w:tcPr>
          <w:p>
            <w:pPr>
              <w:spacing w:before="80" w:after="80" w:line="240" w:lineRule="auto"/>
            </w:pPr>
            <w:r>
              <w:rPr>
                <w:sz w:val="18"/>
              </w:rPr>
              <w:t>mismatch</w:t>
            </w:r>
          </w:p>
        </w:tc>
        <w:tc>
          <w:tcPr>
            <w:tcW w:type="dxa" w:w="1008"/>
            <w:shd w:fill="EDF5F7"/>
            <w:vAlign w:val="center"/>
          </w:tcPr>
          <w:p>
            <w:pPr>
              <w:spacing w:before="80" w:after="80" w:line="240" w:lineRule="auto"/>
            </w:pPr>
            <w:r>
              <w:rPr>
                <w:sz w:val="18"/>
              </w:rPr>
              <w:t>0</w:t>
            </w:r>
          </w:p>
        </w:tc>
        <w:tc>
          <w:tcPr>
            <w:tcW w:type="dxa" w:w="6725"/>
            <w:shd w:fill="EDF5F7"/>
            <w:vAlign w:val="center"/>
          </w:tcPr>
          <w:p>
            <w:pPr>
              <w:spacing w:before="80" w:after="80" w:line="240" w:lineRule="auto"/>
            </w:pPr>
            <w:r>
              <w:rPr>
                <w:sz w:val="18"/>
              </w:rPr>
              <w:t>No permitted route established and no relevant unknown channel; uncontactable cap 49.</w:t>
            </w:r>
          </w:p>
        </w:tc>
      </w:tr>
    </w:tbl>
    <w:p>
      <w:pPr>
        <w:spacing w:after="0"/>
      </w:pPr>
    </w:p>
    <w:p>
      <w:r>
        <w:t>Method states available and unverified count as available routes; unknown does not establish a pass. Status requires a nonempty channel value. In both-channel mode, the current implementation treats any needed unknown channel as pending when the overall requirement does not pass; do not infer that the other channel was proven deliverable.</w:t>
      </w:r>
    </w:p>
    <w:p>
      <w:pPr>
        <w:pStyle w:val="Heading2"/>
      </w:pPr>
      <w:r>
        <w:t>What the score does and does not establish</w:t>
      </w:r>
    </w:p>
    <w:p>
      <w:r>
        <w:t>Email syntax/DNS and phone numbering-plan checks establish limited availability evidence. They do not establish inbox delivery, phone ownership or a connected call. SMTP disabled, timeouts and missing delivery evidence do not prove that a mailbox is invalid. Strict verified-email requirements remain unresolved rather than being falsely certified.</w:t>
      </w:r>
    </w:p>
    <w:p>
      <w:r>
        <w:t>Outreach uses a permitted channel only. If no channel matches, the deterministic draft uses channel none and no opening message. AI may improve wording, but it cannot change scores, eligibility or the selected contact route.</w:t>
      </w:r>
    </w:p>
    <w:p>
      <w:r>
        <w:br w:type="page"/>
      </w:r>
    </w:p>
    <w:p>
      <w:pPr>
        <w:pStyle w:val="Heading1"/>
      </w:pPr>
      <w:r>
        <w:t>04  Growth signals and recency</w:t>
      </w:r>
    </w:p>
    <w:tbl>
      <w:tblPr>
        <w:tblW w:type="auto" w:w="0"/>
        <w:jc w:val="center"/>
        <w:tblLayout w:type="fixed"/>
        <w:tblLook w:firstColumn="1" w:firstRow="1" w:lastColumn="0" w:lastRow="0" w:noHBand="0" w:noVBand="1" w:val="04A0"/>
      </w:tblPr>
      <w:tblGrid>
        <w:gridCol w:w="7056"/>
        <w:gridCol w:w="2837"/>
      </w:tblGrid>
      <w:tr>
        <w:trPr>
          <w:tblHeader/>
          <w:cantSplit/>
        </w:trPr>
        <w:tc>
          <w:tcPr>
            <w:tcW w:type="dxa" w:w="7056"/>
            <w:shd w:fill="126A76"/>
            <w:vAlign w:val="center"/>
          </w:tcPr>
          <w:p>
            <w:pPr>
              <w:spacing w:before="80" w:after="80" w:line="240" w:lineRule="auto"/>
            </w:pPr>
            <w:r>
              <w:rPr>
                <w:b/>
                <w:color w:val="FFFFFF"/>
                <w:sz w:val="18"/>
              </w:rPr>
              <w:t>Event type</w:t>
            </w:r>
          </w:p>
        </w:tc>
        <w:tc>
          <w:tcPr>
            <w:tcW w:type="dxa" w:w="2837"/>
            <w:shd w:fill="126A76"/>
            <w:vAlign w:val="center"/>
          </w:tcPr>
          <w:p>
            <w:pPr>
              <w:spacing w:before="80" w:after="80" w:line="240" w:lineRule="auto"/>
            </w:pPr>
            <w:r>
              <w:rPr>
                <w:b/>
                <w:color w:val="FFFFFF"/>
                <w:sz w:val="18"/>
              </w:rPr>
              <w:t>Base strength</w:t>
            </w:r>
          </w:p>
        </w:tc>
      </w:tr>
      <w:tr>
        <w:trPr>
          <w:cantSplit/>
        </w:trPr>
        <w:tc>
          <w:tcPr>
            <w:tcW w:type="dxa" w:w="7056"/>
            <w:shd w:fill="EDF5F7"/>
            <w:vAlign w:val="center"/>
          </w:tcPr>
          <w:p>
            <w:pPr>
              <w:spacing w:before="80" w:after="80" w:line="240" w:lineRule="auto"/>
            </w:pPr>
            <w:r>
              <w:rPr>
                <w:sz w:val="18"/>
              </w:rPr>
              <w:t>Hiring</w:t>
            </w:r>
          </w:p>
        </w:tc>
        <w:tc>
          <w:tcPr>
            <w:tcW w:type="dxa" w:w="2837"/>
            <w:shd w:fill="EDF5F7"/>
            <w:vAlign w:val="center"/>
          </w:tcPr>
          <w:p>
            <w:pPr>
              <w:spacing w:before="80" w:after="80" w:line="240" w:lineRule="auto"/>
            </w:pPr>
            <w:r>
              <w:rPr>
                <w:sz w:val="18"/>
              </w:rPr>
              <w:t>100</w:t>
            </w:r>
          </w:p>
        </w:tc>
      </w:tr>
      <w:tr>
        <w:trPr>
          <w:cantSplit/>
        </w:trPr>
        <w:tc>
          <w:tcPr>
            <w:tcW w:type="dxa" w:w="7056"/>
            <w:vAlign w:val="center"/>
          </w:tcPr>
          <w:p>
            <w:pPr>
              <w:spacing w:before="80" w:after="80" w:line="240" w:lineRule="auto"/>
            </w:pPr>
            <w:r>
              <w:rPr>
                <w:sz w:val="18"/>
              </w:rPr>
              <w:t>Expansion</w:t>
            </w:r>
          </w:p>
        </w:tc>
        <w:tc>
          <w:tcPr>
            <w:tcW w:type="dxa" w:w="2837"/>
            <w:vAlign w:val="center"/>
          </w:tcPr>
          <w:p>
            <w:pPr>
              <w:spacing w:before="80" w:after="80" w:line="240" w:lineRule="auto"/>
            </w:pPr>
            <w:r>
              <w:rPr>
                <w:sz w:val="18"/>
              </w:rPr>
              <w:t>95</w:t>
            </w:r>
          </w:p>
        </w:tc>
      </w:tr>
      <w:tr>
        <w:trPr>
          <w:cantSplit/>
        </w:trPr>
        <w:tc>
          <w:tcPr>
            <w:tcW w:type="dxa" w:w="7056"/>
            <w:shd w:fill="EDF5F7"/>
            <w:vAlign w:val="center"/>
          </w:tcPr>
          <w:p>
            <w:pPr>
              <w:spacing w:before="80" w:after="80" w:line="240" w:lineRule="auto"/>
            </w:pPr>
            <w:r>
              <w:rPr>
                <w:sz w:val="18"/>
              </w:rPr>
              <w:t>Technology Investment</w:t>
            </w:r>
          </w:p>
        </w:tc>
        <w:tc>
          <w:tcPr>
            <w:tcW w:type="dxa" w:w="2837"/>
            <w:shd w:fill="EDF5F7"/>
            <w:vAlign w:val="center"/>
          </w:tcPr>
          <w:p>
            <w:pPr>
              <w:spacing w:before="80" w:after="80" w:line="240" w:lineRule="auto"/>
            </w:pPr>
            <w:r>
              <w:rPr>
                <w:sz w:val="18"/>
              </w:rPr>
              <w:t>90</w:t>
            </w:r>
          </w:p>
        </w:tc>
      </w:tr>
      <w:tr>
        <w:trPr>
          <w:cantSplit/>
        </w:trPr>
        <w:tc>
          <w:tcPr>
            <w:tcW w:type="dxa" w:w="7056"/>
            <w:vAlign w:val="center"/>
          </w:tcPr>
          <w:p>
            <w:pPr>
              <w:spacing w:before="80" w:after="80" w:line="240" w:lineRule="auto"/>
            </w:pPr>
            <w:r>
              <w:rPr>
                <w:sz w:val="18"/>
              </w:rPr>
              <w:t>Funding</w:t>
            </w:r>
          </w:p>
        </w:tc>
        <w:tc>
          <w:tcPr>
            <w:tcW w:type="dxa" w:w="2837"/>
            <w:vAlign w:val="center"/>
          </w:tcPr>
          <w:p>
            <w:pPr>
              <w:spacing w:before="80" w:after="80" w:line="240" w:lineRule="auto"/>
            </w:pPr>
            <w:r>
              <w:rPr>
                <w:sz w:val="18"/>
              </w:rPr>
              <w:t>80</w:t>
            </w:r>
          </w:p>
        </w:tc>
      </w:tr>
      <w:tr>
        <w:trPr>
          <w:cantSplit/>
        </w:trPr>
        <w:tc>
          <w:tcPr>
            <w:tcW w:type="dxa" w:w="7056"/>
            <w:shd w:fill="EDF5F7"/>
            <w:vAlign w:val="center"/>
          </w:tcPr>
          <w:p>
            <w:pPr>
              <w:spacing w:before="80" w:after="80" w:line="240" w:lineRule="auto"/>
            </w:pPr>
            <w:r>
              <w:rPr>
                <w:sz w:val="18"/>
              </w:rPr>
              <w:t>Acquisition</w:t>
            </w:r>
          </w:p>
        </w:tc>
        <w:tc>
          <w:tcPr>
            <w:tcW w:type="dxa" w:w="2837"/>
            <w:shd w:fill="EDF5F7"/>
            <w:vAlign w:val="center"/>
          </w:tcPr>
          <w:p>
            <w:pPr>
              <w:spacing w:before="80" w:after="80" w:line="240" w:lineRule="auto"/>
            </w:pPr>
            <w:r>
              <w:rPr>
                <w:sz w:val="18"/>
              </w:rPr>
              <w:t>70</w:t>
            </w:r>
          </w:p>
        </w:tc>
      </w:tr>
      <w:tr>
        <w:trPr>
          <w:cantSplit/>
        </w:trPr>
        <w:tc>
          <w:tcPr>
            <w:tcW w:type="dxa" w:w="7056"/>
            <w:vAlign w:val="center"/>
          </w:tcPr>
          <w:p>
            <w:pPr>
              <w:spacing w:before="80" w:after="80" w:line="240" w:lineRule="auto"/>
            </w:pPr>
            <w:r>
              <w:rPr>
                <w:sz w:val="18"/>
              </w:rPr>
              <w:t>Product Launch</w:t>
            </w:r>
          </w:p>
        </w:tc>
        <w:tc>
          <w:tcPr>
            <w:tcW w:type="dxa" w:w="2837"/>
            <w:vAlign w:val="center"/>
          </w:tcPr>
          <w:p>
            <w:pPr>
              <w:spacing w:before="80" w:after="80" w:line="240" w:lineRule="auto"/>
            </w:pPr>
            <w:r>
              <w:rPr>
                <w:sz w:val="18"/>
              </w:rPr>
              <w:t>60</w:t>
            </w:r>
          </w:p>
        </w:tc>
      </w:tr>
      <w:tr>
        <w:trPr>
          <w:cantSplit/>
        </w:trPr>
        <w:tc>
          <w:tcPr>
            <w:tcW w:type="dxa" w:w="7056"/>
            <w:shd w:fill="EDF5F7"/>
            <w:vAlign w:val="center"/>
          </w:tcPr>
          <w:p>
            <w:pPr>
              <w:spacing w:before="80" w:after="80" w:line="240" w:lineRule="auto"/>
            </w:pPr>
            <w:r>
              <w:rPr>
                <w:sz w:val="18"/>
              </w:rPr>
              <w:t>Leadership Change</w:t>
            </w:r>
          </w:p>
        </w:tc>
        <w:tc>
          <w:tcPr>
            <w:tcW w:type="dxa" w:w="2837"/>
            <w:shd w:fill="EDF5F7"/>
            <w:vAlign w:val="center"/>
          </w:tcPr>
          <w:p>
            <w:pPr>
              <w:spacing w:before="80" w:after="80" w:line="240" w:lineRule="auto"/>
            </w:pPr>
            <w:r>
              <w:rPr>
                <w:sz w:val="18"/>
              </w:rPr>
              <w:t>45</w:t>
            </w:r>
          </w:p>
        </w:tc>
      </w:tr>
    </w:tbl>
    <w:p>
      <w:pPr>
        <w:spacing w:after="0"/>
      </w:pPr>
    </w:p>
    <w:tbl>
      <w:tblPr>
        <w:tblW w:type="auto" w:w="0"/>
        <w:jc w:val="center"/>
        <w:tblLayout w:type="fixed"/>
        <w:tblLook w:firstColumn="1" w:firstRow="1" w:lastColumn="0" w:lastRow="0" w:noHBand="0" w:noVBand="1" w:val="04A0"/>
      </w:tblPr>
      <w:tblGrid>
        <w:gridCol w:w="4680"/>
        <w:gridCol w:w="1584"/>
        <w:gridCol w:w="3629"/>
      </w:tblGrid>
      <w:tr>
        <w:trPr>
          <w:tblHeader/>
          <w:cantSplit/>
        </w:trPr>
        <w:tc>
          <w:tcPr>
            <w:tcW w:type="dxa" w:w="4680"/>
            <w:shd w:fill="126A76"/>
            <w:vAlign w:val="center"/>
          </w:tcPr>
          <w:p>
            <w:pPr>
              <w:spacing w:before="80" w:after="80" w:line="240" w:lineRule="auto"/>
            </w:pPr>
            <w:r>
              <w:rPr>
                <w:b/>
                <w:color w:val="FFFFFF"/>
                <w:sz w:val="18"/>
              </w:rPr>
              <w:t>Age at research time</w:t>
            </w:r>
          </w:p>
        </w:tc>
        <w:tc>
          <w:tcPr>
            <w:tcW w:type="dxa" w:w="1584"/>
            <w:shd w:fill="126A76"/>
            <w:vAlign w:val="center"/>
          </w:tcPr>
          <w:p>
            <w:pPr>
              <w:spacing w:before="80" w:after="80" w:line="240" w:lineRule="auto"/>
            </w:pPr>
            <w:r>
              <w:rPr>
                <w:b/>
                <w:color w:val="FFFFFF"/>
                <w:sz w:val="18"/>
              </w:rPr>
              <w:t>Multiplier</w:t>
            </w:r>
          </w:p>
        </w:tc>
        <w:tc>
          <w:tcPr>
            <w:tcW w:type="dxa" w:w="3629"/>
            <w:shd w:fill="126A76"/>
            <w:vAlign w:val="center"/>
          </w:tcPr>
          <w:p>
            <w:pPr>
              <w:spacing w:before="80" w:after="80" w:line="240" w:lineRule="auto"/>
            </w:pPr>
            <w:r>
              <w:rPr>
                <w:b/>
                <w:color w:val="FFFFFF"/>
                <w:sz w:val="18"/>
              </w:rPr>
              <w:t>Example: funding (80)</w:t>
            </w:r>
          </w:p>
        </w:tc>
      </w:tr>
      <w:tr>
        <w:trPr>
          <w:cantSplit/>
        </w:trPr>
        <w:tc>
          <w:tcPr>
            <w:tcW w:type="dxa" w:w="4680"/>
            <w:shd w:fill="EDF5F7"/>
            <w:vAlign w:val="center"/>
          </w:tcPr>
          <w:p>
            <w:pPr>
              <w:spacing w:before="80" w:after="80" w:line="240" w:lineRule="auto"/>
            </w:pPr>
            <w:r>
              <w:rPr>
                <w:sz w:val="18"/>
              </w:rPr>
              <w:t>0–180 days inclusive</w:t>
            </w:r>
          </w:p>
        </w:tc>
        <w:tc>
          <w:tcPr>
            <w:tcW w:type="dxa" w:w="1584"/>
            <w:shd w:fill="EDF5F7"/>
            <w:vAlign w:val="center"/>
          </w:tcPr>
          <w:p>
            <w:pPr>
              <w:spacing w:before="80" w:after="80" w:line="240" w:lineRule="auto"/>
            </w:pPr>
            <w:r>
              <w:rPr>
                <w:sz w:val="18"/>
              </w:rPr>
              <w:t>1.00</w:t>
            </w:r>
          </w:p>
        </w:tc>
        <w:tc>
          <w:tcPr>
            <w:tcW w:type="dxa" w:w="3629"/>
            <w:shd w:fill="EDF5F7"/>
            <w:vAlign w:val="center"/>
          </w:tcPr>
          <w:p>
            <w:pPr>
              <w:spacing w:before="80" w:after="80" w:line="240" w:lineRule="auto"/>
            </w:pPr>
            <w:r>
              <w:rPr>
                <w:sz w:val="18"/>
              </w:rPr>
              <w:t>80</w:t>
            </w:r>
          </w:p>
        </w:tc>
      </w:tr>
      <w:tr>
        <w:trPr>
          <w:cantSplit/>
        </w:trPr>
        <w:tc>
          <w:tcPr>
            <w:tcW w:type="dxa" w:w="4680"/>
            <w:vAlign w:val="center"/>
          </w:tcPr>
          <w:p>
            <w:pPr>
              <w:spacing w:before="80" w:after="80" w:line="240" w:lineRule="auto"/>
            </w:pPr>
            <w:r>
              <w:rPr>
                <w:sz w:val="18"/>
              </w:rPr>
              <w:t>181–365 days inclusive</w:t>
            </w:r>
          </w:p>
        </w:tc>
        <w:tc>
          <w:tcPr>
            <w:tcW w:type="dxa" w:w="1584"/>
            <w:vAlign w:val="center"/>
          </w:tcPr>
          <w:p>
            <w:pPr>
              <w:spacing w:before="80" w:after="80" w:line="240" w:lineRule="auto"/>
            </w:pPr>
            <w:r>
              <w:rPr>
                <w:sz w:val="18"/>
              </w:rPr>
              <w:t>0.80</w:t>
            </w:r>
          </w:p>
        </w:tc>
        <w:tc>
          <w:tcPr>
            <w:tcW w:type="dxa" w:w="3629"/>
            <w:vAlign w:val="center"/>
          </w:tcPr>
          <w:p>
            <w:pPr>
              <w:spacing w:before="80" w:after="80" w:line="240" w:lineRule="auto"/>
            </w:pPr>
            <w:r>
              <w:rPr>
                <w:sz w:val="18"/>
              </w:rPr>
              <w:t>64</w:t>
            </w:r>
          </w:p>
        </w:tc>
      </w:tr>
      <w:tr>
        <w:trPr>
          <w:cantSplit/>
        </w:trPr>
        <w:tc>
          <w:tcPr>
            <w:tcW w:type="dxa" w:w="4680"/>
            <w:shd w:fill="EDF5F7"/>
            <w:vAlign w:val="center"/>
          </w:tcPr>
          <w:p>
            <w:pPr>
              <w:spacing w:before="80" w:after="80" w:line="240" w:lineRule="auto"/>
            </w:pPr>
            <w:r>
              <w:rPr>
                <w:sz w:val="18"/>
              </w:rPr>
              <w:t>366–730 days inclusive</w:t>
            </w:r>
          </w:p>
        </w:tc>
        <w:tc>
          <w:tcPr>
            <w:tcW w:type="dxa" w:w="1584"/>
            <w:shd w:fill="EDF5F7"/>
            <w:vAlign w:val="center"/>
          </w:tcPr>
          <w:p>
            <w:pPr>
              <w:spacing w:before="80" w:after="80" w:line="240" w:lineRule="auto"/>
            </w:pPr>
            <w:r>
              <w:rPr>
                <w:sz w:val="18"/>
              </w:rPr>
              <w:t>0.50</w:t>
            </w:r>
          </w:p>
        </w:tc>
        <w:tc>
          <w:tcPr>
            <w:tcW w:type="dxa" w:w="3629"/>
            <w:shd w:fill="EDF5F7"/>
            <w:vAlign w:val="center"/>
          </w:tcPr>
          <w:p>
            <w:pPr>
              <w:spacing w:before="80" w:after="80" w:line="240" w:lineRule="auto"/>
            </w:pPr>
            <w:r>
              <w:rPr>
                <w:sz w:val="18"/>
              </w:rPr>
              <w:t>40</w:t>
            </w:r>
          </w:p>
        </w:tc>
      </w:tr>
      <w:tr>
        <w:trPr>
          <w:cantSplit/>
        </w:trPr>
        <w:tc>
          <w:tcPr>
            <w:tcW w:type="dxa" w:w="4680"/>
            <w:vAlign w:val="center"/>
          </w:tcPr>
          <w:p>
            <w:pPr>
              <w:spacing w:before="80" w:after="80" w:line="240" w:lineRule="auto"/>
            </w:pPr>
            <w:r>
              <w:rPr>
                <w:sz w:val="18"/>
              </w:rPr>
              <w:t>Future, older than 730 days, or no valid date</w:t>
            </w:r>
          </w:p>
        </w:tc>
        <w:tc>
          <w:tcPr>
            <w:tcW w:type="dxa" w:w="1584"/>
            <w:vAlign w:val="center"/>
          </w:tcPr>
          <w:p>
            <w:pPr>
              <w:spacing w:before="80" w:after="80" w:line="240" w:lineRule="auto"/>
            </w:pPr>
            <w:r>
              <w:rPr>
                <w:sz w:val="18"/>
              </w:rPr>
              <w:t>Excluded</w:t>
            </w:r>
          </w:p>
        </w:tc>
        <w:tc>
          <w:tcPr>
            <w:tcW w:type="dxa" w:w="3629"/>
            <w:vAlign w:val="center"/>
          </w:tcPr>
          <w:p>
            <w:pPr>
              <w:spacing w:before="80" w:after="80" w:line="240" w:lineRule="auto"/>
            </w:pPr>
            <w:r>
              <w:rPr>
                <w:sz w:val="18"/>
              </w:rPr>
              <w:t>No points</w:t>
            </w:r>
          </w:p>
        </w:tc>
      </w:tr>
    </w:tbl>
    <w:p>
      <w:pPr>
        <w:spacing w:after="0"/>
      </w:pPr>
    </w:p>
    <w:p>
      <w:r>
        <w:t>Each signal must be relevant=true, use a supported event type, include a nonempty summary and valid date, and cite an allowed tool-returned URL with an excerpt. Duplicate kind/date/summary entries are removed. The normalizer examines at most 12 input signals.</w:t>
      </w:r>
    </w:p>
    <w:p>
      <w:r>
        <w:t>Signal strength = base strength × recency multiplier. Growth score = min(100, strongest signal + min(10, 5 × (distinct supported event types − 1))). No accepted signals produces 0. Extra events of the same type do not create a diversity bonus.</w:t>
      </w:r>
    </w:p>
    <w:tbl>
      <w:tblPr>
        <w:tblW w:type="auto" w:w="0"/>
        <w:jc w:val="center"/>
        <w:tblLayout w:type="fixed"/>
        <w:tblLook w:firstColumn="1" w:firstRow="1" w:lastColumn="0" w:lastRow="0" w:noHBand="0" w:noVBand="1" w:val="04A0"/>
      </w:tblPr>
      <w:tblGrid>
        <w:gridCol w:w="6912"/>
        <w:gridCol w:w="2981"/>
      </w:tblGrid>
      <w:tr>
        <w:trPr>
          <w:tblHeader/>
          <w:cantSplit/>
        </w:trPr>
        <w:tc>
          <w:tcPr>
            <w:tcW w:type="dxa" w:w="6912"/>
            <w:shd w:fill="126A76"/>
            <w:vAlign w:val="center"/>
          </w:tcPr>
          <w:p>
            <w:pPr>
              <w:spacing w:before="80" w:after="80" w:line="240" w:lineRule="auto"/>
            </w:pPr>
            <w:r>
              <w:rPr>
                <w:b/>
                <w:color w:val="FFFFFF"/>
                <w:sz w:val="18"/>
              </w:rPr>
              <w:t>Accepted evidence</w:t>
            </w:r>
          </w:p>
        </w:tc>
        <w:tc>
          <w:tcPr>
            <w:tcW w:type="dxa" w:w="2981"/>
            <w:shd w:fill="126A76"/>
            <w:vAlign w:val="center"/>
          </w:tcPr>
          <w:p>
            <w:pPr>
              <w:spacing w:before="80" w:after="80" w:line="240" w:lineRule="auto"/>
            </w:pPr>
            <w:r>
              <w:rPr>
                <w:b/>
                <w:color w:val="FFFFFF"/>
                <w:sz w:val="18"/>
              </w:rPr>
              <w:t>Growth score</w:t>
            </w:r>
          </w:p>
        </w:tc>
      </w:tr>
      <w:tr>
        <w:trPr>
          <w:cantSplit/>
        </w:trPr>
        <w:tc>
          <w:tcPr>
            <w:tcW w:type="dxa" w:w="6912"/>
            <w:shd w:fill="EDF5F7"/>
            <w:vAlign w:val="center"/>
          </w:tcPr>
          <w:p>
            <w:pPr>
              <w:spacing w:before="80" w:after="80" w:line="240" w:lineRule="auto"/>
            </w:pPr>
            <w:r>
              <w:rPr>
                <w:sz w:val="18"/>
              </w:rPr>
              <w:t>Recent funding only</w:t>
            </w:r>
          </w:p>
        </w:tc>
        <w:tc>
          <w:tcPr>
            <w:tcW w:type="dxa" w:w="2981"/>
            <w:shd w:fill="EDF5F7"/>
            <w:vAlign w:val="center"/>
          </w:tcPr>
          <w:p>
            <w:pPr>
              <w:spacing w:before="80" w:after="80" w:line="240" w:lineRule="auto"/>
            </w:pPr>
            <w:r>
              <w:rPr>
                <w:sz w:val="18"/>
              </w:rPr>
              <w:t>80</w:t>
            </w:r>
          </w:p>
        </w:tc>
      </w:tr>
      <w:tr>
        <w:trPr>
          <w:cantSplit/>
        </w:trPr>
        <w:tc>
          <w:tcPr>
            <w:tcW w:type="dxa" w:w="6912"/>
            <w:vAlign w:val="center"/>
          </w:tcPr>
          <w:p>
            <w:pPr>
              <w:spacing w:before="80" w:after="80" w:line="240" w:lineRule="auto"/>
            </w:pPr>
            <w:r>
              <w:rPr>
                <w:sz w:val="18"/>
              </w:rPr>
              <w:t>Recent expansion + recent funding</w:t>
            </w:r>
          </w:p>
        </w:tc>
        <w:tc>
          <w:tcPr>
            <w:tcW w:type="dxa" w:w="2981"/>
            <w:vAlign w:val="center"/>
          </w:tcPr>
          <w:p>
            <w:pPr>
              <w:spacing w:before="80" w:after="80" w:line="240" w:lineRule="auto"/>
            </w:pPr>
            <w:r>
              <w:rPr>
                <w:sz w:val="18"/>
              </w:rPr>
              <w:t>min(100, 95 + 5) = 100</w:t>
            </w:r>
          </w:p>
        </w:tc>
      </w:tr>
      <w:tr>
        <w:trPr>
          <w:cantSplit/>
        </w:trPr>
        <w:tc>
          <w:tcPr>
            <w:tcW w:type="dxa" w:w="6912"/>
            <w:shd w:fill="EDF5F7"/>
            <w:vAlign w:val="center"/>
          </w:tcPr>
          <w:p>
            <w:pPr>
              <w:spacing w:before="80" w:after="80" w:line="240" w:lineRule="auto"/>
            </w:pPr>
            <w:r>
              <w:rPr>
                <w:sz w:val="18"/>
              </w:rPr>
              <w:t>Recent leadership change only</w:t>
            </w:r>
          </w:p>
        </w:tc>
        <w:tc>
          <w:tcPr>
            <w:tcW w:type="dxa" w:w="2981"/>
            <w:shd w:fill="EDF5F7"/>
            <w:vAlign w:val="center"/>
          </w:tcPr>
          <w:p>
            <w:pPr>
              <w:spacing w:before="80" w:after="80" w:line="240" w:lineRule="auto"/>
            </w:pPr>
            <w:r>
              <w:rPr>
                <w:sz w:val="18"/>
              </w:rPr>
              <w:t>45</w:t>
            </w:r>
          </w:p>
        </w:tc>
      </w:tr>
      <w:tr>
        <w:trPr>
          <w:cantSplit/>
        </w:trPr>
        <w:tc>
          <w:tcPr>
            <w:tcW w:type="dxa" w:w="6912"/>
            <w:vAlign w:val="center"/>
          </w:tcPr>
          <w:p>
            <w:pPr>
              <w:spacing w:before="80" w:after="80" w:line="240" w:lineRule="auto"/>
            </w:pPr>
            <w:r>
              <w:rPr>
                <w:sz w:val="18"/>
              </w:rPr>
              <w:t>Undated growth summary or no cited event</w:t>
            </w:r>
          </w:p>
        </w:tc>
        <w:tc>
          <w:tcPr>
            <w:tcW w:type="dxa" w:w="2981"/>
            <w:vAlign w:val="center"/>
          </w:tcPr>
          <w:p>
            <w:pPr>
              <w:spacing w:before="80" w:after="80" w:line="240" w:lineRule="auto"/>
            </w:pPr>
            <w:r>
              <w:rPr>
                <w:sz w:val="18"/>
              </w:rPr>
              <w:t>0 (unknown demand, not proof of no growth)</w:t>
            </w:r>
          </w:p>
        </w:tc>
      </w:tr>
    </w:tbl>
    <w:p>
      <w:pPr>
        <w:spacing w:after="0"/>
      </w:pPr>
    </w:p>
    <w:p>
      <w:r>
        <w:br w:type="page"/>
      </w:r>
    </w:p>
    <w:p>
      <w:pPr>
        <w:pStyle w:val="Heading1"/>
      </w:pPr>
      <w:r>
        <w:t>05  Worked decisions and audit trail</w:t>
      </w:r>
    </w:p>
    <w:tbl>
      <w:tblPr>
        <w:tblW w:type="auto" w:w="0"/>
        <w:jc w:val="center"/>
        <w:tblLayout w:type="fixed"/>
        <w:tblLook w:firstColumn="1" w:firstRow="1" w:lastColumn="0" w:lastRow="0" w:noHBand="0" w:noVBand="1" w:val="04A0"/>
      </w:tblPr>
      <w:tblGrid>
        <w:gridCol w:w="2952"/>
        <w:gridCol w:w="1656"/>
        <w:gridCol w:w="792"/>
        <w:gridCol w:w="792"/>
        <w:gridCol w:w="3701"/>
      </w:tblGrid>
      <w:tr>
        <w:trPr>
          <w:tblHeader/>
          <w:cantSplit/>
        </w:trPr>
        <w:tc>
          <w:tcPr>
            <w:tcW w:type="dxa" w:w="2952"/>
            <w:shd w:fill="126A76"/>
            <w:vAlign w:val="center"/>
          </w:tcPr>
          <w:p>
            <w:pPr>
              <w:spacing w:before="80" w:after="80" w:line="240" w:lineRule="auto"/>
            </w:pPr>
            <w:r>
              <w:rPr>
                <w:b/>
                <w:color w:val="FFFFFF"/>
                <w:sz w:val="18"/>
              </w:rPr>
              <w:t>Illustrative case</w:t>
            </w:r>
          </w:p>
        </w:tc>
        <w:tc>
          <w:tcPr>
            <w:tcW w:type="dxa" w:w="1656"/>
            <w:shd w:fill="126A76"/>
            <w:vAlign w:val="center"/>
          </w:tcPr>
          <w:p>
            <w:pPr>
              <w:spacing w:before="80" w:after="80" w:line="240" w:lineRule="auto"/>
            </w:pPr>
            <w:r>
              <w:rPr>
                <w:b/>
                <w:color w:val="FFFFFF"/>
                <w:sz w:val="18"/>
              </w:rPr>
              <w:t>ICP/contact/ growth</w:t>
            </w:r>
          </w:p>
        </w:tc>
        <w:tc>
          <w:tcPr>
            <w:tcW w:type="dxa" w:w="792"/>
            <w:shd w:fill="126A76"/>
            <w:vAlign w:val="center"/>
          </w:tcPr>
          <w:p>
            <w:pPr>
              <w:spacing w:before="80" w:after="80" w:line="240" w:lineRule="auto"/>
            </w:pPr>
            <w:r>
              <w:rPr>
                <w:b/>
                <w:color w:val="FFFFFF"/>
                <w:sz w:val="18"/>
              </w:rPr>
              <w:t>Raw</w:t>
            </w:r>
          </w:p>
        </w:tc>
        <w:tc>
          <w:tcPr>
            <w:tcW w:type="dxa" w:w="792"/>
            <w:shd w:fill="126A76"/>
            <w:vAlign w:val="center"/>
          </w:tcPr>
          <w:p>
            <w:pPr>
              <w:spacing w:before="80" w:after="80" w:line="240" w:lineRule="auto"/>
            </w:pPr>
            <w:r>
              <w:rPr>
                <w:b/>
                <w:color w:val="FFFFFF"/>
                <w:sz w:val="18"/>
              </w:rPr>
              <w:t>Final</w:t>
            </w:r>
          </w:p>
        </w:tc>
        <w:tc>
          <w:tcPr>
            <w:tcW w:type="dxa" w:w="3701"/>
            <w:shd w:fill="126A76"/>
            <w:vAlign w:val="center"/>
          </w:tcPr>
          <w:p>
            <w:pPr>
              <w:spacing w:before="80" w:after="80" w:line="240" w:lineRule="auto"/>
            </w:pPr>
            <w:r>
              <w:rPr>
                <w:b/>
                <w:color w:val="FFFFFF"/>
                <w:sz w:val="18"/>
              </w:rPr>
              <w:t>State / priority</w:t>
            </w:r>
          </w:p>
        </w:tc>
      </w:tr>
      <w:tr>
        <w:trPr>
          <w:cantSplit/>
        </w:trPr>
        <w:tc>
          <w:tcPr>
            <w:tcW w:type="dxa" w:w="2952"/>
            <w:shd w:fill="EDF5F7"/>
            <w:vAlign w:val="center"/>
          </w:tcPr>
          <w:p>
            <w:pPr>
              <w:spacing w:before="80" w:after="80" w:line="240" w:lineRule="auto"/>
            </w:pPr>
            <w:r>
              <w:rPr>
                <w:sz w:val="18"/>
              </w:rPr>
              <w:t>All required criteria match</w:t>
            </w:r>
          </w:p>
        </w:tc>
        <w:tc>
          <w:tcPr>
            <w:tcW w:type="dxa" w:w="1656"/>
            <w:shd w:fill="EDF5F7"/>
            <w:vAlign w:val="center"/>
          </w:tcPr>
          <w:p>
            <w:pPr>
              <w:spacing w:before="80" w:after="80" w:line="240" w:lineRule="auto"/>
            </w:pPr>
            <w:r>
              <w:rPr>
                <w:sz w:val="18"/>
              </w:rPr>
              <w:t>100/100/100</w:t>
            </w:r>
          </w:p>
        </w:tc>
        <w:tc>
          <w:tcPr>
            <w:tcW w:type="dxa" w:w="792"/>
            <w:shd w:fill="EDF5F7"/>
            <w:vAlign w:val="center"/>
          </w:tcPr>
          <w:p>
            <w:pPr>
              <w:spacing w:before="80" w:after="80" w:line="240" w:lineRule="auto"/>
            </w:pPr>
            <w:r>
              <w:rPr>
                <w:sz w:val="18"/>
              </w:rPr>
              <w:t>100</w:t>
            </w:r>
          </w:p>
        </w:tc>
        <w:tc>
          <w:tcPr>
            <w:tcW w:type="dxa" w:w="792"/>
            <w:shd w:fill="EDF5F7"/>
            <w:vAlign w:val="center"/>
          </w:tcPr>
          <w:p>
            <w:pPr>
              <w:spacing w:before="80" w:after="80" w:line="240" w:lineRule="auto"/>
            </w:pPr>
            <w:r>
              <w:rPr>
                <w:sz w:val="18"/>
              </w:rPr>
              <w:t>100</w:t>
            </w:r>
          </w:p>
        </w:tc>
        <w:tc>
          <w:tcPr>
            <w:tcW w:type="dxa" w:w="3701"/>
            <w:shd w:fill="EDF5F7"/>
            <w:vAlign w:val="center"/>
          </w:tcPr>
          <w:p>
            <w:pPr>
              <w:spacing w:before="80" w:after="80" w:line="240" w:lineRule="auto"/>
            </w:pPr>
            <w:r>
              <w:rPr>
                <w:sz w:val="18"/>
              </w:rPr>
              <w:t>qualified / High</w:t>
            </w:r>
          </w:p>
        </w:tc>
      </w:tr>
      <w:tr>
        <w:trPr>
          <w:cantSplit/>
        </w:trPr>
        <w:tc>
          <w:tcPr>
            <w:tcW w:type="dxa" w:w="2952"/>
            <w:vAlign w:val="center"/>
          </w:tcPr>
          <w:p>
            <w:pPr>
              <w:spacing w:before="80" w:after="80" w:line="240" w:lineRule="auto"/>
            </w:pPr>
            <w:r>
              <w:rPr>
                <w:sz w:val="18"/>
              </w:rPr>
              <w:t>All match; no sourced growth</w:t>
            </w:r>
          </w:p>
        </w:tc>
        <w:tc>
          <w:tcPr>
            <w:tcW w:type="dxa" w:w="1656"/>
            <w:vAlign w:val="center"/>
          </w:tcPr>
          <w:p>
            <w:pPr>
              <w:spacing w:before="80" w:after="80" w:line="240" w:lineRule="auto"/>
            </w:pPr>
            <w:r>
              <w:rPr>
                <w:sz w:val="18"/>
              </w:rPr>
              <w:t>100/100/0</w:t>
            </w:r>
          </w:p>
        </w:tc>
        <w:tc>
          <w:tcPr>
            <w:tcW w:type="dxa" w:w="792"/>
            <w:vAlign w:val="center"/>
          </w:tcPr>
          <w:p>
            <w:pPr>
              <w:spacing w:before="80" w:after="80" w:line="240" w:lineRule="auto"/>
            </w:pPr>
            <w:r>
              <w:rPr>
                <w:sz w:val="18"/>
              </w:rPr>
              <w:t>85</w:t>
            </w:r>
          </w:p>
        </w:tc>
        <w:tc>
          <w:tcPr>
            <w:tcW w:type="dxa" w:w="792"/>
            <w:vAlign w:val="center"/>
          </w:tcPr>
          <w:p>
            <w:pPr>
              <w:spacing w:before="80" w:after="80" w:line="240" w:lineRule="auto"/>
            </w:pPr>
            <w:r>
              <w:rPr>
                <w:sz w:val="18"/>
              </w:rPr>
              <w:t>85</w:t>
            </w:r>
          </w:p>
        </w:tc>
        <w:tc>
          <w:tcPr>
            <w:tcW w:type="dxa" w:w="3701"/>
            <w:vAlign w:val="center"/>
          </w:tcPr>
          <w:p>
            <w:pPr>
              <w:spacing w:before="80" w:after="80" w:line="240" w:lineRule="auto"/>
            </w:pPr>
            <w:r>
              <w:rPr>
                <w:sz w:val="18"/>
              </w:rPr>
              <w:t>qualified / High</w:t>
            </w:r>
          </w:p>
        </w:tc>
      </w:tr>
      <w:tr>
        <w:trPr>
          <w:cantSplit/>
        </w:trPr>
        <w:tc>
          <w:tcPr>
            <w:tcW w:type="dxa" w:w="2952"/>
            <w:shd w:fill="EDF5F7"/>
            <w:vAlign w:val="center"/>
          </w:tcPr>
          <w:p>
            <w:pPr>
              <w:spacing w:before="80" w:after="80" w:line="240" w:lineRule="auto"/>
            </w:pPr>
            <w:r>
              <w:rPr>
                <w:sz w:val="18"/>
              </w:rPr>
              <w:t>One unclear of five ICP checks</w:t>
            </w:r>
          </w:p>
        </w:tc>
        <w:tc>
          <w:tcPr>
            <w:tcW w:type="dxa" w:w="1656"/>
            <w:shd w:fill="EDF5F7"/>
            <w:vAlign w:val="center"/>
          </w:tcPr>
          <w:p>
            <w:pPr>
              <w:spacing w:before="80" w:after="80" w:line="240" w:lineRule="auto"/>
            </w:pPr>
            <w:r>
              <w:rPr>
                <w:sz w:val="18"/>
              </w:rPr>
              <w:t>90/100/100</w:t>
            </w:r>
          </w:p>
        </w:tc>
        <w:tc>
          <w:tcPr>
            <w:tcW w:type="dxa" w:w="792"/>
            <w:shd w:fill="EDF5F7"/>
            <w:vAlign w:val="center"/>
          </w:tcPr>
          <w:p>
            <w:pPr>
              <w:spacing w:before="80" w:after="80" w:line="240" w:lineRule="auto"/>
            </w:pPr>
            <w:r>
              <w:rPr>
                <w:sz w:val="18"/>
              </w:rPr>
              <w:t>94</w:t>
            </w:r>
          </w:p>
        </w:tc>
        <w:tc>
          <w:tcPr>
            <w:tcW w:type="dxa" w:w="792"/>
            <w:shd w:fill="EDF5F7"/>
            <w:vAlign w:val="center"/>
          </w:tcPr>
          <w:p>
            <w:pPr>
              <w:spacing w:before="80" w:after="80" w:line="240" w:lineRule="auto"/>
            </w:pPr>
            <w:r>
              <w:rPr>
                <w:sz w:val="18"/>
              </w:rPr>
              <w:t>79.9</w:t>
            </w:r>
          </w:p>
        </w:tc>
        <w:tc>
          <w:tcPr>
            <w:tcW w:type="dxa" w:w="3701"/>
            <w:shd w:fill="EDF5F7"/>
            <w:vAlign w:val="center"/>
          </w:tcPr>
          <w:p>
            <w:pPr>
              <w:spacing w:before="80" w:after="80" w:line="240" w:lineRule="auto"/>
            </w:pPr>
            <w:r>
              <w:rPr>
                <w:sz w:val="18"/>
              </w:rPr>
              <w:t>needs review / Medium</w:t>
            </w:r>
          </w:p>
        </w:tc>
      </w:tr>
      <w:tr>
        <w:trPr>
          <w:cantSplit/>
        </w:trPr>
        <w:tc>
          <w:tcPr>
            <w:tcW w:type="dxa" w:w="2952"/>
            <w:vAlign w:val="center"/>
          </w:tcPr>
          <w:p>
            <w:pPr>
              <w:spacing w:before="80" w:after="80" w:line="240" w:lineRule="auto"/>
            </w:pPr>
            <w:r>
              <w:rPr>
                <w:sz w:val="18"/>
              </w:rPr>
              <w:t>One confirmed ICP mismatch</w:t>
            </w:r>
          </w:p>
        </w:tc>
        <w:tc>
          <w:tcPr>
            <w:tcW w:type="dxa" w:w="1656"/>
            <w:vAlign w:val="center"/>
          </w:tcPr>
          <w:p>
            <w:pPr>
              <w:spacing w:before="80" w:after="80" w:line="240" w:lineRule="auto"/>
            </w:pPr>
            <w:r>
              <w:rPr>
                <w:sz w:val="18"/>
              </w:rPr>
              <w:t>80/100/100</w:t>
            </w:r>
          </w:p>
        </w:tc>
        <w:tc>
          <w:tcPr>
            <w:tcW w:type="dxa" w:w="792"/>
            <w:vAlign w:val="center"/>
          </w:tcPr>
          <w:p>
            <w:pPr>
              <w:spacing w:before="80" w:after="80" w:line="240" w:lineRule="auto"/>
            </w:pPr>
            <w:r>
              <w:rPr>
                <w:sz w:val="18"/>
              </w:rPr>
              <w:t>88</w:t>
            </w:r>
          </w:p>
        </w:tc>
        <w:tc>
          <w:tcPr>
            <w:tcW w:type="dxa" w:w="792"/>
            <w:vAlign w:val="center"/>
          </w:tcPr>
          <w:p>
            <w:pPr>
              <w:spacing w:before="80" w:after="80" w:line="240" w:lineRule="auto"/>
            </w:pPr>
            <w:r>
              <w:rPr>
                <w:sz w:val="18"/>
              </w:rPr>
              <w:t>49</w:t>
            </w:r>
          </w:p>
        </w:tc>
        <w:tc>
          <w:tcPr>
            <w:tcW w:type="dxa" w:w="3701"/>
            <w:vAlign w:val="center"/>
          </w:tcPr>
          <w:p>
            <w:pPr>
              <w:spacing w:before="80" w:after="80" w:line="240" w:lineRule="auto"/>
            </w:pPr>
            <w:r>
              <w:rPr>
                <w:sz w:val="18"/>
              </w:rPr>
              <w:t>disqualified / Low</w:t>
            </w:r>
          </w:p>
        </w:tc>
      </w:tr>
      <w:tr>
        <w:trPr>
          <w:cantSplit/>
        </w:trPr>
        <w:tc>
          <w:tcPr>
            <w:tcW w:type="dxa" w:w="2952"/>
            <w:shd w:fill="EDF5F7"/>
            <w:vAlign w:val="center"/>
          </w:tcPr>
          <w:p>
            <w:pPr>
              <w:spacing w:before="80" w:after="80" w:line="240" w:lineRule="auto"/>
            </w:pPr>
            <w:r>
              <w:rPr>
                <w:sz w:val="18"/>
              </w:rPr>
              <w:t>Contact evidence unknown</w:t>
            </w:r>
          </w:p>
        </w:tc>
        <w:tc>
          <w:tcPr>
            <w:tcW w:type="dxa" w:w="1656"/>
            <w:shd w:fill="EDF5F7"/>
            <w:vAlign w:val="center"/>
          </w:tcPr>
          <w:p>
            <w:pPr>
              <w:spacing w:before="80" w:after="80" w:line="240" w:lineRule="auto"/>
            </w:pPr>
            <w:r>
              <w:rPr>
                <w:sz w:val="18"/>
              </w:rPr>
              <w:t>100/50/100</w:t>
            </w:r>
          </w:p>
        </w:tc>
        <w:tc>
          <w:tcPr>
            <w:tcW w:type="dxa" w:w="792"/>
            <w:shd w:fill="EDF5F7"/>
            <w:vAlign w:val="center"/>
          </w:tcPr>
          <w:p>
            <w:pPr>
              <w:spacing w:before="80" w:after="80" w:line="240" w:lineRule="auto"/>
            </w:pPr>
            <w:r>
              <w:rPr>
                <w:sz w:val="18"/>
              </w:rPr>
              <w:t>87.5</w:t>
            </w:r>
          </w:p>
        </w:tc>
        <w:tc>
          <w:tcPr>
            <w:tcW w:type="dxa" w:w="792"/>
            <w:shd w:fill="EDF5F7"/>
            <w:vAlign w:val="center"/>
          </w:tcPr>
          <w:p>
            <w:pPr>
              <w:spacing w:before="80" w:after="80" w:line="240" w:lineRule="auto"/>
            </w:pPr>
            <w:r>
              <w:rPr>
                <w:sz w:val="18"/>
              </w:rPr>
              <w:t>79.9</w:t>
            </w:r>
          </w:p>
        </w:tc>
        <w:tc>
          <w:tcPr>
            <w:tcW w:type="dxa" w:w="3701"/>
            <w:shd w:fill="EDF5F7"/>
            <w:vAlign w:val="center"/>
          </w:tcPr>
          <w:p>
            <w:pPr>
              <w:spacing w:before="80" w:after="80" w:line="240" w:lineRule="auto"/>
            </w:pPr>
            <w:r>
              <w:rPr>
                <w:sz w:val="18"/>
              </w:rPr>
              <w:t>needs review / Medium</w:t>
            </w:r>
          </w:p>
        </w:tc>
      </w:tr>
      <w:tr>
        <w:trPr>
          <w:cantSplit/>
        </w:trPr>
        <w:tc>
          <w:tcPr>
            <w:tcW w:type="dxa" w:w="2952"/>
            <w:vAlign w:val="center"/>
          </w:tcPr>
          <w:p>
            <w:pPr>
              <w:spacing w:before="80" w:after="80" w:line="240" w:lineRule="auto"/>
            </w:pPr>
            <w:r>
              <w:rPr>
                <w:sz w:val="18"/>
              </w:rPr>
              <w:t>No available contact route</w:t>
            </w:r>
          </w:p>
        </w:tc>
        <w:tc>
          <w:tcPr>
            <w:tcW w:type="dxa" w:w="1656"/>
            <w:vAlign w:val="center"/>
          </w:tcPr>
          <w:p>
            <w:pPr>
              <w:spacing w:before="80" w:after="80" w:line="240" w:lineRule="auto"/>
            </w:pPr>
            <w:r>
              <w:rPr>
                <w:sz w:val="18"/>
              </w:rPr>
              <w:t>100/0/100</w:t>
            </w:r>
          </w:p>
        </w:tc>
        <w:tc>
          <w:tcPr>
            <w:tcW w:type="dxa" w:w="792"/>
            <w:vAlign w:val="center"/>
          </w:tcPr>
          <w:p>
            <w:pPr>
              <w:spacing w:before="80" w:after="80" w:line="240" w:lineRule="auto"/>
            </w:pPr>
            <w:r>
              <w:rPr>
                <w:sz w:val="18"/>
              </w:rPr>
              <w:t>75</w:t>
            </w:r>
          </w:p>
        </w:tc>
        <w:tc>
          <w:tcPr>
            <w:tcW w:type="dxa" w:w="792"/>
            <w:vAlign w:val="center"/>
          </w:tcPr>
          <w:p>
            <w:pPr>
              <w:spacing w:before="80" w:after="80" w:line="240" w:lineRule="auto"/>
            </w:pPr>
            <w:r>
              <w:rPr>
                <w:sz w:val="18"/>
              </w:rPr>
              <w:t>49</w:t>
            </w:r>
          </w:p>
        </w:tc>
        <w:tc>
          <w:tcPr>
            <w:tcW w:type="dxa" w:w="3701"/>
            <w:vAlign w:val="center"/>
          </w:tcPr>
          <w:p>
            <w:pPr>
              <w:spacing w:before="80" w:after="80" w:line="240" w:lineRule="auto"/>
            </w:pPr>
            <w:r>
              <w:rPr>
                <w:sz w:val="18"/>
              </w:rPr>
              <w:t>uncontactable / Low</w:t>
            </w:r>
          </w:p>
        </w:tc>
      </w:tr>
    </w:tbl>
    <w:p>
      <w:pPr>
        <w:spacing w:after="0"/>
      </w:pPr>
    </w:p>
    <w:p>
      <w:r>
        <w:t>Examples are synthetic and computed with the actual policy functions by this document generator. Raw means before qualification caps. Scores are decision support, not guarantees of buying intent or contact deliverability.</w:t>
      </w:r>
    </w:p>
    <w:p>
      <w:pPr>
        <w:pStyle w:val="Heading2"/>
      </w:pPr>
      <w:r>
        <w:t>Versioning, reuse and recalculation</w:t>
      </w:r>
    </w:p>
    <w:p>
      <w:r>
        <w:t>Results persist the scoring version, component scores, raw weighted score, checks, reasons and evidence timestamps. Fresh mode skips cross-job reuse but restores this attempt's successful checkpoints after retries. Resume preserves completed results. Pause does not change weights or requalify leads. Historical v1 scores are not silently converted by reading a page; follow the scoring migration/backfill guide for controlled recalculation.</w:t>
      </w:r>
    </w:p>
    <w:p>
      <w:pPr>
        <w:pStyle w:val="Heading2"/>
      </w:pPr>
      <w:r>
        <w:t>Source of truth</w:t>
      </w:r>
    </w:p>
    <w:tbl>
      <w:tblPr>
        <w:tblW w:type="auto" w:w="0"/>
        <w:jc w:val="center"/>
        <w:tblLayout w:type="fixed"/>
        <w:tblLook w:firstColumn="1" w:firstRow="1" w:lastColumn="0" w:lastRow="0" w:noHBand="0" w:noVBand="1" w:val="04A0"/>
      </w:tblPr>
      <w:tblGrid>
        <w:gridCol w:w="5040"/>
        <w:gridCol w:w="4853"/>
      </w:tblGrid>
      <w:tr>
        <w:trPr>
          <w:tblHeader/>
          <w:cantSplit/>
        </w:trPr>
        <w:tc>
          <w:tcPr>
            <w:tcW w:type="dxa" w:w="5040"/>
            <w:shd w:fill="126A76"/>
            <w:vAlign w:val="center"/>
          </w:tcPr>
          <w:p>
            <w:pPr>
              <w:spacing w:before="80" w:after="80" w:line="240" w:lineRule="auto"/>
            </w:pPr>
            <w:r>
              <w:rPr>
                <w:b/>
                <w:color w:val="FFFFFF"/>
                <w:sz w:val="18"/>
              </w:rPr>
              <w:t>Implementation</w:t>
            </w:r>
          </w:p>
        </w:tc>
        <w:tc>
          <w:tcPr>
            <w:tcW w:type="dxa" w:w="4853"/>
            <w:shd w:fill="126A76"/>
            <w:vAlign w:val="center"/>
          </w:tcPr>
          <w:p>
            <w:pPr>
              <w:spacing w:before="80" w:after="80" w:line="240" w:lineRule="auto"/>
            </w:pPr>
            <w:r>
              <w:rPr>
                <w:b/>
                <w:color w:val="FFFFFF"/>
                <w:sz w:val="18"/>
              </w:rPr>
              <w:t>Responsibility</w:t>
            </w:r>
          </w:p>
        </w:tc>
      </w:tr>
      <w:tr>
        <w:trPr>
          <w:cantSplit/>
        </w:trPr>
        <w:tc>
          <w:tcPr>
            <w:tcW w:type="dxa" w:w="5040"/>
            <w:shd w:fill="EDF5F7"/>
            <w:vAlign w:val="center"/>
          </w:tcPr>
          <w:p>
            <w:pPr>
              <w:spacing w:before="80" w:after="80" w:line="240" w:lineRule="auto"/>
            </w:pPr>
            <w:r>
              <w:rPr>
                <w:sz w:val="18"/>
              </w:rPr>
              <w:t>backend/app/scoring/policy.py</w:t>
            </w:r>
          </w:p>
        </w:tc>
        <w:tc>
          <w:tcPr>
            <w:tcW w:type="dxa" w:w="4853"/>
            <w:shd w:fill="EDF5F7"/>
            <w:vAlign w:val="center"/>
          </w:tcPr>
          <w:p>
            <w:pPr>
              <w:spacing w:before="80" w:after="80" w:line="240" w:lineRule="auto"/>
            </w:pPr>
            <w:r>
              <w:rPr>
                <w:sz w:val="18"/>
              </w:rPr>
              <w:t>Weights, ICP average, caps, qualification and priority.</w:t>
            </w:r>
          </w:p>
        </w:tc>
      </w:tr>
      <w:tr>
        <w:trPr>
          <w:cantSplit/>
        </w:trPr>
        <w:tc>
          <w:tcPr>
            <w:tcW w:type="dxa" w:w="5040"/>
            <w:vAlign w:val="center"/>
          </w:tcPr>
          <w:p>
            <w:pPr>
              <w:spacing w:before="80" w:after="80" w:line="240" w:lineRule="auto"/>
            </w:pPr>
            <w:r>
              <w:rPr>
                <w:sz w:val="18"/>
              </w:rPr>
              <w:t>backend/app/validators/contact_policy.py</w:t>
            </w:r>
          </w:p>
        </w:tc>
        <w:tc>
          <w:tcPr>
            <w:tcW w:type="dxa" w:w="4853"/>
            <w:vAlign w:val="center"/>
          </w:tcPr>
          <w:p>
            <w:pPr>
              <w:spacing w:before="80" w:after="80" w:line="240" w:lineRule="auto"/>
            </w:pPr>
            <w:r>
              <w:rPr>
                <w:sz w:val="18"/>
              </w:rPr>
              <w:t>Channel requirements and availability points.</w:t>
            </w:r>
          </w:p>
        </w:tc>
      </w:tr>
      <w:tr>
        <w:trPr>
          <w:cantSplit/>
        </w:trPr>
        <w:tc>
          <w:tcPr>
            <w:tcW w:type="dxa" w:w="5040"/>
            <w:shd w:fill="EDF5F7"/>
            <w:vAlign w:val="center"/>
          </w:tcPr>
          <w:p>
            <w:pPr>
              <w:spacing w:before="80" w:after="80" w:line="240" w:lineRule="auto"/>
            </w:pPr>
            <w:r>
              <w:rPr>
                <w:sz w:val="18"/>
              </w:rPr>
              <w:t>backend/app/validators/evidence.py</w:t>
            </w:r>
          </w:p>
        </w:tc>
        <w:tc>
          <w:tcPr>
            <w:tcW w:type="dxa" w:w="4853"/>
            <w:shd w:fill="EDF5F7"/>
            <w:vAlign w:val="center"/>
          </w:tcPr>
          <w:p>
            <w:pPr>
              <w:spacing w:before="80" w:after="80" w:line="240" w:lineRule="auto"/>
            </w:pPr>
            <w:r>
              <w:rPr>
                <w:sz w:val="18"/>
              </w:rPr>
              <w:t>Citation normalization, growth strengths and recency.</w:t>
            </w:r>
          </w:p>
        </w:tc>
      </w:tr>
      <w:tr>
        <w:trPr>
          <w:cantSplit/>
        </w:trPr>
        <w:tc>
          <w:tcPr>
            <w:tcW w:type="dxa" w:w="5040"/>
            <w:vAlign w:val="center"/>
          </w:tcPr>
          <w:p>
            <w:pPr>
              <w:spacing w:before="80" w:after="80" w:line="240" w:lineRule="auto"/>
            </w:pPr>
            <w:r>
              <w:rPr>
                <w:sz w:val="18"/>
              </w:rPr>
              <w:t>backend/app/scoring/scoring_engine.py</w:t>
            </w:r>
          </w:p>
        </w:tc>
        <w:tc>
          <w:tcPr>
            <w:tcW w:type="dxa" w:w="4853"/>
            <w:vAlign w:val="center"/>
          </w:tcPr>
          <w:p>
            <w:pPr>
              <w:spacing w:before="80" w:after="80" w:line="240" w:lineRule="auto"/>
            </w:pPr>
            <w:r>
              <w:rPr>
                <w:sz w:val="18"/>
              </w:rPr>
              <w:t>Deterministic scoring plus optional outreach wording.</w:t>
            </w:r>
          </w:p>
        </w:tc>
      </w:tr>
      <w:tr>
        <w:trPr>
          <w:cantSplit/>
        </w:trPr>
        <w:tc>
          <w:tcPr>
            <w:tcW w:type="dxa" w:w="5040"/>
            <w:shd w:fill="EDF5F7"/>
            <w:vAlign w:val="center"/>
          </w:tcPr>
          <w:p>
            <w:pPr>
              <w:spacing w:before="80" w:after="80" w:line="240" w:lineRule="auto"/>
            </w:pPr>
            <w:r>
              <w:rPr>
                <w:sz w:val="18"/>
              </w:rPr>
              <w:t>backend/RELEASE_SCORING_V2.md</w:t>
            </w:r>
          </w:p>
        </w:tc>
        <w:tc>
          <w:tcPr>
            <w:tcW w:type="dxa" w:w="4853"/>
            <w:shd w:fill="EDF5F7"/>
            <w:vAlign w:val="center"/>
          </w:tcPr>
          <w:p>
            <w:pPr>
              <w:spacing w:before="80" w:after="80" w:line="240" w:lineRule="auto"/>
            </w:pPr>
            <w:r>
              <w:rPr>
                <w:sz w:val="18"/>
              </w:rPr>
              <w:t>Schema/backfill rollout prerequisites.</w:t>
            </w:r>
          </w:p>
        </w:tc>
      </w:tr>
    </w:tbl>
    <w:p>
      <w:pPr>
        <w:spacing w:after="0"/>
      </w:pPr>
    </w:p>
    <w:sectPr w:rsidR="00FC693F" w:rsidRPr="0006063C" w:rsidSect="00034616">
      <w:headerReference w:type="default" r:id="rId9"/>
      <w:footerReference w:type="default" r:id="rId10"/>
      <w:pgSz w:w="11909" w:h="16834"/>
      <w:pgMar w:top="936" w:right="1008" w:bottom="936"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27 October 2026  •  Scoring Guide    |    </w:t>
    </w:r>
    <w:fldSimple w:instr="PAGE"/>
    <w: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126A76"/>
        <w:sz w:val="16"/>
      </w:rPr>
      <w:t>QUALITY LEAD  /  PRODUCT &amp; OPERATIONS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18334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26A76"/>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26A7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26A7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Scoring Guide</dc:title>
  <dc:subject>Evidence rules, deterministic formulas and worked examples</dc:subject>
  <dc:creator>Quality Lead</dc:creator>
  <cp:keywords/>
  <dc:description>generated by python-docx</dc:description>
  <cp:lastModifiedBy/>
  <cp:revision>1</cp:revision>
  <dcterms:created xsi:type="dcterms:W3CDTF">2013-12-23T23:15:00Z</dcterms:created>
  <dcterms:modified xsi:type="dcterms:W3CDTF">2013-12-23T23:15:00Z</dcterms:modified>
  <cp:category/>
</cp:coreProperties>
</file>