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Costing Guide</w:t>
      </w:r>
    </w:p>
    <w:p>
      <w:pPr>
        <w:pStyle w:val="Subtitle"/>
      </w:pPr>
      <w:r>
        <w:t>AI usage, budgeting assumptions and operating costs</w:t>
      </w:r>
    </w:p>
    <w:p>
      <w:r>
        <w:t>Version 1.0  •  27 October 2026  •  Current dev implementation</w:t>
      </w:r>
    </w:p>
    <w:p>
      <w:r>
        <w:t>This guide explains what Quality Lead meters, how the application estimates charges, and how to plan a batch budget. Reference tariffs are repository defaults, not verified Azure contract prices. No production usage, billing account or live exchange-rate data was accessed.</w:t>
      </w:r>
    </w:p>
    <w:p>
      <w:pPr>
        <w:pStyle w:val="Heading2"/>
      </w:pPr>
      <w:r>
        <w:t>01  Reference price sheet (USD)</w:t>
      </w:r>
    </w:p>
    <w:tbl>
      <w:tblPr>
        <w:tblW w:type="auto" w:w="0"/>
        <w:jc w:val="center"/>
        <w:tblLayout w:type="fixed"/>
        <w:tblLook w:firstColumn="1" w:firstRow="1" w:lastColumn="0" w:lastRow="0" w:noHBand="0" w:noVBand="1" w:val="04A0"/>
      </w:tblPr>
      <w:tblGrid>
        <w:gridCol w:w="2952"/>
        <w:gridCol w:w="1757"/>
        <w:gridCol w:w="5184"/>
      </w:tblGrid>
      <w:tr>
        <w:trPr>
          <w:tblHeader/>
          <w:cantSplit/>
        </w:trPr>
        <w:tc>
          <w:tcPr>
            <w:tcW w:type="dxa" w:w="2952"/>
            <w:shd w:fill="126A76"/>
            <w:vAlign w:val="center"/>
          </w:tcPr>
          <w:p>
            <w:pPr>
              <w:spacing w:before="80" w:after="80" w:line="240" w:lineRule="auto"/>
            </w:pPr>
            <w:r>
              <w:rPr>
                <w:b/>
                <w:color w:val="FFFFFF"/>
                <w:sz w:val="18"/>
              </w:rPr>
              <w:t>Meter</w:t>
            </w:r>
          </w:p>
        </w:tc>
        <w:tc>
          <w:tcPr>
            <w:tcW w:type="dxa" w:w="1757"/>
            <w:shd w:fill="126A76"/>
            <w:vAlign w:val="center"/>
          </w:tcPr>
          <w:p>
            <w:pPr>
              <w:spacing w:before="80" w:after="80" w:line="240" w:lineRule="auto"/>
            </w:pPr>
            <w:r>
              <w:rPr>
                <w:b/>
                <w:color w:val="FFFFFF"/>
                <w:sz w:val="18"/>
              </w:rPr>
              <w:t>Reference rate</w:t>
            </w:r>
          </w:p>
        </w:tc>
        <w:tc>
          <w:tcPr>
            <w:tcW w:type="dxa" w:w="5184"/>
            <w:shd w:fill="126A76"/>
            <w:vAlign w:val="center"/>
          </w:tcPr>
          <w:p>
            <w:pPr>
              <w:spacing w:before="80" w:after="80" w:line="240" w:lineRule="auto"/>
            </w:pPr>
            <w:r>
              <w:rPr>
                <w:b/>
                <w:color w:val="FFFFFF"/>
                <w:sz w:val="18"/>
              </w:rPr>
              <w:t>Billing basis</w:t>
            </w:r>
          </w:p>
        </w:tc>
      </w:tr>
      <w:tr>
        <w:trPr>
          <w:cantSplit/>
        </w:trPr>
        <w:tc>
          <w:tcPr>
            <w:tcW w:type="dxa" w:w="2952"/>
            <w:shd w:fill="EDF5F7"/>
            <w:vAlign w:val="center"/>
          </w:tcPr>
          <w:p>
            <w:pPr>
              <w:spacing w:before="80" w:after="80" w:line="240" w:lineRule="auto"/>
            </w:pPr>
            <w:r>
              <w:rPr>
                <w:sz w:val="18"/>
              </w:rPr>
              <w:t>GPT-4.1 mini input</w:t>
            </w:r>
          </w:p>
        </w:tc>
        <w:tc>
          <w:tcPr>
            <w:tcW w:type="dxa" w:w="1757"/>
            <w:shd w:fill="EDF5F7"/>
            <w:vAlign w:val="center"/>
          </w:tcPr>
          <w:p>
            <w:pPr>
              <w:spacing w:before="80" w:after="80" w:line="240" w:lineRule="auto"/>
            </w:pPr>
            <w:r>
              <w:rPr>
                <w:sz w:val="18"/>
              </w:rPr>
              <w:t>$0.40</w:t>
            </w:r>
          </w:p>
        </w:tc>
        <w:tc>
          <w:tcPr>
            <w:tcW w:type="dxa" w:w="5184"/>
            <w:shd w:fill="EDF5F7"/>
            <w:vAlign w:val="center"/>
          </w:tcPr>
          <w:p>
            <w:pPr>
              <w:spacing w:before="80" w:after="80" w:line="240" w:lineRule="auto"/>
            </w:pPr>
            <w:r>
              <w:rPr>
                <w:sz w:val="18"/>
              </w:rPr>
              <w:t>Per 1,000,000 uncached input tokens</w:t>
            </w:r>
          </w:p>
        </w:tc>
      </w:tr>
      <w:tr>
        <w:trPr>
          <w:cantSplit/>
        </w:trPr>
        <w:tc>
          <w:tcPr>
            <w:tcW w:type="dxa" w:w="2952"/>
            <w:vAlign w:val="center"/>
          </w:tcPr>
          <w:p>
            <w:pPr>
              <w:spacing w:before="80" w:after="80" w:line="240" w:lineRule="auto"/>
            </w:pPr>
            <w:r>
              <w:rPr>
                <w:sz w:val="18"/>
              </w:rPr>
              <w:t>GPT-4.1 mini cached input</w:t>
            </w:r>
          </w:p>
        </w:tc>
        <w:tc>
          <w:tcPr>
            <w:tcW w:type="dxa" w:w="1757"/>
            <w:vAlign w:val="center"/>
          </w:tcPr>
          <w:p>
            <w:pPr>
              <w:spacing w:before="80" w:after="80" w:line="240" w:lineRule="auto"/>
            </w:pPr>
            <w:r>
              <w:rPr>
                <w:sz w:val="18"/>
              </w:rPr>
              <w:t>$0.10</w:t>
            </w:r>
          </w:p>
        </w:tc>
        <w:tc>
          <w:tcPr>
            <w:tcW w:type="dxa" w:w="5184"/>
            <w:vAlign w:val="center"/>
          </w:tcPr>
          <w:p>
            <w:pPr>
              <w:spacing w:before="80" w:after="80" w:line="240" w:lineRule="auto"/>
            </w:pPr>
            <w:r>
              <w:rPr>
                <w:sz w:val="18"/>
              </w:rPr>
              <w:t>Per 1,000,000 provider-reported cached tokens</w:t>
            </w:r>
          </w:p>
        </w:tc>
      </w:tr>
      <w:tr>
        <w:trPr>
          <w:cantSplit/>
        </w:trPr>
        <w:tc>
          <w:tcPr>
            <w:tcW w:type="dxa" w:w="2952"/>
            <w:shd w:fill="EDF5F7"/>
            <w:vAlign w:val="center"/>
          </w:tcPr>
          <w:p>
            <w:pPr>
              <w:spacing w:before="80" w:after="80" w:line="240" w:lineRule="auto"/>
            </w:pPr>
            <w:r>
              <w:rPr>
                <w:sz w:val="18"/>
              </w:rPr>
              <w:t>GPT-4.1 mini output</w:t>
            </w:r>
          </w:p>
        </w:tc>
        <w:tc>
          <w:tcPr>
            <w:tcW w:type="dxa" w:w="1757"/>
            <w:shd w:fill="EDF5F7"/>
            <w:vAlign w:val="center"/>
          </w:tcPr>
          <w:p>
            <w:pPr>
              <w:spacing w:before="80" w:after="80" w:line="240" w:lineRule="auto"/>
            </w:pPr>
            <w:r>
              <w:rPr>
                <w:sz w:val="18"/>
              </w:rPr>
              <w:t>$1.60</w:t>
            </w:r>
          </w:p>
        </w:tc>
        <w:tc>
          <w:tcPr>
            <w:tcW w:type="dxa" w:w="5184"/>
            <w:shd w:fill="EDF5F7"/>
            <w:vAlign w:val="center"/>
          </w:tcPr>
          <w:p>
            <w:pPr>
              <w:spacing w:before="80" w:after="80" w:line="240" w:lineRule="auto"/>
            </w:pPr>
            <w:r>
              <w:rPr>
                <w:sz w:val="18"/>
              </w:rPr>
              <w:t>Per 1,000,000 output tokens</w:t>
            </w:r>
          </w:p>
        </w:tc>
      </w:tr>
      <w:tr>
        <w:trPr>
          <w:cantSplit/>
        </w:trPr>
        <w:tc>
          <w:tcPr>
            <w:tcW w:type="dxa" w:w="2952"/>
            <w:vAlign w:val="center"/>
          </w:tcPr>
          <w:p>
            <w:pPr>
              <w:spacing w:before="80" w:after="80" w:line="240" w:lineRule="auto"/>
            </w:pPr>
            <w:r>
              <w:rPr>
                <w:sz w:val="18"/>
              </w:rPr>
              <w:t>text-embedding-ada-002</w:t>
            </w:r>
          </w:p>
        </w:tc>
        <w:tc>
          <w:tcPr>
            <w:tcW w:type="dxa" w:w="1757"/>
            <w:vAlign w:val="center"/>
          </w:tcPr>
          <w:p>
            <w:pPr>
              <w:spacing w:before="80" w:after="80" w:line="240" w:lineRule="auto"/>
            </w:pPr>
            <w:r>
              <w:rPr>
                <w:sz w:val="18"/>
              </w:rPr>
              <w:t>$0.10</w:t>
            </w:r>
          </w:p>
        </w:tc>
        <w:tc>
          <w:tcPr>
            <w:tcW w:type="dxa" w:w="5184"/>
            <w:vAlign w:val="center"/>
          </w:tcPr>
          <w:p>
            <w:pPr>
              <w:spacing w:before="80" w:after="80" w:line="240" w:lineRule="auto"/>
            </w:pPr>
            <w:r>
              <w:rPr>
                <w:sz w:val="18"/>
              </w:rPr>
              <w:t>Per 1,000,000 embedding input tokens</w:t>
            </w:r>
          </w:p>
        </w:tc>
      </w:tr>
      <w:tr>
        <w:trPr>
          <w:cantSplit/>
        </w:trPr>
        <w:tc>
          <w:tcPr>
            <w:tcW w:type="dxa" w:w="2952"/>
            <w:shd w:fill="EDF5F7"/>
            <w:vAlign w:val="center"/>
          </w:tcPr>
          <w:p>
            <w:pPr>
              <w:spacing w:before="80" w:after="80" w:line="240" w:lineRule="auto"/>
            </w:pPr>
            <w:r>
              <w:rPr>
                <w:sz w:val="18"/>
              </w:rPr>
              <w:t>Bing grounding / search</w:t>
            </w:r>
          </w:p>
        </w:tc>
        <w:tc>
          <w:tcPr>
            <w:tcW w:type="dxa" w:w="1757"/>
            <w:shd w:fill="EDF5F7"/>
            <w:vAlign w:val="center"/>
          </w:tcPr>
          <w:p>
            <w:pPr>
              <w:spacing w:before="80" w:after="80" w:line="240" w:lineRule="auto"/>
            </w:pPr>
            <w:r>
              <w:rPr>
                <w:sz w:val="18"/>
              </w:rPr>
              <w:t>$14.00</w:t>
            </w:r>
          </w:p>
        </w:tc>
        <w:tc>
          <w:tcPr>
            <w:tcW w:type="dxa" w:w="5184"/>
            <w:shd w:fill="EDF5F7"/>
            <w:vAlign w:val="center"/>
          </w:tcPr>
          <w:p>
            <w:pPr>
              <w:spacing w:before="80" w:after="80" w:line="240" w:lineRule="auto"/>
            </w:pPr>
            <w:r>
              <w:rPr>
                <w:sz w:val="18"/>
              </w:rPr>
              <w:t>Per 1,000 reported search requests</w:t>
            </w:r>
          </w:p>
        </w:tc>
      </w:tr>
    </w:tbl>
    <w:p>
      <w:pPr>
        <w:spacing w:after="0"/>
      </w:pPr>
    </w:p>
    <w:p>
      <w:pPr>
        <w:pStyle w:val="Heading2"/>
      </w:pPr>
      <w:r>
        <w:t>Before approving a budget</w:t>
      </w:r>
    </w:p>
    <w:p>
      <w:r>
        <w:t>Confirm region, deployment type, model version and commercial terms in Azure. The default pricing setting is unconfirmed. Admin Settings supports editable rates and a USD/INR reference rate. Rates in this document exclude tax, infrastructure and support.</w:t>
      </w:r>
    </w:p>
    <w:tbl>
      <w:tblPr>
        <w:tblW w:type="auto" w:w="0"/>
        <w:jc w:val="center"/>
        <w:tblLayout w:type="fixed"/>
        <w:tblLook w:firstColumn="1" w:firstRow="1" w:lastColumn="0" w:lastRow="0" w:noHBand="0" w:noVBand="1" w:val="04A0"/>
      </w:tblPr>
      <w:tblGrid>
        <w:gridCol w:w="2088"/>
        <w:gridCol w:w="7805"/>
      </w:tblGrid>
      <w:tr>
        <w:trPr>
          <w:tblHeader/>
          <w:cantSplit/>
        </w:trPr>
        <w:tc>
          <w:tcPr>
            <w:tcW w:type="dxa" w:w="2088"/>
            <w:shd w:fill="126A76"/>
            <w:vAlign w:val="center"/>
          </w:tcPr>
          <w:p>
            <w:pPr>
              <w:spacing w:before="80" w:after="80" w:line="240" w:lineRule="auto"/>
            </w:pPr>
            <w:r>
              <w:rPr>
                <w:b/>
                <w:color w:val="FFFFFF"/>
                <w:sz w:val="18"/>
              </w:rPr>
              <w:t>Term</w:t>
            </w:r>
          </w:p>
        </w:tc>
        <w:tc>
          <w:tcPr>
            <w:tcW w:type="dxa" w:w="7805"/>
            <w:shd w:fill="126A76"/>
            <w:vAlign w:val="center"/>
          </w:tcPr>
          <w:p>
            <w:pPr>
              <w:spacing w:before="80" w:after="80" w:line="240" w:lineRule="auto"/>
            </w:pPr>
            <w:r>
              <w:rPr>
                <w:b/>
                <w:color w:val="FFFFFF"/>
                <w:sz w:val="18"/>
              </w:rPr>
              <w:t>Meaning</w:t>
            </w:r>
          </w:p>
        </w:tc>
      </w:tr>
      <w:tr>
        <w:trPr>
          <w:cantSplit/>
        </w:trPr>
        <w:tc>
          <w:tcPr>
            <w:tcW w:type="dxa" w:w="2088"/>
            <w:shd w:fill="EDF5F7"/>
            <w:vAlign w:val="center"/>
          </w:tcPr>
          <w:p>
            <w:pPr>
              <w:spacing w:before="80" w:after="80" w:line="240" w:lineRule="auto"/>
            </w:pPr>
            <w:r>
              <w:rPr>
                <w:sz w:val="18"/>
              </w:rPr>
              <w:t>Token</w:t>
            </w:r>
          </w:p>
        </w:tc>
        <w:tc>
          <w:tcPr>
            <w:tcW w:type="dxa" w:w="7805"/>
            <w:shd w:fill="EDF5F7"/>
            <w:vAlign w:val="center"/>
          </w:tcPr>
          <w:p>
            <w:pPr>
              <w:spacing w:before="80" w:after="80" w:line="240" w:lineRule="auto"/>
            </w:pPr>
            <w:r>
              <w:rPr>
                <w:sz w:val="18"/>
              </w:rPr>
              <w:t>A provider-reported input/output unit; not a word or a lead.</w:t>
            </w:r>
          </w:p>
        </w:tc>
      </w:tr>
      <w:tr>
        <w:trPr>
          <w:cantSplit/>
        </w:trPr>
        <w:tc>
          <w:tcPr>
            <w:tcW w:type="dxa" w:w="2088"/>
            <w:vAlign w:val="center"/>
          </w:tcPr>
          <w:p>
            <w:pPr>
              <w:spacing w:before="80" w:after="80" w:line="240" w:lineRule="auto"/>
            </w:pPr>
            <w:r>
              <w:rPr>
                <w:sz w:val="18"/>
              </w:rPr>
              <w:t>Cached input</w:t>
            </w:r>
          </w:p>
        </w:tc>
        <w:tc>
          <w:tcPr>
            <w:tcW w:type="dxa" w:w="7805"/>
            <w:vAlign w:val="center"/>
          </w:tcPr>
          <w:p>
            <w:pPr>
              <w:spacing w:before="80" w:after="80" w:line="240" w:lineRule="auto"/>
            </w:pPr>
            <w:r>
              <w:rPr>
                <w:sz w:val="18"/>
              </w:rPr>
              <w:t>A subset of total input, charged at the cached rate rather than twice.</w:t>
            </w:r>
          </w:p>
        </w:tc>
      </w:tr>
      <w:tr>
        <w:trPr>
          <w:cantSplit/>
        </w:trPr>
        <w:tc>
          <w:tcPr>
            <w:tcW w:type="dxa" w:w="2088"/>
            <w:shd w:fill="EDF5F7"/>
            <w:vAlign w:val="center"/>
          </w:tcPr>
          <w:p>
            <w:pPr>
              <w:spacing w:before="80" w:after="80" w:line="240" w:lineRule="auto"/>
            </w:pPr>
            <w:r>
              <w:rPr>
                <w:sz w:val="18"/>
              </w:rPr>
              <w:t>Search request</w:t>
            </w:r>
          </w:p>
        </w:tc>
        <w:tc>
          <w:tcPr>
            <w:tcW w:type="dxa" w:w="7805"/>
            <w:shd w:fill="EDF5F7"/>
            <w:vAlign w:val="center"/>
          </w:tcPr>
          <w:p>
            <w:pPr>
              <w:spacing w:before="80" w:after="80" w:line="240" w:lineRule="auto"/>
            </w:pPr>
            <w:r>
              <w:rPr>
                <w:sz w:val="18"/>
              </w:rPr>
              <w:t>Provider tool_usage.web_search.num_requests; not the number of visible tool items.</w:t>
            </w:r>
          </w:p>
        </w:tc>
      </w:tr>
      <w:tr>
        <w:trPr>
          <w:cantSplit/>
        </w:trPr>
        <w:tc>
          <w:tcPr>
            <w:tcW w:type="dxa" w:w="2088"/>
            <w:vAlign w:val="center"/>
          </w:tcPr>
          <w:p>
            <w:pPr>
              <w:spacing w:before="80" w:after="80" w:line="240" w:lineRule="auto"/>
            </w:pPr>
            <w:r>
              <w:rPr>
                <w:sz w:val="18"/>
              </w:rPr>
              <w:t>Cost estimate</w:t>
            </w:r>
          </w:p>
        </w:tc>
        <w:tc>
          <w:tcPr>
            <w:tcW w:type="dxa" w:w="7805"/>
            <w:vAlign w:val="center"/>
          </w:tcPr>
          <w:p>
            <w:pPr>
              <w:spacing w:before="80" w:after="80" w:line="240" w:lineRule="auto"/>
            </w:pPr>
            <w:r>
              <w:rPr>
                <w:sz w:val="18"/>
              </w:rPr>
              <w:t>Reported usage multiplied by a saved tariff; not an invoice or guaranteed final charge.</w:t>
            </w:r>
          </w:p>
        </w:tc>
      </w:tr>
    </w:tbl>
    <w:p>
      <w:pPr>
        <w:spacing w:after="0"/>
      </w:pPr>
    </w:p>
    <w:p>
      <w:r>
        <w:br w:type="page"/>
      </w:r>
    </w:p>
    <w:p>
      <w:pPr>
        <w:pStyle w:val="Heading1"/>
      </w:pPr>
      <w:r>
        <w:t>02  Calculation and worked example</w:t>
      </w:r>
    </w:p>
    <w:tbl>
      <w:tblPr>
        <w:tblW w:type="auto" w:w="0"/>
        <w:jc w:val="center"/>
        <w:tblLayout w:type="fixed"/>
        <w:tblLook w:firstColumn="1" w:firstRow="1" w:lastColumn="0" w:lastRow="0" w:noHBand="0" w:noVBand="1" w:val="04A0"/>
      </w:tblPr>
      <w:tblGrid>
        <w:gridCol w:w="2016"/>
        <w:gridCol w:w="7877"/>
      </w:tblGrid>
      <w:tr>
        <w:trPr>
          <w:tblHeader/>
          <w:cantSplit/>
        </w:trPr>
        <w:tc>
          <w:tcPr>
            <w:tcW w:type="dxa" w:w="2016"/>
            <w:shd w:fill="126A76"/>
            <w:vAlign w:val="center"/>
          </w:tcPr>
          <w:p>
            <w:pPr>
              <w:spacing w:before="80" w:after="80" w:line="240" w:lineRule="auto"/>
            </w:pPr>
            <w:r>
              <w:rPr>
                <w:b/>
                <w:color w:val="FFFFFF"/>
                <w:sz w:val="18"/>
              </w:rPr>
              <w:t>Component</w:t>
            </w:r>
          </w:p>
        </w:tc>
        <w:tc>
          <w:tcPr>
            <w:tcW w:type="dxa" w:w="7877"/>
            <w:shd w:fill="126A76"/>
            <w:vAlign w:val="center"/>
          </w:tcPr>
          <w:p>
            <w:pPr>
              <w:spacing w:before="80" w:after="80" w:line="240" w:lineRule="auto"/>
            </w:pPr>
            <w:r>
              <w:rPr>
                <w:b/>
                <w:color w:val="FFFFFF"/>
                <w:sz w:val="18"/>
              </w:rPr>
              <w:t>USD formula</w:t>
            </w:r>
          </w:p>
        </w:tc>
      </w:tr>
      <w:tr>
        <w:trPr>
          <w:cantSplit/>
        </w:trPr>
        <w:tc>
          <w:tcPr>
            <w:tcW w:type="dxa" w:w="2016"/>
            <w:shd w:fill="EDF5F7"/>
            <w:vAlign w:val="center"/>
          </w:tcPr>
          <w:p>
            <w:pPr>
              <w:spacing w:before="80" w:after="80" w:line="240" w:lineRule="auto"/>
            </w:pPr>
            <w:r>
              <w:rPr>
                <w:sz w:val="18"/>
              </w:rPr>
              <w:t>Uncached input</w:t>
            </w:r>
          </w:p>
        </w:tc>
        <w:tc>
          <w:tcPr>
            <w:tcW w:type="dxa" w:w="7877"/>
            <w:shd w:fill="EDF5F7"/>
            <w:vAlign w:val="center"/>
          </w:tcPr>
          <w:p>
            <w:pPr>
              <w:spacing w:before="80" w:after="80" w:line="240" w:lineRule="auto"/>
            </w:pPr>
            <w:r>
              <w:rPr>
                <w:sz w:val="18"/>
              </w:rPr>
              <w:t>(Input tokens − cached input tokens) × input rate / 1,000,000</w:t>
            </w:r>
          </w:p>
        </w:tc>
      </w:tr>
      <w:tr>
        <w:trPr>
          <w:cantSplit/>
        </w:trPr>
        <w:tc>
          <w:tcPr>
            <w:tcW w:type="dxa" w:w="2016"/>
            <w:vAlign w:val="center"/>
          </w:tcPr>
          <w:p>
            <w:pPr>
              <w:spacing w:before="80" w:after="80" w:line="240" w:lineRule="auto"/>
            </w:pPr>
            <w:r>
              <w:rPr>
                <w:sz w:val="18"/>
              </w:rPr>
              <w:t>Cached input</w:t>
            </w:r>
          </w:p>
        </w:tc>
        <w:tc>
          <w:tcPr>
            <w:tcW w:type="dxa" w:w="7877"/>
            <w:vAlign w:val="center"/>
          </w:tcPr>
          <w:p>
            <w:pPr>
              <w:spacing w:before="80" w:after="80" w:line="240" w:lineRule="auto"/>
            </w:pPr>
            <w:r>
              <w:rPr>
                <w:sz w:val="18"/>
              </w:rPr>
              <w:t>Cached input tokens × cached rate / 1,000,000</w:t>
            </w:r>
          </w:p>
        </w:tc>
      </w:tr>
      <w:tr>
        <w:trPr>
          <w:cantSplit/>
        </w:trPr>
        <w:tc>
          <w:tcPr>
            <w:tcW w:type="dxa" w:w="2016"/>
            <w:shd w:fill="EDF5F7"/>
            <w:vAlign w:val="center"/>
          </w:tcPr>
          <w:p>
            <w:pPr>
              <w:spacing w:before="80" w:after="80" w:line="240" w:lineRule="auto"/>
            </w:pPr>
            <w:r>
              <w:rPr>
                <w:sz w:val="18"/>
              </w:rPr>
              <w:t>Output</w:t>
            </w:r>
          </w:p>
        </w:tc>
        <w:tc>
          <w:tcPr>
            <w:tcW w:type="dxa" w:w="7877"/>
            <w:shd w:fill="EDF5F7"/>
            <w:vAlign w:val="center"/>
          </w:tcPr>
          <w:p>
            <w:pPr>
              <w:spacing w:before="80" w:after="80" w:line="240" w:lineRule="auto"/>
            </w:pPr>
            <w:r>
              <w:rPr>
                <w:sz w:val="18"/>
              </w:rPr>
              <w:t>Output tokens × output rate / 1,000,000</w:t>
            </w:r>
          </w:p>
        </w:tc>
      </w:tr>
      <w:tr>
        <w:trPr>
          <w:cantSplit/>
        </w:trPr>
        <w:tc>
          <w:tcPr>
            <w:tcW w:type="dxa" w:w="2016"/>
            <w:vAlign w:val="center"/>
          </w:tcPr>
          <w:p>
            <w:pPr>
              <w:spacing w:before="80" w:after="80" w:line="240" w:lineRule="auto"/>
            </w:pPr>
            <w:r>
              <w:rPr>
                <w:sz w:val="18"/>
              </w:rPr>
              <w:t>Embeddings</w:t>
            </w:r>
          </w:p>
        </w:tc>
        <w:tc>
          <w:tcPr>
            <w:tcW w:type="dxa" w:w="7877"/>
            <w:vAlign w:val="center"/>
          </w:tcPr>
          <w:p>
            <w:pPr>
              <w:spacing w:before="80" w:after="80" w:line="240" w:lineRule="auto"/>
            </w:pPr>
            <w:r>
              <w:rPr>
                <w:sz w:val="18"/>
              </w:rPr>
              <w:t>Embedding input tokens × embedding rate / 1,000,000</w:t>
            </w:r>
          </w:p>
        </w:tc>
      </w:tr>
      <w:tr>
        <w:trPr>
          <w:cantSplit/>
        </w:trPr>
        <w:tc>
          <w:tcPr>
            <w:tcW w:type="dxa" w:w="2016"/>
            <w:shd w:fill="EDF5F7"/>
            <w:vAlign w:val="center"/>
          </w:tcPr>
          <w:p>
            <w:pPr>
              <w:spacing w:before="80" w:after="80" w:line="240" w:lineRule="auto"/>
            </w:pPr>
            <w:r>
              <w:rPr>
                <w:sz w:val="18"/>
              </w:rPr>
              <w:t>Search</w:t>
            </w:r>
          </w:p>
        </w:tc>
        <w:tc>
          <w:tcPr>
            <w:tcW w:type="dxa" w:w="7877"/>
            <w:shd w:fill="EDF5F7"/>
            <w:vAlign w:val="center"/>
          </w:tcPr>
          <w:p>
            <w:pPr>
              <w:spacing w:before="80" w:after="80" w:line="240" w:lineRule="auto"/>
            </w:pPr>
            <w:r>
              <w:rPr>
                <w:sz w:val="18"/>
              </w:rPr>
              <w:t>Provider-reported search requests × search rate / 1,000</w:t>
            </w:r>
          </w:p>
        </w:tc>
      </w:tr>
      <w:tr>
        <w:trPr>
          <w:cantSplit/>
        </w:trPr>
        <w:tc>
          <w:tcPr>
            <w:tcW w:type="dxa" w:w="2016"/>
            <w:vAlign w:val="center"/>
          </w:tcPr>
          <w:p>
            <w:pPr>
              <w:spacing w:before="80" w:after="80" w:line="240" w:lineRule="auto"/>
            </w:pPr>
            <w:r>
              <w:rPr>
                <w:sz w:val="18"/>
              </w:rPr>
              <w:t>Total</w:t>
            </w:r>
          </w:p>
        </w:tc>
        <w:tc>
          <w:tcPr>
            <w:tcW w:type="dxa" w:w="7877"/>
            <w:vAlign w:val="center"/>
          </w:tcPr>
          <w:p>
            <w:pPr>
              <w:spacing w:before="80" w:after="80" w:line="240" w:lineRule="auto"/>
            </w:pPr>
            <w:r>
              <w:rPr>
                <w:sz w:val="18"/>
              </w:rPr>
              <w:t>Sum of priced components; any missing meter means an incomplete estimate.</w:t>
            </w:r>
          </w:p>
        </w:tc>
      </w:tr>
      <w:tr>
        <w:trPr>
          <w:cantSplit/>
        </w:trPr>
        <w:tc>
          <w:tcPr>
            <w:tcW w:type="dxa" w:w="2016"/>
            <w:shd w:fill="EDF5F7"/>
            <w:vAlign w:val="center"/>
          </w:tcPr>
          <w:p>
            <w:pPr>
              <w:spacing w:before="80" w:after="80" w:line="240" w:lineRule="auto"/>
            </w:pPr>
            <w:r>
              <w:rPr>
                <w:sz w:val="18"/>
              </w:rPr>
              <w:t>INR display</w:t>
            </w:r>
          </w:p>
        </w:tc>
        <w:tc>
          <w:tcPr>
            <w:tcW w:type="dxa" w:w="7877"/>
            <w:shd w:fill="EDF5F7"/>
            <w:vAlign w:val="center"/>
          </w:tcPr>
          <w:p>
            <w:pPr>
              <w:spacing w:before="80" w:after="80" w:line="240" w:lineRule="auto"/>
            </w:pPr>
            <w:r>
              <w:rPr>
                <w:sz w:val="18"/>
              </w:rPr>
              <w:t>USD estimate × configured INR per USD; reference conversion only.</w:t>
            </w:r>
          </w:p>
        </w:tc>
      </w:tr>
    </w:tbl>
    <w:p>
      <w:pPr>
        <w:spacing w:after="0"/>
      </w:pPr>
    </w:p>
    <w:p>
      <w:pPr>
        <w:pStyle w:val="Heading2"/>
      </w:pPr>
      <w:r>
        <w:t>Illustrative one-lead budget</w:t>
      </w:r>
    </w:p>
    <w:p>
      <w:r>
        <w:t>Assume aggregate usage across a lead's requests: 12,000 input tokens including 3,000 cached tokens; 2,000 output tokens; 2,000 embedding tokens; and 3 reported search requests. These are planning assumptions, not measured averages. Import and chat are excluded.</w:t>
      </w:r>
    </w:p>
    <w:tbl>
      <w:tblPr>
        <w:tblW w:type="auto" w:w="0"/>
        <w:jc w:val="center"/>
        <w:tblLayout w:type="fixed"/>
        <w:tblLook w:firstColumn="1" w:firstRow="1" w:lastColumn="0" w:lastRow="0" w:noHBand="0" w:noVBand="1" w:val="04A0"/>
      </w:tblPr>
      <w:tblGrid>
        <w:gridCol w:w="4176"/>
        <w:gridCol w:w="2592"/>
        <w:gridCol w:w="3125"/>
      </w:tblGrid>
      <w:tr>
        <w:trPr>
          <w:tblHeader/>
          <w:cantSplit/>
        </w:trPr>
        <w:tc>
          <w:tcPr>
            <w:tcW w:type="dxa" w:w="4176"/>
            <w:shd w:fill="126A76"/>
            <w:vAlign w:val="center"/>
          </w:tcPr>
          <w:p>
            <w:pPr>
              <w:spacing w:before="80" w:after="80" w:line="240" w:lineRule="auto"/>
            </w:pPr>
            <w:r>
              <w:rPr>
                <w:b/>
                <w:color w:val="FFFFFF"/>
                <w:sz w:val="18"/>
              </w:rPr>
              <w:t>Component</w:t>
            </w:r>
          </w:p>
        </w:tc>
        <w:tc>
          <w:tcPr>
            <w:tcW w:type="dxa" w:w="2592"/>
            <w:shd w:fill="126A76"/>
            <w:vAlign w:val="center"/>
          </w:tcPr>
          <w:p>
            <w:pPr>
              <w:spacing w:before="80" w:after="80" w:line="240" w:lineRule="auto"/>
            </w:pPr>
            <w:r>
              <w:rPr>
                <w:b/>
                <w:color w:val="FFFFFF"/>
                <w:sz w:val="18"/>
              </w:rPr>
              <w:t>Quantity</w:t>
            </w:r>
          </w:p>
        </w:tc>
        <w:tc>
          <w:tcPr>
            <w:tcW w:type="dxa" w:w="3125"/>
            <w:shd w:fill="126A76"/>
            <w:vAlign w:val="center"/>
          </w:tcPr>
          <w:p>
            <w:pPr>
              <w:spacing w:before="80" w:after="80" w:line="240" w:lineRule="auto"/>
            </w:pPr>
            <w:r>
              <w:rPr>
                <w:b/>
                <w:color w:val="FFFFFF"/>
                <w:sz w:val="18"/>
              </w:rPr>
              <w:t>Estimated USD</w:t>
            </w:r>
          </w:p>
        </w:tc>
      </w:tr>
      <w:tr>
        <w:trPr>
          <w:cantSplit/>
        </w:trPr>
        <w:tc>
          <w:tcPr>
            <w:tcW w:type="dxa" w:w="4176"/>
            <w:shd w:fill="EDF5F7"/>
            <w:vAlign w:val="center"/>
          </w:tcPr>
          <w:p>
            <w:pPr>
              <w:spacing w:before="80" w:after="80" w:line="240" w:lineRule="auto"/>
            </w:pPr>
            <w:r>
              <w:rPr>
                <w:sz w:val="18"/>
              </w:rPr>
              <w:t>Uncached input</w:t>
            </w:r>
          </w:p>
        </w:tc>
        <w:tc>
          <w:tcPr>
            <w:tcW w:type="dxa" w:w="2592"/>
            <w:shd w:fill="EDF5F7"/>
            <w:vAlign w:val="center"/>
          </w:tcPr>
          <w:p>
            <w:pPr>
              <w:spacing w:before="80" w:after="80" w:line="240" w:lineRule="auto"/>
            </w:pPr>
            <w:r>
              <w:rPr>
                <w:sz w:val="18"/>
              </w:rPr>
              <w:t>9,000</w:t>
            </w:r>
          </w:p>
        </w:tc>
        <w:tc>
          <w:tcPr>
            <w:tcW w:type="dxa" w:w="3125"/>
            <w:shd w:fill="EDF5F7"/>
            <w:vAlign w:val="center"/>
          </w:tcPr>
          <w:p>
            <w:pPr>
              <w:spacing w:before="80" w:after="80" w:line="240" w:lineRule="auto"/>
            </w:pPr>
            <w:r>
              <w:rPr>
                <w:sz w:val="18"/>
              </w:rPr>
              <w:t>$0.0036</w:t>
            </w:r>
          </w:p>
        </w:tc>
      </w:tr>
      <w:tr>
        <w:trPr>
          <w:cantSplit/>
        </w:trPr>
        <w:tc>
          <w:tcPr>
            <w:tcW w:type="dxa" w:w="4176"/>
            <w:vAlign w:val="center"/>
          </w:tcPr>
          <w:p>
            <w:pPr>
              <w:spacing w:before="80" w:after="80" w:line="240" w:lineRule="auto"/>
            </w:pPr>
            <w:r>
              <w:rPr>
                <w:sz w:val="18"/>
              </w:rPr>
              <w:t>Cached input</w:t>
            </w:r>
          </w:p>
        </w:tc>
        <w:tc>
          <w:tcPr>
            <w:tcW w:type="dxa" w:w="2592"/>
            <w:vAlign w:val="center"/>
          </w:tcPr>
          <w:p>
            <w:pPr>
              <w:spacing w:before="80" w:after="80" w:line="240" w:lineRule="auto"/>
            </w:pPr>
            <w:r>
              <w:rPr>
                <w:sz w:val="18"/>
              </w:rPr>
              <w:t>3,000</w:t>
            </w:r>
          </w:p>
        </w:tc>
        <w:tc>
          <w:tcPr>
            <w:tcW w:type="dxa" w:w="3125"/>
            <w:vAlign w:val="center"/>
          </w:tcPr>
          <w:p>
            <w:pPr>
              <w:spacing w:before="80" w:after="80" w:line="240" w:lineRule="auto"/>
            </w:pPr>
            <w:r>
              <w:rPr>
                <w:sz w:val="18"/>
              </w:rPr>
              <w:t>$0.0003</w:t>
            </w:r>
          </w:p>
        </w:tc>
      </w:tr>
      <w:tr>
        <w:trPr>
          <w:cantSplit/>
        </w:trPr>
        <w:tc>
          <w:tcPr>
            <w:tcW w:type="dxa" w:w="4176"/>
            <w:shd w:fill="EDF5F7"/>
            <w:vAlign w:val="center"/>
          </w:tcPr>
          <w:p>
            <w:pPr>
              <w:spacing w:before="80" w:after="80" w:line="240" w:lineRule="auto"/>
            </w:pPr>
            <w:r>
              <w:rPr>
                <w:sz w:val="18"/>
              </w:rPr>
              <w:t>Output</w:t>
            </w:r>
          </w:p>
        </w:tc>
        <w:tc>
          <w:tcPr>
            <w:tcW w:type="dxa" w:w="2592"/>
            <w:shd w:fill="EDF5F7"/>
            <w:vAlign w:val="center"/>
          </w:tcPr>
          <w:p>
            <w:pPr>
              <w:spacing w:before="80" w:after="80" w:line="240" w:lineRule="auto"/>
            </w:pPr>
            <w:r>
              <w:rPr>
                <w:sz w:val="18"/>
              </w:rPr>
              <w:t>2,000</w:t>
            </w:r>
          </w:p>
        </w:tc>
        <w:tc>
          <w:tcPr>
            <w:tcW w:type="dxa" w:w="3125"/>
            <w:shd w:fill="EDF5F7"/>
            <w:vAlign w:val="center"/>
          </w:tcPr>
          <w:p>
            <w:pPr>
              <w:spacing w:before="80" w:after="80" w:line="240" w:lineRule="auto"/>
            </w:pPr>
            <w:r>
              <w:rPr>
                <w:sz w:val="18"/>
              </w:rPr>
              <w:t>$0.0032</w:t>
            </w:r>
          </w:p>
        </w:tc>
      </w:tr>
      <w:tr>
        <w:trPr>
          <w:cantSplit/>
        </w:trPr>
        <w:tc>
          <w:tcPr>
            <w:tcW w:type="dxa" w:w="4176"/>
            <w:vAlign w:val="center"/>
          </w:tcPr>
          <w:p>
            <w:pPr>
              <w:spacing w:before="80" w:after="80" w:line="240" w:lineRule="auto"/>
            </w:pPr>
            <w:r>
              <w:rPr>
                <w:sz w:val="18"/>
              </w:rPr>
              <w:t>Embedding</w:t>
            </w:r>
          </w:p>
        </w:tc>
        <w:tc>
          <w:tcPr>
            <w:tcW w:type="dxa" w:w="2592"/>
            <w:vAlign w:val="center"/>
          </w:tcPr>
          <w:p>
            <w:pPr>
              <w:spacing w:before="80" w:after="80" w:line="240" w:lineRule="auto"/>
            </w:pPr>
            <w:r>
              <w:rPr>
                <w:sz w:val="18"/>
              </w:rPr>
              <w:t>2,000</w:t>
            </w:r>
          </w:p>
        </w:tc>
        <w:tc>
          <w:tcPr>
            <w:tcW w:type="dxa" w:w="3125"/>
            <w:vAlign w:val="center"/>
          </w:tcPr>
          <w:p>
            <w:pPr>
              <w:spacing w:before="80" w:after="80" w:line="240" w:lineRule="auto"/>
            </w:pPr>
            <w:r>
              <w:rPr>
                <w:sz w:val="18"/>
              </w:rPr>
              <w:t>$0.0002</w:t>
            </w:r>
          </w:p>
        </w:tc>
      </w:tr>
      <w:tr>
        <w:trPr>
          <w:cantSplit/>
        </w:trPr>
        <w:tc>
          <w:tcPr>
            <w:tcW w:type="dxa" w:w="4176"/>
            <w:shd w:fill="EDF5F7"/>
            <w:vAlign w:val="center"/>
          </w:tcPr>
          <w:p>
            <w:pPr>
              <w:spacing w:before="80" w:after="80" w:line="240" w:lineRule="auto"/>
            </w:pPr>
            <w:r>
              <w:rPr>
                <w:sz w:val="18"/>
              </w:rPr>
              <w:t>Search</w:t>
            </w:r>
          </w:p>
        </w:tc>
        <w:tc>
          <w:tcPr>
            <w:tcW w:type="dxa" w:w="2592"/>
            <w:shd w:fill="EDF5F7"/>
            <w:vAlign w:val="center"/>
          </w:tcPr>
          <w:p>
            <w:pPr>
              <w:spacing w:before="80" w:after="80" w:line="240" w:lineRule="auto"/>
            </w:pPr>
            <w:r>
              <w:rPr>
                <w:sz w:val="18"/>
              </w:rPr>
              <w:t>3 requests</w:t>
            </w:r>
          </w:p>
        </w:tc>
        <w:tc>
          <w:tcPr>
            <w:tcW w:type="dxa" w:w="3125"/>
            <w:shd w:fill="EDF5F7"/>
            <w:vAlign w:val="center"/>
          </w:tcPr>
          <w:p>
            <w:pPr>
              <w:spacing w:before="80" w:after="80" w:line="240" w:lineRule="auto"/>
            </w:pPr>
            <w:r>
              <w:rPr>
                <w:sz w:val="18"/>
              </w:rPr>
              <w:t>$0.0420</w:t>
            </w:r>
          </w:p>
        </w:tc>
      </w:tr>
      <w:tr>
        <w:trPr>
          <w:cantSplit/>
        </w:trPr>
        <w:tc>
          <w:tcPr>
            <w:tcW w:type="dxa" w:w="4176"/>
            <w:vAlign w:val="center"/>
          </w:tcPr>
          <w:p>
            <w:pPr>
              <w:spacing w:before="80" w:after="80" w:line="240" w:lineRule="auto"/>
            </w:pPr>
            <w:r>
              <w:rPr>
                <w:sz w:val="18"/>
              </w:rPr>
              <w:t>Total per newly researched lead</w:t>
            </w:r>
          </w:p>
        </w:tc>
        <w:tc>
          <w:tcPr>
            <w:tcW w:type="dxa" w:w="2592"/>
            <w:vAlign w:val="center"/>
          </w:tcPr>
          <w:p>
            <w:pPr>
              <w:spacing w:before="80" w:after="80" w:line="240" w:lineRule="auto"/>
            </w:pPr>
            <w:r>
              <w:rPr>
                <w:sz w:val="18"/>
              </w:rPr>
              <w:t>Assumed workload</w:t>
            </w:r>
          </w:p>
        </w:tc>
        <w:tc>
          <w:tcPr>
            <w:tcW w:type="dxa" w:w="3125"/>
            <w:vAlign w:val="center"/>
          </w:tcPr>
          <w:p>
            <w:pPr>
              <w:spacing w:before="80" w:after="80" w:line="240" w:lineRule="auto"/>
            </w:pPr>
            <w:r>
              <w:rPr>
                <w:sz w:val="18"/>
              </w:rPr>
              <w:t>$0.0493</w:t>
            </w:r>
          </w:p>
        </w:tc>
      </w:tr>
    </w:tbl>
    <w:p>
      <w:pPr>
        <w:spacing w:after="0"/>
      </w:pPr>
    </w:p>
    <w:p>
      <w:r>
        <w:t>At an illustrative 85 INR per USD (not a current exchange-rate quote), this is INR 4.1905 per lead. Keep full precision in calculations and round for display only.</w:t>
      </w:r>
    </w:p>
    <w:p>
      <w:r>
        <w:br w:type="page"/>
      </w:r>
    </w:p>
    <w:p>
      <w:pPr>
        <w:pStyle w:val="Heading1"/>
      </w:pPr>
      <w:r>
        <w:t>03  Batch budgets and research reuse</w:t>
      </w:r>
    </w:p>
    <w:p>
      <w:r>
        <w:t>The following scenarios keep token usage constant at the assumptions on page 2. Only search requests vary. All leads are newly researched; no retries, import or chat are included.</w:t>
      </w:r>
    </w:p>
    <w:tbl>
      <w:tblPr>
        <w:tblW w:type="auto" w:w="0"/>
        <w:jc w:val="center"/>
        <w:tblLayout w:type="fixed"/>
        <w:tblLook w:firstColumn="1" w:firstRow="1" w:lastColumn="0" w:lastRow="0" w:noHBand="0" w:noVBand="1" w:val="04A0"/>
      </w:tblPr>
      <w:tblGrid>
        <w:gridCol w:w="1728"/>
        <w:gridCol w:w="2722"/>
        <w:gridCol w:w="2722"/>
        <w:gridCol w:w="2722"/>
      </w:tblGrid>
      <w:tr>
        <w:trPr>
          <w:tblHeader/>
          <w:cantSplit/>
        </w:trPr>
        <w:tc>
          <w:tcPr>
            <w:tcW w:type="dxa" w:w="1728"/>
            <w:shd w:fill="126A76"/>
            <w:vAlign w:val="center"/>
          </w:tcPr>
          <w:p>
            <w:pPr>
              <w:spacing w:before="80" w:after="80" w:line="240" w:lineRule="auto"/>
            </w:pPr>
            <w:r>
              <w:rPr>
                <w:b/>
                <w:color w:val="FFFFFF"/>
                <w:sz w:val="18"/>
              </w:rPr>
              <w:t>New leads</w:t>
            </w:r>
          </w:p>
        </w:tc>
        <w:tc>
          <w:tcPr>
            <w:tcW w:type="dxa" w:w="2722"/>
            <w:shd w:fill="126A76"/>
            <w:vAlign w:val="center"/>
          </w:tcPr>
          <w:p>
            <w:pPr>
              <w:spacing w:before="80" w:after="80" w:line="240" w:lineRule="auto"/>
            </w:pPr>
            <w:r>
              <w:rPr>
                <w:b/>
                <w:color w:val="FFFFFF"/>
                <w:sz w:val="18"/>
              </w:rPr>
              <w:t>1 search / lead</w:t>
            </w:r>
          </w:p>
        </w:tc>
        <w:tc>
          <w:tcPr>
            <w:tcW w:type="dxa" w:w="2722"/>
            <w:shd w:fill="126A76"/>
            <w:vAlign w:val="center"/>
          </w:tcPr>
          <w:p>
            <w:pPr>
              <w:spacing w:before="80" w:after="80" w:line="240" w:lineRule="auto"/>
            </w:pPr>
            <w:r>
              <w:rPr>
                <w:b/>
                <w:color w:val="FFFFFF"/>
                <w:sz w:val="18"/>
              </w:rPr>
              <w:t>2 searches / lead</w:t>
            </w:r>
          </w:p>
        </w:tc>
        <w:tc>
          <w:tcPr>
            <w:tcW w:type="dxa" w:w="2722"/>
            <w:shd w:fill="126A76"/>
            <w:vAlign w:val="center"/>
          </w:tcPr>
          <w:p>
            <w:pPr>
              <w:spacing w:before="80" w:after="80" w:line="240" w:lineRule="auto"/>
            </w:pPr>
            <w:r>
              <w:rPr>
                <w:b/>
                <w:color w:val="FFFFFF"/>
                <w:sz w:val="18"/>
              </w:rPr>
              <w:t>3 searches / lead</w:t>
            </w:r>
          </w:p>
        </w:tc>
      </w:tr>
      <w:tr>
        <w:trPr>
          <w:cantSplit/>
        </w:trPr>
        <w:tc>
          <w:tcPr>
            <w:tcW w:type="dxa" w:w="1728"/>
            <w:shd w:fill="EDF5F7"/>
            <w:vAlign w:val="center"/>
          </w:tcPr>
          <w:p>
            <w:pPr>
              <w:spacing w:before="80" w:after="80" w:line="240" w:lineRule="auto"/>
            </w:pPr>
            <w:r>
              <w:rPr>
                <w:sz w:val="18"/>
              </w:rPr>
              <w:t>100</w:t>
            </w:r>
          </w:p>
        </w:tc>
        <w:tc>
          <w:tcPr>
            <w:tcW w:type="dxa" w:w="2722"/>
            <w:shd w:fill="EDF5F7"/>
            <w:vAlign w:val="center"/>
          </w:tcPr>
          <w:p>
            <w:pPr>
              <w:spacing w:before="80" w:after="80" w:line="240" w:lineRule="auto"/>
            </w:pPr>
            <w:r>
              <w:rPr>
                <w:sz w:val="18"/>
              </w:rPr>
              <w:t>$2.1300</w:t>
            </w:r>
          </w:p>
        </w:tc>
        <w:tc>
          <w:tcPr>
            <w:tcW w:type="dxa" w:w="2722"/>
            <w:shd w:fill="EDF5F7"/>
            <w:vAlign w:val="center"/>
          </w:tcPr>
          <w:p>
            <w:pPr>
              <w:spacing w:before="80" w:after="80" w:line="240" w:lineRule="auto"/>
            </w:pPr>
            <w:r>
              <w:rPr>
                <w:sz w:val="18"/>
              </w:rPr>
              <w:t>$3.5300</w:t>
            </w:r>
          </w:p>
        </w:tc>
        <w:tc>
          <w:tcPr>
            <w:tcW w:type="dxa" w:w="2722"/>
            <w:shd w:fill="EDF5F7"/>
            <w:vAlign w:val="center"/>
          </w:tcPr>
          <w:p>
            <w:pPr>
              <w:spacing w:before="80" w:after="80" w:line="240" w:lineRule="auto"/>
            </w:pPr>
            <w:r>
              <w:rPr>
                <w:sz w:val="18"/>
              </w:rPr>
              <w:t>$4.9300</w:t>
            </w:r>
          </w:p>
        </w:tc>
      </w:tr>
      <w:tr>
        <w:trPr>
          <w:cantSplit/>
        </w:trPr>
        <w:tc>
          <w:tcPr>
            <w:tcW w:type="dxa" w:w="1728"/>
            <w:vAlign w:val="center"/>
          </w:tcPr>
          <w:p>
            <w:pPr>
              <w:spacing w:before="80" w:after="80" w:line="240" w:lineRule="auto"/>
            </w:pPr>
            <w:r>
              <w:rPr>
                <w:sz w:val="18"/>
              </w:rPr>
              <w:t>1,000</w:t>
            </w:r>
          </w:p>
        </w:tc>
        <w:tc>
          <w:tcPr>
            <w:tcW w:type="dxa" w:w="2722"/>
            <w:vAlign w:val="center"/>
          </w:tcPr>
          <w:p>
            <w:pPr>
              <w:spacing w:before="80" w:after="80" w:line="240" w:lineRule="auto"/>
            </w:pPr>
            <w:r>
              <w:rPr>
                <w:sz w:val="18"/>
              </w:rPr>
              <w:t>$21.3000</w:t>
            </w:r>
          </w:p>
        </w:tc>
        <w:tc>
          <w:tcPr>
            <w:tcW w:type="dxa" w:w="2722"/>
            <w:vAlign w:val="center"/>
          </w:tcPr>
          <w:p>
            <w:pPr>
              <w:spacing w:before="80" w:after="80" w:line="240" w:lineRule="auto"/>
            </w:pPr>
            <w:r>
              <w:rPr>
                <w:sz w:val="18"/>
              </w:rPr>
              <w:t>$35.3000</w:t>
            </w:r>
          </w:p>
        </w:tc>
        <w:tc>
          <w:tcPr>
            <w:tcW w:type="dxa" w:w="2722"/>
            <w:vAlign w:val="center"/>
          </w:tcPr>
          <w:p>
            <w:pPr>
              <w:spacing w:before="80" w:after="80" w:line="240" w:lineRule="auto"/>
            </w:pPr>
            <w:r>
              <w:rPr>
                <w:sz w:val="18"/>
              </w:rPr>
              <w:t>$49.3000</w:t>
            </w:r>
          </w:p>
        </w:tc>
      </w:tr>
      <w:tr>
        <w:trPr>
          <w:cantSplit/>
        </w:trPr>
        <w:tc>
          <w:tcPr>
            <w:tcW w:type="dxa" w:w="1728"/>
            <w:shd w:fill="EDF5F7"/>
            <w:vAlign w:val="center"/>
          </w:tcPr>
          <w:p>
            <w:pPr>
              <w:spacing w:before="80" w:after="80" w:line="240" w:lineRule="auto"/>
            </w:pPr>
            <w:r>
              <w:rPr>
                <w:sz w:val="18"/>
              </w:rPr>
              <w:t>10,000</w:t>
            </w:r>
          </w:p>
        </w:tc>
        <w:tc>
          <w:tcPr>
            <w:tcW w:type="dxa" w:w="2722"/>
            <w:shd w:fill="EDF5F7"/>
            <w:vAlign w:val="center"/>
          </w:tcPr>
          <w:p>
            <w:pPr>
              <w:spacing w:before="80" w:after="80" w:line="240" w:lineRule="auto"/>
            </w:pPr>
            <w:r>
              <w:rPr>
                <w:sz w:val="18"/>
              </w:rPr>
              <w:t>$213.0000</w:t>
            </w:r>
          </w:p>
        </w:tc>
        <w:tc>
          <w:tcPr>
            <w:tcW w:type="dxa" w:w="2722"/>
            <w:shd w:fill="EDF5F7"/>
            <w:vAlign w:val="center"/>
          </w:tcPr>
          <w:p>
            <w:pPr>
              <w:spacing w:before="80" w:after="80" w:line="240" w:lineRule="auto"/>
            </w:pPr>
            <w:r>
              <w:rPr>
                <w:sz w:val="18"/>
              </w:rPr>
              <w:t>$353.0000</w:t>
            </w:r>
          </w:p>
        </w:tc>
        <w:tc>
          <w:tcPr>
            <w:tcW w:type="dxa" w:w="2722"/>
            <w:shd w:fill="EDF5F7"/>
            <w:vAlign w:val="center"/>
          </w:tcPr>
          <w:p>
            <w:pPr>
              <w:spacing w:before="80" w:after="80" w:line="240" w:lineRule="auto"/>
            </w:pPr>
            <w:r>
              <w:rPr>
                <w:sz w:val="18"/>
              </w:rPr>
              <w:t>$493.0000</w:t>
            </w:r>
          </w:p>
        </w:tc>
      </w:tr>
    </w:tbl>
    <w:p>
      <w:pPr>
        <w:spacing w:after="0"/>
      </w:pPr>
    </w:p>
    <w:p>
      <w:pPr>
        <w:pStyle w:val="Heading2"/>
      </w:pPr>
      <w:r>
        <w:t>What each processing mode changes</w:t>
      </w:r>
    </w:p>
    <w:tbl>
      <w:tblPr>
        <w:tblW w:type="auto" w:w="0"/>
        <w:jc w:val="center"/>
        <w:tblLayout w:type="fixed"/>
        <w:tblLook w:firstColumn="1" w:firstRow="1" w:lastColumn="0" w:lastRow="0" w:noHBand="0" w:noVBand="1" w:val="04A0"/>
      </w:tblPr>
      <w:tblGrid>
        <w:gridCol w:w="1944"/>
        <w:gridCol w:w="4248"/>
        <w:gridCol w:w="3701"/>
      </w:tblGrid>
      <w:tr>
        <w:trPr>
          <w:tblHeader/>
          <w:cantSplit/>
        </w:trPr>
        <w:tc>
          <w:tcPr>
            <w:tcW w:type="dxa" w:w="1944"/>
            <w:shd w:fill="126A76"/>
            <w:vAlign w:val="center"/>
          </w:tcPr>
          <w:p>
            <w:pPr>
              <w:spacing w:before="80" w:after="80" w:line="240" w:lineRule="auto"/>
            </w:pPr>
            <w:r>
              <w:rPr>
                <w:b/>
                <w:color w:val="FFFFFF"/>
                <w:sz w:val="18"/>
              </w:rPr>
              <w:t>Path</w:t>
            </w:r>
          </w:p>
        </w:tc>
        <w:tc>
          <w:tcPr>
            <w:tcW w:type="dxa" w:w="4248"/>
            <w:shd w:fill="126A76"/>
            <w:vAlign w:val="center"/>
          </w:tcPr>
          <w:p>
            <w:pPr>
              <w:spacing w:before="80" w:after="80" w:line="240" w:lineRule="auto"/>
            </w:pPr>
            <w:r>
              <w:rPr>
                <w:b/>
                <w:color w:val="FFFFFF"/>
                <w:sz w:val="18"/>
              </w:rPr>
              <w:t>Usage that can occur</w:t>
            </w:r>
          </w:p>
        </w:tc>
        <w:tc>
          <w:tcPr>
            <w:tcW w:type="dxa" w:w="3701"/>
            <w:shd w:fill="126A76"/>
            <w:vAlign w:val="center"/>
          </w:tcPr>
          <w:p>
            <w:pPr>
              <w:spacing w:before="80" w:after="80" w:line="240" w:lineRule="auto"/>
            </w:pPr>
            <w:r>
              <w:rPr>
                <w:b/>
                <w:color w:val="FFFFFF"/>
                <w:sz w:val="18"/>
              </w:rPr>
              <w:t>Budget implication</w:t>
            </w:r>
          </w:p>
        </w:tc>
      </w:tr>
      <w:tr>
        <w:trPr>
          <w:cantSplit/>
        </w:trPr>
        <w:tc>
          <w:tcPr>
            <w:tcW w:type="dxa" w:w="1944"/>
            <w:shd w:fill="EDF5F7"/>
            <w:vAlign w:val="center"/>
          </w:tcPr>
          <w:p>
            <w:pPr>
              <w:spacing w:before="80" w:after="80" w:line="240" w:lineRule="auto"/>
            </w:pPr>
            <w:r>
              <w:rPr>
                <w:sz w:val="18"/>
              </w:rPr>
              <w:t>Fresh AI research</w:t>
            </w:r>
          </w:p>
        </w:tc>
        <w:tc>
          <w:tcPr>
            <w:tcW w:type="dxa" w:w="4248"/>
            <w:shd w:fill="EDF5F7"/>
            <w:vAlign w:val="center"/>
          </w:tcPr>
          <w:p>
            <w:pPr>
              <w:spacing w:before="80" w:after="80" w:line="240" w:lineRule="auto"/>
            </w:pPr>
            <w:r>
              <w:rPr>
                <w:sz w:val="18"/>
              </w:rPr>
              <w:t>New web research, ICP comparison, optional outreach draft and embeddings.</w:t>
            </w:r>
          </w:p>
        </w:tc>
        <w:tc>
          <w:tcPr>
            <w:tcW w:type="dxa" w:w="3701"/>
            <w:shd w:fill="EDF5F7"/>
            <w:vAlign w:val="center"/>
          </w:tcPr>
          <w:p>
            <w:pPr>
              <w:spacing w:before="80" w:after="80" w:line="240" w:lineRule="auto"/>
            </w:pPr>
            <w:r>
              <w:rPr>
                <w:sz w:val="18"/>
              </w:rPr>
              <w:t>Use the full new-lead assumption; retries may add cost.</w:t>
            </w:r>
          </w:p>
        </w:tc>
      </w:tr>
      <w:tr>
        <w:trPr>
          <w:cantSplit/>
        </w:trPr>
        <w:tc>
          <w:tcPr>
            <w:tcW w:type="dxa" w:w="1944"/>
            <w:vAlign w:val="center"/>
          </w:tcPr>
          <w:p>
            <w:pPr>
              <w:spacing w:before="80" w:after="80" w:line="240" w:lineRule="auto"/>
            </w:pPr>
            <w:r>
              <w:rPr>
                <w:sz w:val="18"/>
              </w:rPr>
              <w:t>Full result reuse</w:t>
            </w:r>
          </w:p>
        </w:tc>
        <w:tc>
          <w:tcPr>
            <w:tcW w:type="dxa" w:w="4248"/>
            <w:vAlign w:val="center"/>
          </w:tcPr>
          <w:p>
            <w:pPr>
              <w:spacing w:before="80" w:after="80" w:line="240" w:lineRule="auto"/>
            </w:pPr>
            <w:r>
              <w:rPr>
                <w:sz w:val="18"/>
              </w:rPr>
              <w:t>Compatible saved scores/results copied with no new per-lead qualification AI calls.</w:t>
            </w:r>
          </w:p>
        </w:tc>
        <w:tc>
          <w:tcPr>
            <w:tcW w:type="dxa" w:w="3701"/>
            <w:vAlign w:val="center"/>
          </w:tcPr>
          <w:p>
            <w:pPr>
              <w:spacing w:before="80" w:after="80" w:line="240" w:lineRule="auto"/>
            </w:pPr>
            <w:r>
              <w:rPr>
                <w:sz w:val="18"/>
              </w:rPr>
              <w:t>Zero new qualification AI cost for that copy; import/hosting still apply.</w:t>
            </w:r>
          </w:p>
        </w:tc>
      </w:tr>
      <w:tr>
        <w:trPr>
          <w:cantSplit/>
        </w:trPr>
        <w:tc>
          <w:tcPr>
            <w:tcW w:type="dxa" w:w="1944"/>
            <w:shd w:fill="EDF5F7"/>
            <w:vAlign w:val="center"/>
          </w:tcPr>
          <w:p>
            <w:pPr>
              <w:spacing w:before="80" w:after="80" w:line="240" w:lineRule="auto"/>
            </w:pPr>
            <w:r>
              <w:rPr>
                <w:sz w:val="18"/>
              </w:rPr>
              <w:t>Research-only reuse</w:t>
            </w:r>
          </w:p>
        </w:tc>
        <w:tc>
          <w:tcPr>
            <w:tcW w:type="dxa" w:w="4248"/>
            <w:shd w:fill="EDF5F7"/>
            <w:vAlign w:val="center"/>
          </w:tcPr>
          <w:p>
            <w:pPr>
              <w:spacing w:before="80" w:after="80" w:line="240" w:lineRule="auto"/>
            </w:pPr>
            <w:r>
              <w:rPr>
                <w:sz w:val="18"/>
              </w:rPr>
              <w:t>Web research skipped; contact/ICP/scoring still run; job-scoped indexing may occur.</w:t>
            </w:r>
          </w:p>
        </w:tc>
        <w:tc>
          <w:tcPr>
            <w:tcW w:type="dxa" w:w="3701"/>
            <w:shd w:fill="EDF5F7"/>
            <w:vAlign w:val="center"/>
          </w:tcPr>
          <w:p>
            <w:pPr>
              <w:spacing w:before="80" w:after="80" w:line="240" w:lineRule="auto"/>
            </w:pPr>
            <w:r>
              <w:rPr>
                <w:sz w:val="18"/>
              </w:rPr>
              <w:t>Lower expected search cost; not equivalent to a free full result reuse.</w:t>
            </w:r>
          </w:p>
        </w:tc>
      </w:tr>
      <w:tr>
        <w:trPr>
          <w:cantSplit/>
        </w:trPr>
        <w:tc>
          <w:tcPr>
            <w:tcW w:type="dxa" w:w="1944"/>
            <w:vAlign w:val="center"/>
          </w:tcPr>
          <w:p>
            <w:pPr>
              <w:spacing w:before="80" w:after="80" w:line="240" w:lineRule="auto"/>
            </w:pPr>
            <w:r>
              <w:rPr>
                <w:sz w:val="18"/>
              </w:rPr>
              <w:t>Resume after pause</w:t>
            </w:r>
          </w:p>
        </w:tc>
        <w:tc>
          <w:tcPr>
            <w:tcW w:type="dxa" w:w="4248"/>
            <w:vAlign w:val="center"/>
          </w:tcPr>
          <w:p>
            <w:pPr>
              <w:spacing w:before="80" w:after="80" w:line="240" w:lineRule="auto"/>
            </w:pPr>
            <w:r>
              <w:rPr>
                <w:sz w:val="18"/>
              </w:rPr>
              <w:t>New AI calls and indexing wait while paused; successful saved stages are restored on resume.</w:t>
            </w:r>
          </w:p>
        </w:tc>
        <w:tc>
          <w:tcPr>
            <w:tcW w:type="dxa" w:w="3701"/>
            <w:vAlign w:val="center"/>
          </w:tcPr>
          <w:p>
            <w:pPr>
              <w:spacing w:before="80" w:after="80" w:line="240" w:lineRule="auto"/>
            </w:pPr>
            <w:r>
              <w:rPr>
                <w:sz w:val="18"/>
              </w:rPr>
              <w:t>In-flight calls and late usage can still be billed. Interrupted embedding documents may need batches recomputed on resume.</w:t>
            </w:r>
          </w:p>
        </w:tc>
      </w:tr>
      <w:tr>
        <w:trPr>
          <w:cantSplit/>
        </w:trPr>
        <w:tc>
          <w:tcPr>
            <w:tcW w:type="dxa" w:w="1944"/>
            <w:shd w:fill="EDF5F7"/>
            <w:vAlign w:val="center"/>
          </w:tcPr>
          <w:p>
            <w:pPr>
              <w:spacing w:before="80" w:after="80" w:line="240" w:lineRule="auto"/>
            </w:pPr>
            <w:r>
              <w:rPr>
                <w:sz w:val="18"/>
              </w:rPr>
              <w:t>Manual evidence refresh</w:t>
            </w:r>
          </w:p>
        </w:tc>
        <w:tc>
          <w:tcPr>
            <w:tcW w:type="dxa" w:w="4248"/>
            <w:shd w:fill="EDF5F7"/>
            <w:vAlign w:val="center"/>
          </w:tcPr>
          <w:p>
            <w:pPr>
              <w:spacing w:before="80" w:after="80" w:line="240" w:lineRule="auto"/>
            </w:pPr>
            <w:r>
              <w:rPr>
                <w:sz w:val="18"/>
              </w:rPr>
              <w:t>Fresh research and recalculation for a completed/failed lead.</w:t>
            </w:r>
          </w:p>
        </w:tc>
        <w:tc>
          <w:tcPr>
            <w:tcW w:type="dxa" w:w="3701"/>
            <w:shd w:fill="EDF5F7"/>
            <w:vAlign w:val="center"/>
          </w:tcPr>
          <w:p>
            <w:pPr>
              <w:spacing w:before="80" w:after="80" w:line="240" w:lineRule="auto"/>
            </w:pPr>
            <w:r>
              <w:rPr>
                <w:sz w:val="18"/>
              </w:rPr>
              <w:t>A separate operation; budget separately from resuming a job.</w:t>
            </w:r>
          </w:p>
        </w:tc>
      </w:tr>
    </w:tbl>
    <w:p>
      <w:pPr>
        <w:spacing w:after="0"/>
      </w:pPr>
    </w:p>
    <w:p>
      <w:r>
        <w:t>Mixed-batch example: 1,000 leads with 600 full reuses and 400 newly researched leads at $0.0493 each produces $19.7200 estimated new qualification AI cost. It excludes import, chat, infrastructure and partial-reuse work; do not divide this by all leads and call it a measured fresh-lead price.</w:t>
      </w:r>
    </w:p>
    <w:p>
      <w:r>
        <w:br w:type="page"/>
      </w:r>
    </w:p>
    <w:p>
      <w:pPr>
        <w:pStyle w:val="Heading1"/>
      </w:pPr>
      <w:r>
        <w:t>04  Accounting and cost report interpretation</w:t>
      </w:r>
    </w:p>
    <w:tbl>
      <w:tblPr>
        <w:tblW w:type="auto" w:w="0"/>
        <w:jc w:val="center"/>
        <w:tblLayout w:type="fixed"/>
        <w:tblLook w:firstColumn="1" w:firstRow="1" w:lastColumn="0" w:lastRow="0" w:noHBand="0" w:noVBand="1" w:val="04A0"/>
      </w:tblPr>
      <w:tblGrid>
        <w:gridCol w:w="2045"/>
        <w:gridCol w:w="4608"/>
        <w:gridCol w:w="3240"/>
      </w:tblGrid>
      <w:tr>
        <w:trPr>
          <w:tblHeader/>
          <w:cantSplit/>
        </w:trPr>
        <w:tc>
          <w:tcPr>
            <w:tcW w:type="dxa" w:w="2045"/>
            <w:shd w:fill="126A76"/>
            <w:vAlign w:val="center"/>
          </w:tcPr>
          <w:p>
            <w:pPr>
              <w:spacing w:before="80" w:after="80" w:line="240" w:lineRule="auto"/>
            </w:pPr>
            <w:r>
              <w:rPr>
                <w:b/>
                <w:color w:val="FFFFFF"/>
                <w:sz w:val="18"/>
              </w:rPr>
              <w:t>Work stage</w:t>
            </w:r>
          </w:p>
        </w:tc>
        <w:tc>
          <w:tcPr>
            <w:tcW w:type="dxa" w:w="4608"/>
            <w:shd w:fill="126A76"/>
            <w:vAlign w:val="center"/>
          </w:tcPr>
          <w:p>
            <w:pPr>
              <w:spacing w:before="80" w:after="80" w:line="240" w:lineRule="auto"/>
            </w:pPr>
            <w:r>
              <w:rPr>
                <w:b/>
                <w:color w:val="FFFFFF"/>
                <w:sz w:val="18"/>
              </w:rPr>
              <w:t>Typical metered activity</w:t>
            </w:r>
          </w:p>
        </w:tc>
        <w:tc>
          <w:tcPr>
            <w:tcW w:type="dxa" w:w="3240"/>
            <w:shd w:fill="126A76"/>
            <w:vAlign w:val="center"/>
          </w:tcPr>
          <w:p>
            <w:pPr>
              <w:spacing w:before="80" w:after="80" w:line="240" w:lineRule="auto"/>
            </w:pPr>
            <w:r>
              <w:rPr>
                <w:b/>
                <w:color w:val="FFFFFF"/>
                <w:sz w:val="18"/>
              </w:rPr>
              <w:t>Attribution</w:t>
            </w:r>
          </w:p>
        </w:tc>
      </w:tr>
      <w:tr>
        <w:trPr>
          <w:cantSplit/>
        </w:trPr>
        <w:tc>
          <w:tcPr>
            <w:tcW w:type="dxa" w:w="2045"/>
            <w:shd w:fill="EDF5F7"/>
            <w:vAlign w:val="center"/>
          </w:tcPr>
          <w:p>
            <w:pPr>
              <w:spacing w:before="80" w:after="80" w:line="240" w:lineRule="auto"/>
            </w:pPr>
            <w:r>
              <w:rPr>
                <w:sz w:val="18"/>
              </w:rPr>
              <w:t>Import / column mapping</w:t>
            </w:r>
          </w:p>
        </w:tc>
        <w:tc>
          <w:tcPr>
            <w:tcW w:type="dxa" w:w="4608"/>
            <w:shd w:fill="EDF5F7"/>
            <w:vAlign w:val="center"/>
          </w:tcPr>
          <w:p>
            <w:pPr>
              <w:spacing w:before="80" w:after="80" w:line="240" w:lineRule="auto"/>
            </w:pPr>
            <w:r>
              <w:rPr>
                <w:sz w:val="18"/>
              </w:rPr>
              <w:t>AI mapping when the parser requires it; parsing itself has no model tokens.</w:t>
            </w:r>
          </w:p>
        </w:tc>
        <w:tc>
          <w:tcPr>
            <w:tcW w:type="dxa" w:w="3240"/>
            <w:shd w:fill="EDF5F7"/>
            <w:vAlign w:val="center"/>
          </w:tcPr>
          <w:p>
            <w:pPr>
              <w:spacing w:before="80" w:after="80" w:line="240" w:lineRule="auto"/>
            </w:pPr>
            <w:r>
              <w:rPr>
                <w:sz w:val="18"/>
              </w:rPr>
              <w:t>Job level; no arbitrary lead is charged.</w:t>
            </w:r>
          </w:p>
        </w:tc>
      </w:tr>
      <w:tr>
        <w:trPr>
          <w:cantSplit/>
        </w:trPr>
        <w:tc>
          <w:tcPr>
            <w:tcW w:type="dxa" w:w="2045"/>
            <w:vAlign w:val="center"/>
          </w:tcPr>
          <w:p>
            <w:pPr>
              <w:spacing w:before="80" w:after="80" w:line="240" w:lineRule="auto"/>
            </w:pPr>
            <w:r>
              <w:rPr>
                <w:sz w:val="18"/>
              </w:rPr>
              <w:t>Web research</w:t>
            </w:r>
          </w:p>
        </w:tc>
        <w:tc>
          <w:tcPr>
            <w:tcW w:type="dxa" w:w="4608"/>
            <w:vAlign w:val="center"/>
          </w:tcPr>
          <w:p>
            <w:pPr>
              <w:spacing w:before="80" w:after="80" w:line="240" w:lineRule="auto"/>
            </w:pPr>
            <w:r>
              <w:rPr>
                <w:sz w:val="18"/>
              </w:rPr>
              <w:t>Responses model input/output plus reported search requests.</w:t>
            </w:r>
          </w:p>
        </w:tc>
        <w:tc>
          <w:tcPr>
            <w:tcW w:type="dxa" w:w="3240"/>
            <w:vAlign w:val="center"/>
          </w:tcPr>
          <w:p>
            <w:pPr>
              <w:spacing w:before="80" w:after="80" w:line="240" w:lineRule="auto"/>
            </w:pPr>
            <w:r>
              <w:rPr>
                <w:sz w:val="18"/>
              </w:rPr>
              <w:t>Lead and job.</w:t>
            </w:r>
          </w:p>
        </w:tc>
      </w:tr>
      <w:tr>
        <w:trPr>
          <w:cantSplit/>
        </w:trPr>
        <w:tc>
          <w:tcPr>
            <w:tcW w:type="dxa" w:w="2045"/>
            <w:shd w:fill="EDF5F7"/>
            <w:vAlign w:val="center"/>
          </w:tcPr>
          <w:p>
            <w:pPr>
              <w:spacing w:before="80" w:after="80" w:line="240" w:lineRule="auto"/>
            </w:pPr>
            <w:r>
              <w:rPr>
                <w:sz w:val="18"/>
              </w:rPr>
              <w:t>Contact checks</w:t>
            </w:r>
          </w:p>
        </w:tc>
        <w:tc>
          <w:tcPr>
            <w:tcW w:type="dxa" w:w="4608"/>
            <w:shd w:fill="EDF5F7"/>
            <w:vAlign w:val="center"/>
          </w:tcPr>
          <w:p>
            <w:pPr>
              <w:spacing w:before="80" w:after="80" w:line="240" w:lineRule="auto"/>
            </w:pPr>
            <w:r>
              <w:rPr>
                <w:sz w:val="18"/>
              </w:rPr>
              <w:t>Syntax, DNS and numbering-plan checks; no separate LLM call in this stage.</w:t>
            </w:r>
          </w:p>
        </w:tc>
        <w:tc>
          <w:tcPr>
            <w:tcW w:type="dxa" w:w="3240"/>
            <w:shd w:fill="EDF5F7"/>
            <w:vAlign w:val="center"/>
          </w:tcPr>
          <w:p>
            <w:pPr>
              <w:spacing w:before="80" w:after="80" w:line="240" w:lineRule="auto"/>
            </w:pPr>
            <w:r>
              <w:rPr>
                <w:sz w:val="18"/>
              </w:rPr>
              <w:t>Compute/network overhead outside the AI token bill.</w:t>
            </w:r>
          </w:p>
        </w:tc>
      </w:tr>
      <w:tr>
        <w:trPr>
          <w:cantSplit/>
        </w:trPr>
        <w:tc>
          <w:tcPr>
            <w:tcW w:type="dxa" w:w="2045"/>
            <w:vAlign w:val="center"/>
          </w:tcPr>
          <w:p>
            <w:pPr>
              <w:spacing w:before="80" w:after="80" w:line="240" w:lineRule="auto"/>
            </w:pPr>
            <w:r>
              <w:rPr>
                <w:sz w:val="18"/>
              </w:rPr>
              <w:t>ICP comparison</w:t>
            </w:r>
          </w:p>
        </w:tc>
        <w:tc>
          <w:tcPr>
            <w:tcW w:type="dxa" w:w="4608"/>
            <w:vAlign w:val="center"/>
          </w:tcPr>
          <w:p>
            <w:pPr>
              <w:spacing w:before="80" w:after="80" w:line="240" w:lineRule="auto"/>
            </w:pPr>
            <w:r>
              <w:rPr>
                <w:sz w:val="18"/>
              </w:rPr>
              <w:t>Model interprets supplied evidence and required criteria.</w:t>
            </w:r>
          </w:p>
        </w:tc>
        <w:tc>
          <w:tcPr>
            <w:tcW w:type="dxa" w:w="3240"/>
            <w:vAlign w:val="center"/>
          </w:tcPr>
          <w:p>
            <w:pPr>
              <w:spacing w:before="80" w:after="80" w:line="240" w:lineRule="auto"/>
            </w:pPr>
            <w:r>
              <w:rPr>
                <w:sz w:val="18"/>
              </w:rPr>
              <w:t>Lead and job.</w:t>
            </w:r>
          </w:p>
        </w:tc>
      </w:tr>
      <w:tr>
        <w:trPr>
          <w:cantSplit/>
        </w:trPr>
        <w:tc>
          <w:tcPr>
            <w:tcW w:type="dxa" w:w="2045"/>
            <w:shd w:fill="EDF5F7"/>
            <w:vAlign w:val="center"/>
          </w:tcPr>
          <w:p>
            <w:pPr>
              <w:spacing w:before="80" w:after="80" w:line="240" w:lineRule="auto"/>
            </w:pPr>
            <w:r>
              <w:rPr>
                <w:sz w:val="18"/>
              </w:rPr>
              <w:t>Scoring / outreach</w:t>
            </w:r>
          </w:p>
        </w:tc>
        <w:tc>
          <w:tcPr>
            <w:tcW w:type="dxa" w:w="4608"/>
            <w:shd w:fill="EDF5F7"/>
            <w:vAlign w:val="center"/>
          </w:tcPr>
          <w:p>
            <w:pPr>
              <w:spacing w:before="80" w:after="80" w:line="240" w:lineRule="auto"/>
            </w:pPr>
            <w:r>
              <w:rPr>
                <w:sz w:val="18"/>
              </w:rPr>
              <w:t>Numeric scoring is deterministic; permitted-channel outreach can use an LLM.</w:t>
            </w:r>
          </w:p>
        </w:tc>
        <w:tc>
          <w:tcPr>
            <w:tcW w:type="dxa" w:w="3240"/>
            <w:shd w:fill="EDF5F7"/>
            <w:vAlign w:val="center"/>
          </w:tcPr>
          <w:p>
            <w:pPr>
              <w:spacing w:before="80" w:after="80" w:line="240" w:lineRule="auto"/>
            </w:pPr>
            <w:r>
              <w:rPr>
                <w:sz w:val="18"/>
              </w:rPr>
              <w:t>Lead and job; no claim of a fixed call count.</w:t>
            </w:r>
          </w:p>
        </w:tc>
      </w:tr>
      <w:tr>
        <w:trPr>
          <w:cantSplit/>
        </w:trPr>
        <w:tc>
          <w:tcPr>
            <w:tcW w:type="dxa" w:w="2045"/>
            <w:vAlign w:val="center"/>
          </w:tcPr>
          <w:p>
            <w:pPr>
              <w:spacing w:before="80" w:after="80" w:line="240" w:lineRule="auto"/>
            </w:pPr>
            <w:r>
              <w:rPr>
                <w:sz w:val="18"/>
              </w:rPr>
              <w:t>Indexing / query embedding</w:t>
            </w:r>
          </w:p>
        </w:tc>
        <w:tc>
          <w:tcPr>
            <w:tcW w:type="dxa" w:w="4608"/>
            <w:vAlign w:val="center"/>
          </w:tcPr>
          <w:p>
            <w:pPr>
              <w:spacing w:before="80" w:after="80" w:line="240" w:lineRule="auto"/>
            </w:pPr>
            <w:r>
              <w:rPr>
                <w:sz w:val="18"/>
              </w:rPr>
              <w:t>Embedding input tokens; Qdrant/storage are separate costs.</w:t>
            </w:r>
          </w:p>
        </w:tc>
        <w:tc>
          <w:tcPr>
            <w:tcW w:type="dxa" w:w="3240"/>
            <w:vAlign w:val="center"/>
          </w:tcPr>
          <w:p>
            <w:pPr>
              <w:spacing w:before="80" w:after="80" w:line="240" w:lineRule="auto"/>
            </w:pPr>
            <w:r>
              <w:rPr>
                <w:sz w:val="18"/>
              </w:rPr>
              <w:t>Associated context when available.</w:t>
            </w:r>
          </w:p>
        </w:tc>
      </w:tr>
      <w:tr>
        <w:trPr>
          <w:cantSplit/>
        </w:trPr>
        <w:tc>
          <w:tcPr>
            <w:tcW w:type="dxa" w:w="2045"/>
            <w:shd w:fill="EDF5F7"/>
            <w:vAlign w:val="center"/>
          </w:tcPr>
          <w:p>
            <w:pPr>
              <w:spacing w:before="80" w:after="80" w:line="240" w:lineRule="auto"/>
            </w:pPr>
            <w:r>
              <w:rPr>
                <w:sz w:val="18"/>
              </w:rPr>
              <w:t>Chat</w:t>
            </w:r>
          </w:p>
        </w:tc>
        <w:tc>
          <w:tcPr>
            <w:tcW w:type="dxa" w:w="4608"/>
            <w:shd w:fill="EDF5F7"/>
            <w:vAlign w:val="center"/>
          </w:tcPr>
          <w:p>
            <w:pPr>
              <w:spacing w:before="80" w:after="80" w:line="240" w:lineRule="auto"/>
            </w:pPr>
            <w:r>
              <w:rPr>
                <w:sz w:val="18"/>
              </w:rPr>
              <w:t>Planner, answer generation and retrieval/query embeddings as required.</w:t>
            </w:r>
          </w:p>
        </w:tc>
        <w:tc>
          <w:tcPr>
            <w:tcW w:type="dxa" w:w="3240"/>
            <w:shd w:fill="EDF5F7"/>
            <w:vAlign w:val="center"/>
          </w:tcPr>
          <w:p>
            <w:pPr>
              <w:spacing w:before="80" w:after="80" w:line="240" w:lineRule="auto"/>
            </w:pPr>
            <w:r>
              <w:rPr>
                <w:sz w:val="18"/>
              </w:rPr>
              <w:t>Job level when no lead is attributable.</w:t>
            </w:r>
          </w:p>
        </w:tc>
      </w:tr>
    </w:tbl>
    <w:p>
      <w:pPr>
        <w:spacing w:after="0"/>
      </w:pPr>
    </w:p>
    <w:p>
      <w:pPr>
        <w:pStyle w:val="Heading2"/>
      </w:pPr>
      <w:r>
        <w:t>Completeness rules</w:t>
      </w:r>
    </w:p>
    <w:p>
      <w:r>
        <w:t>Every paid attempt is journaled before sending; separate retries have separate IDs. Interrupted attempts remain started/unreported rather than appearing free. A model's returned billing identity must match the configured model family to price tokens. A missing search meter is unknown, not zero. Visible web_search_call items are diagnostic only.</w:t>
      </w:r>
    </w:p>
    <w:p>
      <w:r>
        <w:t>The recorder currently prices missing cached-token counts using zero cached tokens, but marks the attempt incomplete. This provisional component is not a confirmed bill. Usage is persisted asynchronously, so drilldowns can reflect different instants during processing.</w:t>
      </w:r>
    </w:p>
    <w:p>
      <w:r>
        <w:t>In Admin Cost, inspect job → lead → individual attempt, then compare stage totals, incomplete/unpriced/legacy counts, job-level costs and globally unallocated attempts. Rate edits affect future snapshots; they do not rewrite historical recorded tariffs.</w:t>
      </w:r>
    </w:p>
    <w:p>
      <w:r>
        <w:br w:type="page"/>
      </w:r>
    </w:p>
    <w:p>
      <w:pPr>
        <w:pStyle w:val="Heading1"/>
      </w:pPr>
      <w:r>
        <w:t>05  Operating budget and reconciliation</w:t>
      </w:r>
    </w:p>
    <w:tbl>
      <w:tblPr>
        <w:tblW w:type="auto" w:w="0"/>
        <w:jc w:val="center"/>
        <w:tblLayout w:type="fixed"/>
        <w:tblLook w:firstColumn="1" w:firstRow="1" w:lastColumn="0" w:lastRow="0" w:noHBand="0" w:noVBand="1" w:val="04A0"/>
      </w:tblPr>
      <w:tblGrid>
        <w:gridCol w:w="2592"/>
        <w:gridCol w:w="1584"/>
        <w:gridCol w:w="5717"/>
      </w:tblGrid>
      <w:tr>
        <w:trPr>
          <w:tblHeader/>
          <w:cantSplit/>
        </w:trPr>
        <w:tc>
          <w:tcPr>
            <w:tcW w:type="dxa" w:w="2592"/>
            <w:shd w:fill="126A76"/>
            <w:vAlign w:val="center"/>
          </w:tcPr>
          <w:p>
            <w:pPr>
              <w:spacing w:before="80" w:after="80" w:line="240" w:lineRule="auto"/>
            </w:pPr>
            <w:r>
              <w:rPr>
                <w:b/>
                <w:color w:val="FFFFFF"/>
                <w:sz w:val="18"/>
              </w:rPr>
              <w:t>Expense</w:t>
            </w:r>
          </w:p>
        </w:tc>
        <w:tc>
          <w:tcPr>
            <w:tcW w:type="dxa" w:w="1584"/>
            <w:shd w:fill="126A76"/>
            <w:vAlign w:val="center"/>
          </w:tcPr>
          <w:p>
            <w:pPr>
              <w:spacing w:before="80" w:after="80" w:line="240" w:lineRule="auto"/>
            </w:pPr>
            <w:r>
              <w:rPr>
                <w:b/>
                <w:color w:val="FFFFFF"/>
                <w:sz w:val="18"/>
              </w:rPr>
              <w:t>In AI estimate?</w:t>
            </w:r>
          </w:p>
        </w:tc>
        <w:tc>
          <w:tcPr>
            <w:tcW w:type="dxa" w:w="5717"/>
            <w:shd w:fill="126A76"/>
            <w:vAlign w:val="center"/>
          </w:tcPr>
          <w:p>
            <w:pPr>
              <w:spacing w:before="80" w:after="80" w:line="240" w:lineRule="auto"/>
            </w:pPr>
            <w:r>
              <w:rPr>
                <w:b/>
                <w:color w:val="FFFFFF"/>
                <w:sz w:val="18"/>
              </w:rPr>
              <w:t>How to budget</w:t>
            </w:r>
          </w:p>
        </w:tc>
      </w:tr>
      <w:tr>
        <w:trPr>
          <w:cantSplit/>
        </w:trPr>
        <w:tc>
          <w:tcPr>
            <w:tcW w:type="dxa" w:w="2592"/>
            <w:shd w:fill="EDF5F7"/>
            <w:vAlign w:val="center"/>
          </w:tcPr>
          <w:p>
            <w:pPr>
              <w:spacing w:before="80" w:after="80" w:line="240" w:lineRule="auto"/>
            </w:pPr>
            <w:r>
              <w:rPr>
                <w:sz w:val="18"/>
              </w:rPr>
              <w:t>API and Celery compute</w:t>
            </w:r>
          </w:p>
        </w:tc>
        <w:tc>
          <w:tcPr>
            <w:tcW w:type="dxa" w:w="1584"/>
            <w:shd w:fill="EDF5F7"/>
            <w:vAlign w:val="center"/>
          </w:tcPr>
          <w:p>
            <w:pPr>
              <w:spacing w:before="80" w:after="80" w:line="240" w:lineRule="auto"/>
            </w:pPr>
            <w:r>
              <w:rPr>
                <w:sz w:val="18"/>
              </w:rPr>
              <w:t>No</w:t>
            </w:r>
          </w:p>
        </w:tc>
        <w:tc>
          <w:tcPr>
            <w:tcW w:type="dxa" w:w="5717"/>
            <w:shd w:fill="EDF5F7"/>
            <w:vAlign w:val="center"/>
          </w:tcPr>
          <w:p>
            <w:pPr>
              <w:spacing w:before="80" w:after="80" w:line="240" w:lineRule="auto"/>
            </w:pPr>
            <w:r>
              <w:rPr>
                <w:sz w:val="18"/>
              </w:rPr>
              <w:t>Instance/container hours × provider rate; include idle and in-flight work.</w:t>
            </w:r>
          </w:p>
        </w:tc>
      </w:tr>
      <w:tr>
        <w:trPr>
          <w:cantSplit/>
        </w:trPr>
        <w:tc>
          <w:tcPr>
            <w:tcW w:type="dxa" w:w="2592"/>
            <w:vAlign w:val="center"/>
          </w:tcPr>
          <w:p>
            <w:pPr>
              <w:spacing w:before="80" w:after="80" w:line="240" w:lineRule="auto"/>
            </w:pPr>
            <w:r>
              <w:rPr>
                <w:sz w:val="18"/>
              </w:rPr>
              <w:t>Azure SQL</w:t>
            </w:r>
          </w:p>
        </w:tc>
        <w:tc>
          <w:tcPr>
            <w:tcW w:type="dxa" w:w="1584"/>
            <w:vAlign w:val="center"/>
          </w:tcPr>
          <w:p>
            <w:pPr>
              <w:spacing w:before="80" w:after="80" w:line="240" w:lineRule="auto"/>
            </w:pPr>
            <w:r>
              <w:rPr>
                <w:sz w:val="18"/>
              </w:rPr>
              <w:t>No</w:t>
            </w:r>
          </w:p>
        </w:tc>
        <w:tc>
          <w:tcPr>
            <w:tcW w:type="dxa" w:w="5717"/>
            <w:vAlign w:val="center"/>
          </w:tcPr>
          <w:p>
            <w:pPr>
              <w:spacing w:before="80" w:after="80" w:line="240" w:lineRule="auto"/>
            </w:pPr>
            <w:r>
              <w:rPr>
                <w:sz w:val="18"/>
              </w:rPr>
              <w:t>Selected compute tier, storage, backup retention and provisioned capacity.</w:t>
            </w:r>
          </w:p>
        </w:tc>
      </w:tr>
      <w:tr>
        <w:trPr>
          <w:cantSplit/>
        </w:trPr>
        <w:tc>
          <w:tcPr>
            <w:tcW w:type="dxa" w:w="2592"/>
            <w:shd w:fill="EDF5F7"/>
            <w:vAlign w:val="center"/>
          </w:tcPr>
          <w:p>
            <w:pPr>
              <w:spacing w:before="80" w:after="80" w:line="240" w:lineRule="auto"/>
            </w:pPr>
            <w:r>
              <w:rPr>
                <w:sz w:val="18"/>
              </w:rPr>
              <w:t>Redis broker / journals</w:t>
            </w:r>
          </w:p>
        </w:tc>
        <w:tc>
          <w:tcPr>
            <w:tcW w:type="dxa" w:w="1584"/>
            <w:shd w:fill="EDF5F7"/>
            <w:vAlign w:val="center"/>
          </w:tcPr>
          <w:p>
            <w:pPr>
              <w:spacing w:before="80" w:after="80" w:line="240" w:lineRule="auto"/>
            </w:pPr>
            <w:r>
              <w:rPr>
                <w:sz w:val="18"/>
              </w:rPr>
              <w:t>No</w:t>
            </w:r>
          </w:p>
        </w:tc>
        <w:tc>
          <w:tcPr>
            <w:tcW w:type="dxa" w:w="5717"/>
            <w:shd w:fill="EDF5F7"/>
            <w:vAlign w:val="center"/>
          </w:tcPr>
          <w:p>
            <w:pPr>
              <w:spacing w:before="80" w:after="80" w:line="240" w:lineRule="auto"/>
            </w:pPr>
            <w:r>
              <w:rPr>
                <w:sz w:val="18"/>
              </w:rPr>
              <w:t>Memory, persistence, HA tier and replication; retain durable usage data.</w:t>
            </w:r>
          </w:p>
        </w:tc>
      </w:tr>
      <w:tr>
        <w:trPr>
          <w:cantSplit/>
        </w:trPr>
        <w:tc>
          <w:tcPr>
            <w:tcW w:type="dxa" w:w="2592"/>
            <w:vAlign w:val="center"/>
          </w:tcPr>
          <w:p>
            <w:pPr>
              <w:spacing w:before="80" w:after="80" w:line="240" w:lineRule="auto"/>
            </w:pPr>
            <w:r>
              <w:rPr>
                <w:sz w:val="18"/>
              </w:rPr>
              <w:t>Blob Storage</w:t>
            </w:r>
          </w:p>
        </w:tc>
        <w:tc>
          <w:tcPr>
            <w:tcW w:type="dxa" w:w="1584"/>
            <w:vAlign w:val="center"/>
          </w:tcPr>
          <w:p>
            <w:pPr>
              <w:spacing w:before="80" w:after="80" w:line="240" w:lineRule="auto"/>
            </w:pPr>
            <w:r>
              <w:rPr>
                <w:sz w:val="18"/>
              </w:rPr>
              <w:t>No</w:t>
            </w:r>
          </w:p>
        </w:tc>
        <w:tc>
          <w:tcPr>
            <w:tcW w:type="dxa" w:w="5717"/>
            <w:vAlign w:val="center"/>
          </w:tcPr>
          <w:p>
            <w:pPr>
              <w:spacing w:before="80" w:after="80" w:line="240" w:lineRule="auto"/>
            </w:pPr>
            <w:r>
              <w:rPr>
                <w:sz w:val="18"/>
              </w:rPr>
              <w:t>Uploaded/archive bytes, operations, retention and data transfer.</w:t>
            </w:r>
          </w:p>
        </w:tc>
      </w:tr>
      <w:tr>
        <w:trPr>
          <w:cantSplit/>
        </w:trPr>
        <w:tc>
          <w:tcPr>
            <w:tcW w:type="dxa" w:w="2592"/>
            <w:shd w:fill="EDF5F7"/>
            <w:vAlign w:val="center"/>
          </w:tcPr>
          <w:p>
            <w:pPr>
              <w:spacing w:before="80" w:after="80" w:line="240" w:lineRule="auto"/>
            </w:pPr>
            <w:r>
              <w:rPr>
                <w:sz w:val="18"/>
              </w:rPr>
              <w:t>Qdrant</w:t>
            </w:r>
          </w:p>
        </w:tc>
        <w:tc>
          <w:tcPr>
            <w:tcW w:type="dxa" w:w="1584"/>
            <w:shd w:fill="EDF5F7"/>
            <w:vAlign w:val="center"/>
          </w:tcPr>
          <w:p>
            <w:pPr>
              <w:spacing w:before="80" w:after="80" w:line="240" w:lineRule="auto"/>
            </w:pPr>
            <w:r>
              <w:rPr>
                <w:sz w:val="18"/>
              </w:rPr>
              <w:t>No</w:t>
            </w:r>
          </w:p>
        </w:tc>
        <w:tc>
          <w:tcPr>
            <w:tcW w:type="dxa" w:w="5717"/>
            <w:shd w:fill="EDF5F7"/>
            <w:vAlign w:val="center"/>
          </w:tcPr>
          <w:p>
            <w:pPr>
              <w:spacing w:before="80" w:after="80" w:line="240" w:lineRule="auto"/>
            </w:pPr>
            <w:r>
              <w:rPr>
                <w:sz w:val="18"/>
              </w:rPr>
              <w:t>Cluster tier, vector count/dimension, replicas and storage.</w:t>
            </w:r>
          </w:p>
        </w:tc>
      </w:tr>
      <w:tr>
        <w:trPr>
          <w:cantSplit/>
        </w:trPr>
        <w:tc>
          <w:tcPr>
            <w:tcW w:type="dxa" w:w="2592"/>
            <w:vAlign w:val="center"/>
          </w:tcPr>
          <w:p>
            <w:pPr>
              <w:spacing w:before="80" w:after="80" w:line="240" w:lineRule="auto"/>
            </w:pPr>
            <w:r>
              <w:rPr>
                <w:sz w:val="18"/>
              </w:rPr>
              <w:t>DNS, networking and logs</w:t>
            </w:r>
          </w:p>
        </w:tc>
        <w:tc>
          <w:tcPr>
            <w:tcW w:type="dxa" w:w="1584"/>
            <w:vAlign w:val="center"/>
          </w:tcPr>
          <w:p>
            <w:pPr>
              <w:spacing w:before="80" w:after="80" w:line="240" w:lineRule="auto"/>
            </w:pPr>
            <w:r>
              <w:rPr>
                <w:sz w:val="18"/>
              </w:rPr>
              <w:t>No</w:t>
            </w:r>
          </w:p>
        </w:tc>
        <w:tc>
          <w:tcPr>
            <w:tcW w:type="dxa" w:w="5717"/>
            <w:vAlign w:val="center"/>
          </w:tcPr>
          <w:p>
            <w:pPr>
              <w:spacing w:before="80" w:after="80" w:line="240" w:lineRule="auto"/>
            </w:pPr>
            <w:r>
              <w:rPr>
                <w:sz w:val="18"/>
              </w:rPr>
              <w:t>Service charges, egress, monitoring retention and support.</w:t>
            </w:r>
          </w:p>
        </w:tc>
      </w:tr>
      <w:tr>
        <w:trPr>
          <w:cantSplit/>
        </w:trPr>
        <w:tc>
          <w:tcPr>
            <w:tcW w:type="dxa" w:w="2592"/>
            <w:shd w:fill="EDF5F7"/>
            <w:vAlign w:val="center"/>
          </w:tcPr>
          <w:p>
            <w:pPr>
              <w:spacing w:before="80" w:after="80" w:line="240" w:lineRule="auto"/>
            </w:pPr>
            <w:r>
              <w:rPr>
                <w:sz w:val="18"/>
              </w:rPr>
              <w:t>Tax and FX spread</w:t>
            </w:r>
          </w:p>
        </w:tc>
        <w:tc>
          <w:tcPr>
            <w:tcW w:type="dxa" w:w="1584"/>
            <w:shd w:fill="EDF5F7"/>
            <w:vAlign w:val="center"/>
          </w:tcPr>
          <w:p>
            <w:pPr>
              <w:spacing w:before="80" w:after="80" w:line="240" w:lineRule="auto"/>
            </w:pPr>
            <w:r>
              <w:rPr>
                <w:sz w:val="18"/>
              </w:rPr>
              <w:t>No</w:t>
            </w:r>
          </w:p>
        </w:tc>
        <w:tc>
          <w:tcPr>
            <w:tcW w:type="dxa" w:w="5717"/>
            <w:shd w:fill="EDF5F7"/>
            <w:vAlign w:val="center"/>
          </w:tcPr>
          <w:p>
            <w:pPr>
              <w:spacing w:before="80" w:after="80" w:line="240" w:lineRule="auto"/>
            </w:pPr>
            <w:r>
              <w:rPr>
                <w:sz w:val="18"/>
              </w:rPr>
              <w:t>Actual invoice jurisdiction, payment terms and effective exchange rate.</w:t>
            </w:r>
          </w:p>
        </w:tc>
      </w:tr>
    </w:tbl>
    <w:p>
      <w:pPr>
        <w:spacing w:after="0"/>
      </w:pPr>
    </w:p>
    <w:p>
      <w:pPr>
        <w:pStyle w:val="Heading2"/>
      </w:pPr>
      <w:r>
        <w:t>A practical approval checklist</w:t>
      </w:r>
    </w:p>
    <w:p>
      <w:r>
        <w:t>1. Confirm Azure tariffs and model deployment names. 2. Run a representative pilot containing fresh and reused leads. 3. Record per-stage token/search distributions, retries and incomplete accounting. 4. Multiply expected fresh/reuse/refresh/chat volumes by observed unit costs. 5. Add fixed infrastructure, tax and an explicit contingency chosen by the budget owner. 6. Reconcile estimates against Azure billing and investigate unattributed or missing usage.</w:t>
      </w:r>
    </w:p>
    <w:p>
      <w:r>
        <w:t>Increasing concurrency (supported limit: 1–30 active leads across workers) primarily changes spend rate and throughput, not the tariff. Excessive concurrency can increase throttling and retry overhead. Pausing prevents new qualification starts but does not stop provisioned infrastructure charges or cancel paid calls already in flight.</w:t>
      </w:r>
    </w:p>
    <w:p>
      <w:pPr>
        <w:pStyle w:val="Heading2"/>
      </w:pPr>
      <w:r>
        <w:t>Implementation and pricing references</w:t>
      </w:r>
    </w:p>
    <w:p>
      <w:r>
        <w:t>Repository: backend/app/admin/settings.py (reference tariffs); billing.py (metering formulas); telemetry.py (durable accounting); routes.py (reporting).</w:t>
      </w:r>
    </w:p>
    <w:p>
      <w:r>
        <w:t>Workflow: backend/app/tasks/tasks.py; app/scoring/scoring_engine.py; RELEASE_ADMIN_OPERATIONS.md; RELEASE_JOB_CONTROLS.md.</w:t>
      </w:r>
    </w:p>
    <w:p>
      <w:r>
        <w:t>Azure OpenAI pricing: https://azure.microsoft.com/en-us/pricing/details/azure-openai/</w:t>
      </w:r>
    </w:p>
    <w:p>
      <w:r>
        <w:t>Bing pricing reference configured by the application: https://www.microsoft.com/en-us/bing/apis</w:t>
      </w:r>
    </w:p>
    <w:p>
      <w:r>
        <w:t>These URLs are reference destinations, not evidence of a pricing lookup performed for this document. Confirm current commercial terms separately.</w:t>
      </w:r>
    </w:p>
    <w:sectPr w:rsidR="00FC693F" w:rsidRPr="0006063C" w:rsidSect="00034616">
      <w:headerReference w:type="default" r:id="rId9"/>
      <w:footerReference w:type="default" r:id="rId10"/>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27 October 2026  •  Costing Guide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26A76"/>
        <w:sz w:val="16"/>
      </w:rPr>
      <w:t>QUALITY LEAD  /  PRODUCT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1833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6A7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6A7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6A7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Costing Guide</dc:title>
  <dc:subject>AI usage, budgeting assumptions and operating costs</dc:subject>
  <dc:creator>Quality Lead</dc:creator>
  <cp:keywords/>
  <dc:description>generated by python-docx</dc:description>
  <cp:lastModifiedBy/>
  <cp:revision>1</cp:revision>
  <dcterms:created xsi:type="dcterms:W3CDTF">2013-12-23T23:15:00Z</dcterms:created>
  <dcterms:modified xsi:type="dcterms:W3CDTF">2013-12-23T23:15:00Z</dcterms:modified>
  <cp:category/>
</cp:coreProperties>
</file>