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1F1F"/>
          <w:sz w:val="40"/>
          <w:szCs w:val="40"/>
        </w:rPr>
        <w:t xml:space="preserve">FinRelief AI — API Documentation</w:t>
      </w:r>
    </w:p>
    <w:p>
      <w:pPr>
        <w:spacing w:after="80" w:before="160"/>
      </w:pPr>
      <w:r>
        <w:rPr>
          <w:rFonts w:ascii="Calibri" w:cs="Calibri" w:eastAsia="Calibri" w:hAnsi="Calibri"/>
          <w:b/>
          <w:bCs/>
          <w:i w:val="false"/>
          <w:iCs w:val="false"/>
          <w:sz w:val="22"/>
          <w:szCs w:val="22"/>
        </w:rPr>
        <w:t xml:space="preserve">SmartBridge Internship Program</w:t>
      </w:r>
    </w:p>
    <w:p>
      <w:pPr>
        <w:spacing w:after="140"/>
        <w:jc w:val="both"/>
      </w:pPr>
      <w:r>
        <w:rPr>
          <w:rFonts w:ascii="Calibri" w:cs="Calibri" w:eastAsia="Calibri" w:hAnsi="Calibri"/>
          <w:sz w:val="22"/>
          <w:szCs w:val="22"/>
        </w:rPr>
        <w:t xml:space="preserve">Version 2.0.0</w:t>
      </w:r>
    </w:p>
    <w:p>
      <w:pPr>
        <w:pBdr>
          <w:bottom w:val="single" w:color="BFBFBF" w:sz="6" w:space="1"/>
        </w:pBdr>
        <w:spacing w:after="200"/>
      </w:pPr>
    </w:p>
    <w:p>
      <w:pPr>
        <w:pStyle w:val="Heading1"/>
        <w:spacing w:after="140" w:before="300"/>
      </w:pPr>
      <w:r>
        <w:t xml:space="preserve">1. Base URL and Conventions</w:t>
      </w:r>
    </w:p>
    <w:p>
      <w:pPr>
        <w:spacing w:after="140"/>
        <w:jc w:val="both"/>
      </w:pPr>
      <w:r>
        <w:rPr>
          <w:rFonts w:ascii="Calibri" w:cs="Calibri" w:eastAsia="Calibri" w:hAnsi="Calibri"/>
          <w:sz w:val="22"/>
          <w:szCs w:val="22"/>
        </w:rPr>
        <w:t xml:space="preserve">All endpoints are served under the FastAPI backend and return JSON. Interactive Swagger documentation is auto-generated by FastAPI and available at </w:t>
      </w:r>
      <w:r>
        <w:rPr>
          <w:rFonts w:ascii="Consolas" w:cs="Consolas" w:eastAsia="Consolas" w:hAnsi="Consolas"/>
          <w:sz w:val="20"/>
          <w:szCs w:val="20"/>
        </w:rPr>
        <w:t xml:space="preserve">/docs</w:t>
      </w:r>
      <w:r>
        <w:rPr>
          <w:rFonts w:ascii="Calibri" w:cs="Calibri" w:eastAsia="Calibri" w:hAnsi="Calibri"/>
          <w:sz w:val="22"/>
          <w:szCs w:val="22"/>
        </w:rPr>
        <w:t xml:space="preserve"> on the running backend instance.</w:t>
      </w:r>
    </w:p>
    <w:p>
      <w:pPr>
        <w:spacing w:after="140"/>
        <w:jc w:val="both"/>
      </w:pPr>
      <w:r>
        <w:rPr>
          <w:rFonts w:ascii="Calibri" w:cs="Calibri" w:eastAsia="Calibri" w:hAnsi="Calibri"/>
          <w:sz w:val="22"/>
          <w:szCs w:val="22"/>
        </w:rPr>
        <w:t xml:space="preserve">Every request or response body is validated by a Pydantic schema. Requests with missing or incorrectly typed fields are rejected before any business logic runs, with a descriptive validation error.</w:t>
      </w:r>
    </w:p>
    <w:p>
      <w:pPr>
        <w:pBdr>
          <w:bottom w:val="single" w:color="BFBFBF" w:sz="6" w:space="1"/>
        </w:pBdr>
        <w:spacing w:after="200"/>
      </w:pPr>
    </w:p>
    <w:p>
      <w:pPr>
        <w:pStyle w:val="Heading1"/>
        <w:spacing w:after="140" w:before="300"/>
      </w:pPr>
      <w:r>
        <w:t xml:space="preserve">2. Authentication</w:t>
      </w:r>
    </w:p>
    <w:p>
      <w:pPr>
        <w:spacing w:after="140"/>
        <w:jc w:val="both"/>
      </w:pPr>
      <w:r>
        <w:rPr>
          <w:rFonts w:ascii="Calibri" w:cs="Calibri" w:eastAsia="Calibri" w:hAnsi="Calibri"/>
          <w:sz w:val="22"/>
          <w:szCs w:val="22"/>
        </w:rPr>
        <w:t xml:space="preserve">Authentication uses stateless JSON Web Tokens. On successful login or registration, the backend issues a signed JWT containing the user's ID and an expiry. The frontend attaches this token to every subsequent request:</w:t>
      </w:r>
    </w:p>
    <w:p>
      <w:pPr>
        <w:shd w:fill="F2F2F2" w:val="clear"/>
        <w:spacing w:after="0"/>
      </w:pPr>
      <w:r>
        <w:rPr>
          <w:rFonts w:ascii="Consolas" w:cs="Consolas" w:eastAsia="Consolas" w:hAnsi="Consolas"/>
          <w:sz w:val="20"/>
          <w:szCs w:val="20"/>
        </w:rPr>
        <w:t xml:space="preserve">Authorization: Bearer &lt;token&gt;</w:t>
      </w:r>
    </w:p>
    <w:p>
      <w:pPr>
        <w:spacing w:after="160"/>
      </w:pPr>
    </w:p>
    <w:p>
      <w:pPr>
        <w:spacing w:after="140"/>
        <w:jc w:val="both"/>
      </w:pPr>
      <w:r>
        <w:rPr>
          <w:rFonts w:ascii="Calibri" w:cs="Calibri" w:eastAsia="Calibri" w:hAnsi="Calibri"/>
          <w:sz w:val="22"/>
          <w:szCs w:val="22"/>
        </w:rPr>
        <w:t xml:space="preserve">Passwords are never stored in plain text — they are hashed with bcrypt before being written to the database. Tokens are signed with a secret key loaded from the environment (</w:t>
      </w:r>
      <w:r>
        <w:rPr>
          <w:rFonts w:ascii="Consolas" w:cs="Consolas" w:eastAsia="Consolas" w:hAnsi="Consolas"/>
          <w:sz w:val="20"/>
          <w:szCs w:val="20"/>
        </w:rPr>
        <w:t xml:space="preserve">FINRELIEF_SECRET_KEY</w:t>
      </w:r>
      <w:r>
        <w:rPr>
          <w:rFonts w:ascii="Calibri" w:cs="Calibri" w:eastAsia="Calibri" w:hAnsi="Calibri"/>
          <w:sz w:val="22"/>
          <w:szCs w:val="22"/>
        </w:rPr>
        <w:t xml:space="preserve">), and the backend verifies the signature on every protected request rather than maintaining server-side session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2337"/>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2337"/>
            <w:shd w:fill="E8E8E8" w:val="clear"/>
            <w:tcMar>
              <w:top w:type="dxa" w:w="100"/>
              <w:left w:type="dxa" w:w="120"/>
              <w:bottom w:type="dxa" w:w="100"/>
              <w:right w:type="dxa" w:w="120"/>
            </w:tcMar>
          </w:tcPr>
          <w:p>
            <w:r>
              <w:rPr>
                <w:rFonts w:ascii="Calibri" w:cs="Calibri" w:eastAsia="Calibri" w:hAnsi="Calibri"/>
                <w:b/>
                <w:bCs/>
                <w:sz w:val="20"/>
                <w:szCs w:val="20"/>
              </w:rPr>
              <w:t xml:space="preserve">Auth Required</w:t>
            </w:r>
          </w:p>
        </w:tc>
        <w:tc>
          <w:tcPr>
            <w:tcW w:type="dxa" w:w="2337"/>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2337"/>
            <w:tcMar>
              <w:top w:type="dxa" w:w="100"/>
              <w:left w:type="dxa" w:w="120"/>
              <w:bottom w:type="dxa" w:w="100"/>
              <w:right w:type="dxa" w:w="120"/>
            </w:tcMar>
          </w:tcPr>
          <w:p>
            <w:r>
              <w:rPr>
                <w:rFonts w:ascii="Consolas" w:cs="Consolas" w:eastAsia="Consolas" w:hAnsi="Consolas"/>
                <w:sz w:val="20"/>
                <w:szCs w:val="20"/>
              </w:rPr>
              <w:t xml:space="preserve">/auth/register</w:t>
            </w:r>
          </w:p>
        </w:tc>
        <w:tc>
          <w:tcPr>
            <w:tcW w:type="dxa" w:w="2337"/>
            <w:tcMar>
              <w:top w:type="dxa" w:w="100"/>
              <w:left w:type="dxa" w:w="120"/>
              <w:bottom w:type="dxa" w:w="100"/>
              <w:right w:type="dxa" w:w="120"/>
            </w:tcMar>
          </w:tcPr>
          <w:p>
            <w:r>
              <w:rPr>
                <w:rFonts w:ascii="Calibri" w:cs="Calibri" w:eastAsia="Calibri" w:hAnsi="Calibri"/>
                <w:sz w:val="22"/>
                <w:szCs w:val="22"/>
              </w:rPr>
              <w:t xml:space="preserve">POST</w:t>
            </w:r>
          </w:p>
        </w:tc>
        <w:tc>
          <w:tcPr>
            <w:tcW w:type="dxa" w:w="2337"/>
            <w:tcMar>
              <w:top w:type="dxa" w:w="100"/>
              <w:left w:type="dxa" w:w="120"/>
              <w:bottom w:type="dxa" w:w="100"/>
              <w:right w:type="dxa" w:w="120"/>
            </w:tcMar>
          </w:tcPr>
          <w:p>
            <w:r>
              <w:rPr>
                <w:rFonts w:ascii="Calibri" w:cs="Calibri" w:eastAsia="Calibri" w:hAnsi="Calibri"/>
                <w:sz w:val="22"/>
                <w:szCs w:val="22"/>
              </w:rPr>
              <w:t xml:space="preserve">No</w:t>
            </w:r>
          </w:p>
        </w:tc>
        <w:tc>
          <w:tcPr>
            <w:tcW w:type="dxa" w:w="2337"/>
            <w:tcMar>
              <w:top w:type="dxa" w:w="100"/>
              <w:left w:type="dxa" w:w="120"/>
              <w:bottom w:type="dxa" w:w="100"/>
              <w:right w:type="dxa" w:w="120"/>
            </w:tcMar>
          </w:tcPr>
          <w:p>
            <w:r>
              <w:rPr>
                <w:rFonts w:ascii="Calibri" w:cs="Calibri" w:eastAsia="Calibri" w:hAnsi="Calibri"/>
                <w:sz w:val="22"/>
                <w:szCs w:val="22"/>
              </w:rPr>
              <w:t xml:space="preserve">Registers a new user and returns a JWT</w:t>
            </w:r>
          </w:p>
        </w:tc>
      </w:tr>
      <w:tr>
        <w:trPr>
          <w:tblHeader w:val="false"/>
        </w:trPr>
        <w:tc>
          <w:tcPr>
            <w:tcW w:type="dxa" w:w="2337"/>
            <w:tcMar>
              <w:top w:type="dxa" w:w="100"/>
              <w:left w:type="dxa" w:w="120"/>
              <w:bottom w:type="dxa" w:w="100"/>
              <w:right w:type="dxa" w:w="120"/>
            </w:tcMar>
          </w:tcPr>
          <w:p>
            <w:r>
              <w:rPr>
                <w:rFonts w:ascii="Consolas" w:cs="Consolas" w:eastAsia="Consolas" w:hAnsi="Consolas"/>
                <w:sz w:val="20"/>
                <w:szCs w:val="20"/>
              </w:rPr>
              <w:t xml:space="preserve">/auth/login</w:t>
            </w:r>
          </w:p>
        </w:tc>
        <w:tc>
          <w:tcPr>
            <w:tcW w:type="dxa" w:w="2337"/>
            <w:tcMar>
              <w:top w:type="dxa" w:w="100"/>
              <w:left w:type="dxa" w:w="120"/>
              <w:bottom w:type="dxa" w:w="100"/>
              <w:right w:type="dxa" w:w="120"/>
            </w:tcMar>
          </w:tcPr>
          <w:p>
            <w:r>
              <w:rPr>
                <w:rFonts w:ascii="Calibri" w:cs="Calibri" w:eastAsia="Calibri" w:hAnsi="Calibri"/>
                <w:sz w:val="22"/>
                <w:szCs w:val="22"/>
              </w:rPr>
              <w:t xml:space="preserve">POST</w:t>
            </w:r>
          </w:p>
        </w:tc>
        <w:tc>
          <w:tcPr>
            <w:tcW w:type="dxa" w:w="2337"/>
            <w:tcMar>
              <w:top w:type="dxa" w:w="100"/>
              <w:left w:type="dxa" w:w="120"/>
              <w:bottom w:type="dxa" w:w="100"/>
              <w:right w:type="dxa" w:w="120"/>
            </w:tcMar>
          </w:tcPr>
          <w:p>
            <w:r>
              <w:rPr>
                <w:rFonts w:ascii="Calibri" w:cs="Calibri" w:eastAsia="Calibri" w:hAnsi="Calibri"/>
                <w:sz w:val="22"/>
                <w:szCs w:val="22"/>
              </w:rPr>
              <w:t xml:space="preserve">No</w:t>
            </w:r>
          </w:p>
        </w:tc>
        <w:tc>
          <w:tcPr>
            <w:tcW w:type="dxa" w:w="2337"/>
            <w:tcMar>
              <w:top w:type="dxa" w:w="100"/>
              <w:left w:type="dxa" w:w="120"/>
              <w:bottom w:type="dxa" w:w="100"/>
              <w:right w:type="dxa" w:w="120"/>
            </w:tcMar>
          </w:tcPr>
          <w:p>
            <w:r>
              <w:rPr>
                <w:rFonts w:ascii="Calibri" w:cs="Calibri" w:eastAsia="Calibri" w:hAnsi="Calibri"/>
                <w:sz w:val="22"/>
                <w:szCs w:val="22"/>
              </w:rPr>
              <w:t xml:space="preserve">Authenticates an existing user and returns a JWT</w:t>
            </w:r>
          </w:p>
        </w:tc>
      </w:tr>
      <w:tr>
        <w:trPr>
          <w:tblHeader w:val="false"/>
        </w:trPr>
        <w:tc>
          <w:tcPr>
            <w:tcW w:type="dxa" w:w="2337"/>
            <w:tcMar>
              <w:top w:type="dxa" w:w="100"/>
              <w:left w:type="dxa" w:w="120"/>
              <w:bottom w:type="dxa" w:w="100"/>
              <w:right w:type="dxa" w:w="120"/>
            </w:tcMar>
          </w:tcPr>
          <w:p>
            <w:r>
              <w:rPr>
                <w:rFonts w:ascii="Consolas" w:cs="Consolas" w:eastAsia="Consolas" w:hAnsi="Consolas"/>
                <w:sz w:val="20"/>
                <w:szCs w:val="20"/>
              </w:rPr>
              <w:t xml:space="preserve">/auth/me</w:t>
            </w:r>
          </w:p>
        </w:tc>
        <w:tc>
          <w:tcPr>
            <w:tcW w:type="dxa" w:w="2337"/>
            <w:tcMar>
              <w:top w:type="dxa" w:w="100"/>
              <w:left w:type="dxa" w:w="120"/>
              <w:bottom w:type="dxa" w:w="100"/>
              <w:right w:type="dxa" w:w="120"/>
            </w:tcMar>
          </w:tcPr>
          <w:p>
            <w:r>
              <w:rPr>
                <w:rFonts w:ascii="Calibri" w:cs="Calibri" w:eastAsia="Calibri" w:hAnsi="Calibri"/>
                <w:sz w:val="22"/>
                <w:szCs w:val="22"/>
              </w:rPr>
              <w:t xml:space="preserve">GET</w:t>
            </w:r>
          </w:p>
        </w:tc>
        <w:tc>
          <w:tcPr>
            <w:tcW w:type="dxa" w:w="2337"/>
            <w:tcMar>
              <w:top w:type="dxa" w:w="100"/>
              <w:left w:type="dxa" w:w="120"/>
              <w:bottom w:type="dxa" w:w="100"/>
              <w:right w:type="dxa" w:w="120"/>
            </w:tcMar>
          </w:tcPr>
          <w:p>
            <w:r>
              <w:rPr>
                <w:rFonts w:ascii="Calibri" w:cs="Calibri" w:eastAsia="Calibri" w:hAnsi="Calibri"/>
                <w:sz w:val="22"/>
                <w:szCs w:val="22"/>
              </w:rPr>
              <w:t xml:space="preserve">Yes</w:t>
            </w:r>
          </w:p>
        </w:tc>
        <w:tc>
          <w:tcPr>
            <w:tcW w:type="dxa" w:w="2337"/>
            <w:tcMar>
              <w:top w:type="dxa" w:w="100"/>
              <w:left w:type="dxa" w:w="120"/>
              <w:bottom w:type="dxa" w:w="100"/>
              <w:right w:type="dxa" w:w="120"/>
            </w:tcMar>
          </w:tcPr>
          <w:p>
            <w:r>
              <w:rPr>
                <w:rFonts w:ascii="Calibri" w:cs="Calibri" w:eastAsia="Calibri" w:hAnsi="Calibri"/>
                <w:sz w:val="22"/>
                <w:szCs w:val="22"/>
              </w:rPr>
              <w:t xml:space="preserve">Returns the currently authenticated user's details</w:t>
            </w:r>
          </w:p>
        </w:tc>
      </w:tr>
      <w:tr>
        <w:trPr>
          <w:tblHeader w:val="false"/>
        </w:trPr>
        <w:tc>
          <w:tcPr>
            <w:tcW w:type="dxa" w:w="2337"/>
            <w:tcMar>
              <w:top w:type="dxa" w:w="100"/>
              <w:left w:type="dxa" w:w="120"/>
              <w:bottom w:type="dxa" w:w="100"/>
              <w:right w:type="dxa" w:w="120"/>
            </w:tcMar>
          </w:tcPr>
          <w:p>
            <w:r>
              <w:rPr>
                <w:rFonts w:ascii="Consolas" w:cs="Consolas" w:eastAsia="Consolas" w:hAnsi="Consolas"/>
                <w:sz w:val="20"/>
                <w:szCs w:val="20"/>
              </w:rPr>
              <w:t xml:space="preserve">/auth/logout</w:t>
            </w:r>
          </w:p>
        </w:tc>
        <w:tc>
          <w:tcPr>
            <w:tcW w:type="dxa" w:w="2337"/>
            <w:tcMar>
              <w:top w:type="dxa" w:w="100"/>
              <w:left w:type="dxa" w:w="120"/>
              <w:bottom w:type="dxa" w:w="100"/>
              <w:right w:type="dxa" w:w="120"/>
            </w:tcMar>
          </w:tcPr>
          <w:p>
            <w:r>
              <w:rPr>
                <w:rFonts w:ascii="Calibri" w:cs="Calibri" w:eastAsia="Calibri" w:hAnsi="Calibri"/>
                <w:sz w:val="22"/>
                <w:szCs w:val="22"/>
              </w:rPr>
              <w:t xml:space="preserve">POST</w:t>
            </w:r>
          </w:p>
        </w:tc>
        <w:tc>
          <w:tcPr>
            <w:tcW w:type="dxa" w:w="2337"/>
            <w:tcMar>
              <w:top w:type="dxa" w:w="100"/>
              <w:left w:type="dxa" w:w="120"/>
              <w:bottom w:type="dxa" w:w="100"/>
              <w:right w:type="dxa" w:w="120"/>
            </w:tcMar>
          </w:tcPr>
          <w:p>
            <w:r>
              <w:rPr>
                <w:rFonts w:ascii="Calibri" w:cs="Calibri" w:eastAsia="Calibri" w:hAnsi="Calibri"/>
                <w:sz w:val="22"/>
                <w:szCs w:val="22"/>
              </w:rPr>
              <w:t xml:space="preserve">Yes</w:t>
            </w:r>
          </w:p>
        </w:tc>
        <w:tc>
          <w:tcPr>
            <w:tcW w:type="dxa" w:w="2337"/>
            <w:tcMar>
              <w:top w:type="dxa" w:w="100"/>
              <w:left w:type="dxa" w:w="120"/>
              <w:bottom w:type="dxa" w:w="100"/>
              <w:right w:type="dxa" w:w="120"/>
            </w:tcMar>
          </w:tcPr>
          <w:p>
            <w:r>
              <w:rPr>
                <w:rFonts w:ascii="Calibri" w:cs="Calibri" w:eastAsia="Calibri" w:hAnsi="Calibri"/>
                <w:sz w:val="22"/>
                <w:szCs w:val="22"/>
              </w:rPr>
              <w:t xml:space="preserve">Blacklists the current JWT</w:t>
            </w:r>
          </w:p>
        </w:tc>
      </w:tr>
    </w:tbl>
    <w:p>
      <w:pPr>
        <w:spacing w:after="160"/>
      </w:pPr>
    </w:p>
    <w:p>
      <w:pPr>
        <w:pBdr>
          <w:bottom w:val="single" w:color="BFBFBF" w:sz="6" w:space="1"/>
        </w:pBdr>
        <w:spacing w:after="200"/>
      </w:pPr>
    </w:p>
    <w:p>
      <w:pPr>
        <w:pStyle w:val="Heading1"/>
        <w:spacing w:after="140" w:before="300"/>
      </w:pPr>
      <w:r>
        <w:t xml:space="preserve">3. Loans</w:t>
      </w:r>
    </w:p>
    <w:p>
      <w:pPr>
        <w:spacing w:after="140"/>
        <w:jc w:val="both"/>
      </w:pPr>
      <w:r>
        <w:rPr>
          <w:rFonts w:ascii="Calibri" w:cs="Calibri" w:eastAsia="Calibri" w:hAnsi="Calibri"/>
          <w:sz w:val="22"/>
          <w:szCs w:val="22"/>
        </w:rPr>
        <w:t xml:space="preserve">Full CRUD for a user's loans. All endpoints in this group require authentication and only operate on loans owned by the requesting user.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/loans</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Lists all loans belonging to the authenticated user</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/loans</w:t>
            </w:r>
          </w:p>
        </w:tc>
        <w:tc>
          <w:tcPr>
            <w:tcW w:type="dxa" w:w="3116"/>
            <w:tcMar>
              <w:top w:type="dxa" w:w="100"/>
              <w:left w:type="dxa" w:w="120"/>
              <w:bottom w:type="dxa" w:w="100"/>
              <w:right w:type="dxa" w:w="120"/>
            </w:tcMar>
          </w:tcPr>
          <w:p>
            <w:r>
              <w:rPr>
                <w:rFonts w:ascii="Calibri" w:cs="Calibri" w:eastAsia="Calibri" w:hAnsi="Calibri"/>
                <w:sz w:val="22"/>
                <w:szCs w:val="22"/>
              </w:rPr>
              <w:t xml:space="preserve">POST</w:t>
            </w:r>
          </w:p>
        </w:tc>
        <w:tc>
          <w:tcPr>
            <w:tcW w:type="dxa" w:w="3116"/>
            <w:tcMar>
              <w:top w:type="dxa" w:w="100"/>
              <w:left w:type="dxa" w:w="120"/>
              <w:bottom w:type="dxa" w:w="100"/>
              <w:right w:type="dxa" w:w="120"/>
            </w:tcMar>
          </w:tcPr>
          <w:p>
            <w:r>
              <w:rPr>
                <w:rFonts w:ascii="Calibri" w:cs="Calibri" w:eastAsia="Calibri" w:hAnsi="Calibri"/>
                <w:sz w:val="22"/>
                <w:szCs w:val="22"/>
              </w:rPr>
              <w:t xml:space="preserve">Creates a new loan record</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/loans/{id}</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Retrieves a single loan by ID</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/loans/{id}</w:t>
            </w:r>
          </w:p>
        </w:tc>
        <w:tc>
          <w:tcPr>
            <w:tcW w:type="dxa" w:w="3116"/>
            <w:tcMar>
              <w:top w:type="dxa" w:w="100"/>
              <w:left w:type="dxa" w:w="120"/>
              <w:bottom w:type="dxa" w:w="100"/>
              <w:right w:type="dxa" w:w="120"/>
            </w:tcMar>
          </w:tcPr>
          <w:p>
            <w:r>
              <w:rPr>
                <w:rFonts w:ascii="Calibri" w:cs="Calibri" w:eastAsia="Calibri" w:hAnsi="Calibri"/>
                <w:sz w:val="22"/>
                <w:szCs w:val="22"/>
              </w:rPr>
              <w:t xml:space="preserve">PATCH</w:t>
            </w:r>
          </w:p>
        </w:tc>
        <w:tc>
          <w:tcPr>
            <w:tcW w:type="dxa" w:w="3116"/>
            <w:tcMar>
              <w:top w:type="dxa" w:w="100"/>
              <w:left w:type="dxa" w:w="120"/>
              <w:bottom w:type="dxa" w:w="100"/>
              <w:right w:type="dxa" w:w="120"/>
            </w:tcMar>
          </w:tcPr>
          <w:p>
            <w:r>
              <w:rPr>
                <w:rFonts w:ascii="Calibri" w:cs="Calibri" w:eastAsia="Calibri" w:hAnsi="Calibri"/>
                <w:sz w:val="22"/>
                <w:szCs w:val="22"/>
              </w:rPr>
              <w:t xml:space="preserve">Updates fields on an existing loan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/loans/{id}</w:t>
            </w:r>
          </w:p>
        </w:tc>
        <w:tc>
          <w:tcPr>
            <w:tcW w:type="dxa" w:w="3116"/>
            <w:tcMar>
              <w:top w:type="dxa" w:w="100"/>
              <w:left w:type="dxa" w:w="120"/>
              <w:bottom w:type="dxa" w:w="100"/>
              <w:right w:type="dxa" w:w="120"/>
            </w:tcMar>
          </w:tcPr>
          <w:p>
            <w:r>
              <w:rPr>
                <w:rFonts w:ascii="Calibri" w:cs="Calibri" w:eastAsia="Calibri" w:hAnsi="Calibri"/>
                <w:sz w:val="22"/>
                <w:szCs w:val="22"/>
              </w:rPr>
              <w:t xml:space="preserve">DELETE</w:t>
            </w:r>
          </w:p>
        </w:tc>
        <w:tc>
          <w:tcPr>
            <w:tcW w:type="dxa" w:w="3116"/>
            <w:tcMar>
              <w:top w:type="dxa" w:w="100"/>
              <w:left w:type="dxa" w:w="120"/>
              <w:bottom w:type="dxa" w:w="100"/>
              <w:right w:type="dxa" w:w="120"/>
            </w:tcMar>
          </w:tcPr>
          <w:p>
            <w:r>
              <w:rPr>
                <w:rFonts w:ascii="Calibri" w:cs="Calibri" w:eastAsia="Calibri" w:hAnsi="Calibri"/>
                <w:sz w:val="22"/>
                <w:szCs w:val="22"/>
              </w:rPr>
              <w:t xml:space="preserve">Deletes a loan</w:t>
            </w:r>
          </w:p>
        </w:tc>
      </w:tr>
    </w:tbl>
    <w:p>
      <w:pPr>
        <w:spacing w:after="160"/>
      </w:pPr>
    </w:p>
    <w:p>
      <w:pPr>
        <w:spacing w:after="140"/>
        <w:jc w:val="both"/>
      </w:pPr>
      <w:r>
        <w:rPr>
          <w:rFonts w:ascii="Calibri" w:cs="Calibri" w:eastAsia="Calibri" w:hAnsi="Calibri"/>
          <w:sz w:val="22"/>
          <w:szCs w:val="22"/>
        </w:rPr>
        <w:t xml:space="preserve">A loan record captures the lender name, loan amount, EMI, number of days overdue, and the borrower's monthly income — the four inputs the settlement calculation is built from.</w:t>
      </w:r>
    </w:p>
    <w:p>
      <w:pPr>
        <w:pBdr>
          <w:bottom w:val="single" w:color="BFBFBF" w:sz="6" w:space="1"/>
        </w:pBdr>
        <w:spacing w:after="200"/>
      </w:pPr>
    </w:p>
    <w:p>
      <w:pPr>
        <w:pStyle w:val="Heading1"/>
        <w:spacing w:after="140" w:before="300"/>
      </w:pPr>
      <w:r>
        <w:t xml:space="preserve">4. Settlement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/settlement/{loan_id}</w:t>
            </w:r>
          </w:p>
        </w:tc>
        <w:tc>
          <w:tcPr>
            <w:tcW w:type="dxa" w:w="3116"/>
            <w:tcMar>
              <w:top w:type="dxa" w:w="100"/>
              <w:left w:type="dxa" w:w="120"/>
              <w:bottom w:type="dxa" w:w="100"/>
              <w:right w:type="dxa" w:w="120"/>
            </w:tcMar>
          </w:tcPr>
          <w:p>
            <w:r>
              <w:rPr>
                <w:rFonts w:ascii="Calibri" w:cs="Calibri" w:eastAsia="Calibri" w:hAnsi="Calibri"/>
                <w:sz w:val="22"/>
                <w:szCs w:val="22"/>
              </w:rPr>
              <w:t xml:space="preserve">POST</w:t>
            </w:r>
          </w:p>
        </w:tc>
        <w:tc>
          <w:tcPr>
            <w:tcW w:type="dxa" w:w="3116"/>
            <w:tcMar>
              <w:top w:type="dxa" w:w="100"/>
              <w:left w:type="dxa" w:w="120"/>
              <w:bottom w:type="dxa" w:w="100"/>
              <w:right w:type="dxa" w:w="120"/>
            </w:tcMar>
          </w:tcPr>
          <w:p>
            <w:r>
              <w:rPr>
                <w:rFonts w:ascii="Calibri" w:cs="Calibri" w:eastAsia="Calibri" w:hAnsi="Calibri"/>
                <w:sz w:val="22"/>
                <w:szCs w:val="22"/>
              </w:rPr>
              <w:t xml:space="preserve">Runs the settlement calculation for a loan and saves a stress snapshot</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/snapshots</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all stress snapshots across the user's loans, used for dashboard trend charts</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/snapshots/{loan_id}</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snapshots for one specific loan</w:t>
            </w:r>
          </w:p>
        </w:tc>
      </w:tr>
    </w:tbl>
    <w:p>
      <w:pPr>
        <w:spacing w:after="160"/>
      </w:pPr>
    </w:p>
    <w:p>
      <w:pPr>
        <w:spacing w:after="140"/>
        <w:jc w:val="both"/>
      </w:pPr>
      <w:r>
        <w:rPr>
          <w:rFonts w:ascii="Calibri" w:cs="Calibri" w:eastAsia="Calibri" w:hAnsi="Calibri"/>
          <w:sz w:val="22"/>
          <w:szCs w:val="22"/>
        </w:rPr>
        <w:t xml:space="preserve">Running a settlement calculation computes the debt-to-income ratio, a debt stress level, and a recommended settlement percentage from the loan's stored financial data, and stores the result as a snapshot so the dashboard can chart it over time.</w:t>
      </w:r>
    </w:p>
    <w:p>
      <w:pPr>
        <w:pBdr>
          <w:bottom w:val="single" w:color="BFBFBF" w:sz="6" w:space="1"/>
        </w:pBdr>
        <w:spacing w:after="200"/>
      </w:pPr>
    </w:p>
    <w:p>
      <w:pPr>
        <w:pStyle w:val="Heading1"/>
        <w:spacing w:after="140" w:before="300"/>
      </w:pPr>
      <w:r>
        <w:t xml:space="preserve">5. Letters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/letters/{loan_id}</w:t>
            </w:r>
          </w:p>
        </w:tc>
        <w:tc>
          <w:tcPr>
            <w:tcW w:type="dxa" w:w="3116"/>
            <w:tcMar>
              <w:top w:type="dxa" w:w="100"/>
              <w:left w:type="dxa" w:w="120"/>
              <w:bottom w:type="dxa" w:w="100"/>
              <w:right w:type="dxa" w:w="120"/>
            </w:tcMar>
          </w:tcPr>
          <w:p>
            <w:r>
              <w:rPr>
                <w:rFonts w:ascii="Calibri" w:cs="Calibri" w:eastAsia="Calibri" w:hAnsi="Calibri"/>
                <w:sz w:val="22"/>
                <w:szCs w:val="22"/>
              </w:rPr>
              <w:t xml:space="preserve">POST</w:t>
            </w:r>
          </w:p>
        </w:tc>
        <w:tc>
          <w:tcPr>
            <w:tcW w:type="dxa" w:w="3116"/>
            <w:tcMar>
              <w:top w:type="dxa" w:w="100"/>
              <w:left w:type="dxa" w:w="120"/>
              <w:bottom w:type="dxa" w:w="100"/>
              <w:right w:type="dxa" w:w="120"/>
            </w:tcMar>
          </w:tcPr>
          <w:p>
            <w:r>
              <w:rPr>
                <w:rFonts w:ascii="Calibri" w:cs="Calibri" w:eastAsia="Calibri" w:hAnsi="Calibri"/>
                <w:sz w:val="22"/>
                <w:szCs w:val="22"/>
              </w:rPr>
              <w:t xml:space="preserve">Generates an OTS negotiation letter for a loan, via Gemini or the fallback template</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the latest letter for each of the user's loans</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/letters/{loan_id}</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the latest letter for one specific loan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/letters/{loan_id}/history</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every letter version generated for a loan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/letters/download/{letter_id}</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Streams a letter back as a downloadable PDF</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/letters/{letter_id}</w:t>
            </w:r>
          </w:p>
        </w:tc>
        <w:tc>
          <w:tcPr>
            <w:tcW w:type="dxa" w:w="3116"/>
            <w:tcMar>
              <w:top w:type="dxa" w:w="100"/>
              <w:left w:type="dxa" w:w="120"/>
              <w:bottom w:type="dxa" w:w="100"/>
              <w:right w:type="dxa" w:w="120"/>
            </w:tcMar>
          </w:tcPr>
          <w:p>
            <w:r>
              <w:rPr>
                <w:rFonts w:ascii="Calibri" w:cs="Calibri" w:eastAsia="Calibri" w:hAnsi="Calibri"/>
                <w:sz w:val="22"/>
                <w:szCs w:val="22"/>
              </w:rPr>
              <w:t xml:space="preserve">PUT</w:t>
            </w:r>
          </w:p>
        </w:tc>
        <w:tc>
          <w:tcPr>
            <w:tcW w:type="dxa" w:w="3116"/>
            <w:tcMar>
              <w:top w:type="dxa" w:w="100"/>
              <w:left w:type="dxa" w:w="120"/>
              <w:bottom w:type="dxa" w:w="100"/>
              <w:right w:type="dxa" w:w="120"/>
            </w:tcMar>
          </w:tcPr>
          <w:p>
            <w:r>
              <w:rPr>
                <w:rFonts w:ascii="Calibri" w:cs="Calibri" w:eastAsia="Calibri" w:hAnsi="Calibri"/>
                <w:sz w:val="22"/>
                <w:szCs w:val="22"/>
              </w:rPr>
              <w:t xml:space="preserve">Edits the body of a saved letter</w:t>
            </w:r>
          </w:p>
        </w:tc>
      </w:tr>
    </w:tbl>
    <w:p>
      <w:pPr>
        <w:spacing w:after="160"/>
      </w:pPr>
    </w:p>
    <w:p>
      <w:pPr>
        <w:spacing w:after="140"/>
        <w:jc w:val="both"/>
      </w:pPr>
      <w:r>
        <w:rPr>
          <w:rFonts w:ascii="Calibri" w:cs="Calibri" w:eastAsia="Calibri" w:hAnsi="Calibri"/>
          <w:sz w:val="22"/>
          <w:szCs w:val="22"/>
        </w:rPr>
        <w:t xml:space="preserve">When a letter is generated, the backend first attempts to call Google Gemini 2.0 Flash to draft the letter body from the loan's financial profile. If the Gemini call succeeds, the letter is saved and tagged as AI-generated. If it fails for any reason — timeout, a non-2xx response, or a response that can't be parsed — the backend falls back to a static, still-professional template automatically, and the letter is tagged accordingly. Either way, the user receives a usable letter and the source is recorded honestly rather than silently.</w:t>
      </w:r>
    </w:p>
    <w:p>
      <w:pPr>
        <w:spacing w:after="140"/>
        <w:jc w:val="both"/>
      </w:pPr>
      <w:r>
        <w:rPr>
          <w:rFonts w:ascii="Calibri" w:cs="Calibri" w:eastAsia="Calibri" w:hAnsi="Calibri"/>
          <w:sz w:val="22"/>
          <w:szCs w:val="22"/>
        </w:rPr>
        <w:t xml:space="preserve">Letters can be downloaded as PDFs, generated through ReportLab, so a user can save or print the letter for their own records or to send directly.</w:t>
      </w:r>
    </w:p>
    <w:p>
      <w:pPr>
        <w:pBdr>
          <w:bottom w:val="single" w:color="BFBFBF" w:sz="6" w:space="1"/>
        </w:pBdr>
        <w:spacing w:after="200"/>
      </w:pPr>
    </w:p>
    <w:p>
      <w:pPr>
        <w:pStyle w:val="Heading1"/>
        <w:spacing w:after="140" w:before="300"/>
      </w:pPr>
      <w:r>
        <w:t xml:space="preserve">6.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/dashboard</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Returns aggregated statistics across all of the user's loans, snapshots, and letters for the dashboard view</w:t>
            </w:r>
          </w:p>
        </w:tc>
      </w:tr>
    </w:tbl>
    <w:p>
      <w:pPr>
        <w:spacing w:after="160"/>
      </w:pPr>
    </w:p>
    <w:p>
      <w:pPr>
        <w:pBdr>
          <w:bottom w:val="single" w:color="BFBFBF" w:sz="6" w:space="1"/>
        </w:pBdr>
        <w:spacing w:after="200"/>
      </w:pPr>
    </w:p>
    <w:p>
      <w:pPr>
        <w:pStyle w:val="Heading1"/>
        <w:spacing w:after="140" w:before="300"/>
      </w:pPr>
      <w:r>
        <w:t xml:space="preserve">7. Demo and Health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Endpoint</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Method</w:t>
            </w:r>
          </w:p>
        </w:tc>
        <w:tc>
          <w:tcPr>
            <w:tcW w:type="dxa" w:w="3116"/>
            <w:shd w:fill="E8E8E8" w:val="clear"/>
            <w:tcMar>
              <w:top w:type="dxa" w:w="100"/>
              <w:left w:type="dxa" w:w="120"/>
              <w:bottom w:type="dxa" w:w="100"/>
              <w:right w:type="dxa" w:w="120"/>
            </w:tcMar>
          </w:tcPr>
          <w:p>
            <w:r>
              <w:rPr>
                <w:rFonts w:ascii="Calibri" w:cs="Calibri" w:eastAsia="Calibri" w:hAnsi="Calibri"/>
                <w:b/>
                <w:bCs/>
                <w:sz w:val="20"/>
                <w:szCs w:val="20"/>
              </w:rPr>
              <w:t xml:space="preserve">Description</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/demo/seed</w:t>
            </w:r>
          </w:p>
        </w:tc>
        <w:tc>
          <w:tcPr>
            <w:tcW w:type="dxa" w:w="3116"/>
            <w:tcMar>
              <w:top w:type="dxa" w:w="100"/>
              <w:left w:type="dxa" w:w="120"/>
              <w:bottom w:type="dxa" w:w="100"/>
              <w:right w:type="dxa" w:w="120"/>
            </w:tcMar>
          </w:tcPr>
          <w:p>
            <w:r>
              <w:rPr>
                <w:rFonts w:ascii="Calibri" w:cs="Calibri" w:eastAsia="Calibri" w:hAnsi="Calibri"/>
                <w:sz w:val="22"/>
                <w:szCs w:val="22"/>
              </w:rPr>
              <w:t xml:space="preserve">POST</w:t>
            </w:r>
          </w:p>
        </w:tc>
        <w:tc>
          <w:tcPr>
            <w:tcW w:type="dxa" w:w="3116"/>
            <w:tcMar>
              <w:top w:type="dxa" w:w="100"/>
              <w:left w:type="dxa" w:w="120"/>
              <w:bottom w:type="dxa" w:w="100"/>
              <w:right w:type="dxa" w:w="120"/>
            </w:tcMar>
          </w:tcPr>
          <w:p>
            <w:r>
              <w:rPr>
                <w:rFonts w:ascii="Calibri" w:cs="Calibri" w:eastAsia="Calibri" w:hAnsi="Calibri"/>
                <w:sz w:val="22"/>
                <w:szCs w:val="22"/>
              </w:rPr>
              <w:t xml:space="preserve">Seeds three sample loans into a demo account, so a new visitor can explore the app without entering real financial data</w:t>
            </w:r>
          </w:p>
        </w:tc>
      </w:tr>
      <w:tr>
        <w:trPr>
          <w:tblHeader w:val="false"/>
        </w:trPr>
        <w:tc>
          <w:tcPr>
            <w:tcW w:type="dxa" w:w="3116"/>
            <w:tcMar>
              <w:top w:type="dxa" w:w="100"/>
              <w:left w:type="dxa" w:w="120"/>
              <w:bottom w:type="dxa" w:w="100"/>
              <w:right w:type="dxa" w:w="120"/>
            </w:tcMar>
          </w:tcPr>
          <w:p>
            <w:r>
              <w:rPr>
                <w:rFonts w:ascii="Consolas" w:cs="Consolas" w:eastAsia="Consolas" w:hAnsi="Consolas"/>
                <w:sz w:val="20"/>
                <w:szCs w:val="20"/>
              </w:rPr>
              <w:t xml:space="preserve">/health</w:t>
            </w:r>
          </w:p>
        </w:tc>
        <w:tc>
          <w:tcPr>
            <w:tcW w:type="dxa" w:w="3116"/>
            <w:tcMar>
              <w:top w:type="dxa" w:w="100"/>
              <w:left w:type="dxa" w:w="120"/>
              <w:bottom w:type="dxa" w:w="100"/>
              <w:right w:type="dxa" w:w="120"/>
            </w:tcMar>
          </w:tcPr>
          <w:p>
            <w:r>
              <w:rPr>
                <w:rFonts w:ascii="Calibri" w:cs="Calibri" w:eastAsia="Calibri" w:hAnsi="Calibri"/>
                <w:sz w:val="22"/>
                <w:szCs w:val="22"/>
              </w:rPr>
              <w:t xml:space="preserve">GET</w:t>
            </w:r>
          </w:p>
        </w:tc>
        <w:tc>
          <w:tcPr>
            <w:tcW w:type="dxa" w:w="3116"/>
            <w:tcMar>
              <w:top w:type="dxa" w:w="100"/>
              <w:left w:type="dxa" w:w="120"/>
              <w:bottom w:type="dxa" w:w="100"/>
              <w:right w:type="dxa" w:w="120"/>
            </w:tcMar>
          </w:tcPr>
          <w:p>
            <w:r>
              <w:rPr>
                <w:rFonts w:ascii="Calibri" w:cs="Calibri" w:eastAsia="Calibri" w:hAnsi="Calibri"/>
                <w:sz w:val="22"/>
                <w:szCs w:val="22"/>
              </w:rPr>
              <w:t xml:space="preserve">Reports database connectivity and Gemini API availability, used for monitoring</w:t>
            </w:r>
          </w:p>
        </w:tc>
      </w:tr>
    </w:tbl>
    <w:p>
      <w:pPr>
        <w:spacing w:after="160"/>
      </w:pPr>
    </w:p>
    <w:p>
      <w:pPr>
        <w:pBdr>
          <w:bottom w:val="single" w:color="BFBFBF" w:sz="6" w:space="1"/>
        </w:pBdr>
        <w:spacing w:after="200"/>
      </w:pPr>
    </w:p>
    <w:p>
      <w:pPr>
        <w:pStyle w:val="Heading1"/>
        <w:spacing w:after="140" w:before="300"/>
      </w:pPr>
      <w:r>
        <w:t xml:space="preserve">8. Rate Limiting</w:t>
      </w:r>
    </w:p>
    <w:p>
      <w:pPr>
        <w:spacing w:after="140"/>
        <w:jc w:val="both"/>
      </w:pPr>
      <w:r>
        <w:rPr>
          <w:rFonts w:ascii="Calibri" w:cs="Calibri" w:eastAsia="Calibri" w:hAnsi="Calibri"/>
          <w:sz w:val="22"/>
          <w:szCs w:val="22"/>
        </w:rPr>
        <w:t xml:space="preserve">Sensitive endpoints — particularly authentication and letter generation — are rate-limited using SlowAPI to reduce the risk of abuse, such as repeated login attempts or excessive AI calls from a single client.</w:t>
      </w:r>
    </w:p>
    <w:p>
      <w:pPr>
        <w:pBdr>
          <w:bottom w:val="single" w:color="BFBFBF" w:sz="6" w:space="1"/>
        </w:pBdr>
        <w:spacing w:after="200"/>
      </w:pPr>
    </w:p>
    <w:p>
      <w:pPr>
        <w:pStyle w:val="Heading1"/>
        <w:spacing w:after="140" w:before="300"/>
      </w:pPr>
      <w:r>
        <w:t xml:space="preserve">9. Error Handling</w:t>
      </w:r>
    </w:p>
    <w:p>
      <w:pPr>
        <w:spacing w:after="140"/>
        <w:jc w:val="both"/>
      </w:pPr>
      <w:r>
        <w:rPr>
          <w:rFonts w:ascii="Calibri" w:cs="Calibri" w:eastAsia="Calibri" w:hAnsi="Calibri"/>
          <w:sz w:val="22"/>
          <w:szCs w:val="22"/>
        </w:rPr>
        <w:t xml:space="preserve">Validation errors return a 422 response with a description of which field failed and why, generated automatically by Pydantic. Authentication failures return 401. Attempting to access or modify a resource that doesn't belong to the requesting user returns 404 rather than 403, to avoid confirming the existence of another user's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999999"/>
        <w:sz w:val="16"/>
        <w:szCs w:val="16"/>
      </w:rPr>
      <w:t xml:space="preserve">Confidential — SmartBridge Internship Program</w:t>
    </w:r>
    <w:r>
      <w:rPr>
        <w:rFonts w:ascii="Calibri" w:cs="Calibri" w:eastAsia="Calibri" w:hAnsi="Calibri"/>
      </w:rPr>
      <w:t xml:space="preserv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FinRelief 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2026-07-20T08:14:16.841Z</dcterms:created>
  <dcterms:modified xsi:type="dcterms:W3CDTF">2026-07-20T08:14:16.841Z</dcterms:modified>
</cp:coreProperties>
</file>

<file path=docProps/custom.xml><?xml version="1.0" encoding="utf-8"?>
<Properties xmlns="http://schemas.openxmlformats.org/officeDocument/2006/custom-properties" xmlns:vt="http://schemas.openxmlformats.org/officeDocument/2006/docPropsVTypes"/>
</file>