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1F1F"/>
          <w:sz w:val="40"/>
          <w:szCs w:val="40"/>
        </w:rPr>
        <w:t xml:space="preserve">FinRelief AI — Technical Architecture</w:t>
      </w:r>
    </w:p>
    <w:p>
      <w:pPr>
        <w:spacing w:after="80" w:before="160"/>
      </w:pPr>
      <w:r>
        <w:rPr>
          <w:rFonts w:ascii="Calibri" w:cs="Calibri" w:eastAsia="Calibri" w:hAnsi="Calibri"/>
          <w:b/>
          <w:bCs/>
          <w:i w:val="false"/>
          <w:iCs w:val="false"/>
          <w:sz w:val="22"/>
          <w:szCs w:val="22"/>
        </w:rPr>
        <w:t xml:space="preserve">SmartBridge Internship Program</w:t>
      </w:r>
    </w:p>
    <w:p>
      <w:pPr>
        <w:spacing w:after="140"/>
        <w:jc w:val="both"/>
      </w:pPr>
      <w:r>
        <w:rPr>
          <w:rFonts w:ascii="Calibri" w:cs="Calibri" w:eastAsia="Calibri" w:hAnsi="Calibri"/>
          <w:sz w:val="22"/>
          <w:szCs w:val="22"/>
        </w:rPr>
        <w:t xml:space="preserve">Version 2.0.0</w:t>
      </w:r>
    </w:p>
    <w:p>
      <w:pPr>
        <w:pBdr>
          <w:bottom w:val="single" w:color="BFBFBF" w:sz="6" w:space="1"/>
        </w:pBdr>
        <w:spacing w:after="200"/>
      </w:pPr>
    </w:p>
    <w:p>
      <w:pPr>
        <w:pStyle w:val="Heading1"/>
        <w:spacing w:after="140" w:before="300"/>
      </w:pPr>
      <w:r>
        <w:t xml:space="preserve">1. Architectural Approach</w:t>
      </w:r>
    </w:p>
    <w:p>
      <w:pPr>
        <w:spacing w:after="140"/>
        <w:jc w:val="both"/>
      </w:pPr>
      <w:r>
        <w:rPr>
          <w:rFonts w:ascii="Calibri" w:cs="Calibri" w:eastAsia="Calibri" w:hAnsi="Calibri"/>
          <w:sz w:val="22"/>
          <w:szCs w:val="22"/>
        </w:rPr>
        <w:t xml:space="preserve">FinRelief AI is built as two fully decoupled services that only ever talk to each other over a REST API: a React single-page frontend and a FastAPI backend. The backend never renders HTML — every response is JSON — which keeps the two sides independently deployable and independently scalable. In production, the frontend runs on Vercel and the backend runs on Render, and either one can be redeployed or scaled without touching the other.</w:t>
      </w:r>
    </w:p>
    <w:p>
      <w:pPr>
        <w:pBdr>
          <w:bottom w:val="single" w:color="BFBFBF" w:sz="6" w:space="1"/>
        </w:pBdr>
        <w:spacing w:after="200"/>
      </w:pPr>
    </w:p>
    <w:p>
      <w:pPr>
        <w:pStyle w:val="Heading1"/>
        <w:spacing w:after="140" w:before="300"/>
      </w:pPr>
      <w:r>
        <w:t xml:space="preserve">2. Component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Component</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Description</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Technology</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User Interface</w:t>
            </w:r>
          </w:p>
        </w:tc>
        <w:tc>
          <w:tcPr>
            <w:tcW w:type="dxa" w:w="3116"/>
            <w:tcMar>
              <w:top w:type="dxa" w:w="100"/>
              <w:left w:type="dxa" w:w="120"/>
              <w:bottom w:type="dxa" w:w="100"/>
              <w:right w:type="dxa" w:w="120"/>
            </w:tcMar>
          </w:tcPr>
          <w:p>
            <w:r>
              <w:rPr>
                <w:rFonts w:ascii="Calibri" w:cs="Calibri" w:eastAsia="Calibri" w:hAnsi="Calibri"/>
                <w:sz w:val="22"/>
                <w:szCs w:val="22"/>
              </w:rPr>
              <w:t xml:space="preserve">Responsive single-page application: login/register, dashboard, loan management, settlement simulation, letter generation</w:t>
            </w:r>
          </w:p>
        </w:tc>
        <w:tc>
          <w:tcPr>
            <w:tcW w:type="dxa" w:w="3116"/>
            <w:tcMar>
              <w:top w:type="dxa" w:w="100"/>
              <w:left w:type="dxa" w:w="120"/>
              <w:bottom w:type="dxa" w:w="100"/>
              <w:right w:type="dxa" w:w="120"/>
            </w:tcMar>
          </w:tcPr>
          <w:p>
            <w:r>
              <w:rPr>
                <w:rFonts w:ascii="Calibri" w:cs="Calibri" w:eastAsia="Calibri" w:hAnsi="Calibri"/>
                <w:sz w:val="22"/>
                <w:szCs w:val="22"/>
              </w:rPr>
              <w:t xml:space="preserve">React 19 + Vite 8, Tailwind CSS v4</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Charts</w:t>
            </w:r>
          </w:p>
        </w:tc>
        <w:tc>
          <w:tcPr>
            <w:tcW w:type="dxa" w:w="3116"/>
            <w:tcMar>
              <w:top w:type="dxa" w:w="100"/>
              <w:left w:type="dxa" w:w="120"/>
              <w:bottom w:type="dxa" w:w="100"/>
              <w:right w:type="dxa" w:w="120"/>
            </w:tcMar>
          </w:tcPr>
          <w:p>
            <w:r>
              <w:rPr>
                <w:rFonts w:ascii="Calibri" w:cs="Calibri" w:eastAsia="Calibri" w:hAnsi="Calibri"/>
                <w:sz w:val="22"/>
                <w:szCs w:val="22"/>
              </w:rPr>
              <w:t xml:space="preserve">Stress trend and DTI visualisations on the dashboard</w:t>
            </w:r>
          </w:p>
        </w:tc>
        <w:tc>
          <w:tcPr>
            <w:tcW w:type="dxa" w:w="3116"/>
            <w:tcMar>
              <w:top w:type="dxa" w:w="100"/>
              <w:left w:type="dxa" w:w="120"/>
              <w:bottom w:type="dxa" w:w="100"/>
              <w:right w:type="dxa" w:w="120"/>
            </w:tcMar>
          </w:tcPr>
          <w:p>
            <w:r>
              <w:rPr>
                <w:rFonts w:ascii="Calibri" w:cs="Calibri" w:eastAsia="Calibri" w:hAnsi="Calibri"/>
                <w:sz w:val="22"/>
                <w:szCs w:val="22"/>
              </w:rPr>
              <w:t xml:space="preserve">Recharts</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Icons</w:t>
            </w:r>
          </w:p>
        </w:tc>
        <w:tc>
          <w:tcPr>
            <w:tcW w:type="dxa" w:w="3116"/>
            <w:tcMar>
              <w:top w:type="dxa" w:w="100"/>
              <w:left w:type="dxa" w:w="120"/>
              <w:bottom w:type="dxa" w:w="100"/>
              <w:right w:type="dxa" w:w="120"/>
            </w:tcMar>
          </w:tcPr>
          <w:p>
            <w:r>
              <w:rPr>
                <w:rFonts w:ascii="Calibri" w:cs="Calibri" w:eastAsia="Calibri" w:hAnsi="Calibri"/>
                <w:sz w:val="22"/>
                <w:szCs w:val="22"/>
              </w:rPr>
              <w:t xml:space="preserve">UI iconography</w:t>
            </w:r>
          </w:p>
        </w:tc>
        <w:tc>
          <w:tcPr>
            <w:tcW w:type="dxa" w:w="3116"/>
            <w:tcMar>
              <w:top w:type="dxa" w:w="100"/>
              <w:left w:type="dxa" w:w="120"/>
              <w:bottom w:type="dxa" w:w="100"/>
              <w:right w:type="dxa" w:w="120"/>
            </w:tcMar>
          </w:tcPr>
          <w:p>
            <w:r>
              <w:rPr>
                <w:rFonts w:ascii="Calibri" w:cs="Calibri" w:eastAsia="Calibri" w:hAnsi="Calibri"/>
                <w:sz w:val="22"/>
                <w:szCs w:val="22"/>
              </w:rPr>
              <w:t xml:space="preserve">Lucide React</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API Client</w:t>
            </w:r>
          </w:p>
        </w:tc>
        <w:tc>
          <w:tcPr>
            <w:tcW w:type="dxa" w:w="3116"/>
            <w:tcMar>
              <w:top w:type="dxa" w:w="100"/>
              <w:left w:type="dxa" w:w="120"/>
              <w:bottom w:type="dxa" w:w="100"/>
              <w:right w:type="dxa" w:w="120"/>
            </w:tcMar>
          </w:tcPr>
          <w:p>
            <w:r>
              <w:rPr>
                <w:rFonts w:ascii="Calibri" w:cs="Calibri" w:eastAsia="Calibri" w:hAnsi="Calibri"/>
                <w:sz w:val="22"/>
                <w:szCs w:val="22"/>
              </w:rPr>
              <w:t xml:space="preserve">Authenticated HTTP calls from frontend to backend</w:t>
            </w:r>
          </w:p>
        </w:tc>
        <w:tc>
          <w:tcPr>
            <w:tcW w:type="dxa" w:w="3116"/>
            <w:tcMar>
              <w:top w:type="dxa" w:w="100"/>
              <w:left w:type="dxa" w:w="120"/>
              <w:bottom w:type="dxa" w:w="100"/>
              <w:right w:type="dxa" w:w="120"/>
            </w:tcMar>
          </w:tcPr>
          <w:p>
            <w:r>
              <w:rPr>
                <w:rFonts w:ascii="Calibri" w:cs="Calibri" w:eastAsia="Calibri" w:hAnsi="Calibri"/>
                <w:sz w:val="22"/>
                <w:szCs w:val="22"/>
              </w:rPr>
              <w:t xml:space="preserve">Axios</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Application Backend</w:t>
            </w:r>
          </w:p>
        </w:tc>
        <w:tc>
          <w:tcPr>
            <w:tcW w:type="dxa" w:w="3116"/>
            <w:tcMar>
              <w:top w:type="dxa" w:w="100"/>
              <w:left w:type="dxa" w:w="120"/>
              <w:bottom w:type="dxa" w:w="100"/>
              <w:right w:type="dxa" w:w="120"/>
            </w:tcMar>
          </w:tcPr>
          <w:p>
            <w:r>
              <w:rPr>
                <w:rFonts w:ascii="Calibri" w:cs="Calibri" w:eastAsia="Calibri" w:hAnsi="Calibri"/>
                <w:sz w:val="22"/>
                <w:szCs w:val="22"/>
              </w:rPr>
              <w:t xml:space="preserve">REST API: auth, loan CRUD, settlement calculation, letter generation, dashboard aggregation</w:t>
            </w:r>
          </w:p>
        </w:tc>
        <w:tc>
          <w:tcPr>
            <w:tcW w:type="dxa" w:w="3116"/>
            <w:tcMar>
              <w:top w:type="dxa" w:w="100"/>
              <w:left w:type="dxa" w:w="120"/>
              <w:bottom w:type="dxa" w:w="100"/>
              <w:right w:type="dxa" w:w="120"/>
            </w:tcMar>
          </w:tcPr>
          <w:p>
            <w:r>
              <w:rPr>
                <w:rFonts w:ascii="Calibri" w:cs="Calibri" w:eastAsia="Calibri" w:hAnsi="Calibri"/>
                <w:sz w:val="22"/>
                <w:szCs w:val="22"/>
              </w:rPr>
              <w:t xml:space="preserve">FastAPI (Python)</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ORM</w:t>
            </w:r>
          </w:p>
        </w:tc>
        <w:tc>
          <w:tcPr>
            <w:tcW w:type="dxa" w:w="3116"/>
            <w:tcMar>
              <w:top w:type="dxa" w:w="100"/>
              <w:left w:type="dxa" w:w="120"/>
              <w:bottom w:type="dxa" w:w="100"/>
              <w:right w:type="dxa" w:w="120"/>
            </w:tcMar>
          </w:tcPr>
          <w:p>
            <w:r>
              <w:rPr>
                <w:rFonts w:ascii="Calibri" w:cs="Calibri" w:eastAsia="Calibri" w:hAnsi="Calibri"/>
                <w:sz w:val="22"/>
                <w:szCs w:val="22"/>
              </w:rPr>
              <w:t xml:space="preserve">Maps Python model classes to database tables</w:t>
            </w:r>
          </w:p>
        </w:tc>
        <w:tc>
          <w:tcPr>
            <w:tcW w:type="dxa" w:w="3116"/>
            <w:tcMar>
              <w:top w:type="dxa" w:w="100"/>
              <w:left w:type="dxa" w:w="120"/>
              <w:bottom w:type="dxa" w:w="100"/>
              <w:right w:type="dxa" w:w="120"/>
            </w:tcMar>
          </w:tcPr>
          <w:p>
            <w:r>
              <w:rPr>
                <w:rFonts w:ascii="Calibri" w:cs="Calibri" w:eastAsia="Calibri" w:hAnsi="Calibri"/>
                <w:sz w:val="22"/>
                <w:szCs w:val="22"/>
              </w:rPr>
              <w:t xml:space="preserve">SQLAlchemy 2.0</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Production Database</w:t>
            </w:r>
          </w:p>
        </w:tc>
        <w:tc>
          <w:tcPr>
            <w:tcW w:type="dxa" w:w="3116"/>
            <w:tcMar>
              <w:top w:type="dxa" w:w="100"/>
              <w:left w:type="dxa" w:w="120"/>
              <w:bottom w:type="dxa" w:w="100"/>
              <w:right w:type="dxa" w:w="120"/>
            </w:tcMar>
          </w:tcPr>
          <w:p>
            <w:r>
              <w:rPr>
                <w:rFonts w:ascii="Calibri" w:cs="Calibri" w:eastAsia="Calibri" w:hAnsi="Calibri"/>
                <w:sz w:val="22"/>
                <w:szCs w:val="22"/>
              </w:rPr>
              <w:t xml:space="preserve">Persistent relational store for users, loans, settlements, and letters</w:t>
            </w:r>
          </w:p>
        </w:tc>
        <w:tc>
          <w:tcPr>
            <w:tcW w:type="dxa" w:w="3116"/>
            <w:tcMar>
              <w:top w:type="dxa" w:w="100"/>
              <w:left w:type="dxa" w:w="120"/>
              <w:bottom w:type="dxa" w:w="100"/>
              <w:right w:type="dxa" w:w="120"/>
            </w:tcMar>
          </w:tcPr>
          <w:p>
            <w:r>
              <w:rPr>
                <w:rFonts w:ascii="Calibri" w:cs="Calibri" w:eastAsia="Calibri" w:hAnsi="Calibri"/>
                <w:sz w:val="22"/>
                <w:szCs w:val="22"/>
              </w:rPr>
              <w:t xml:space="preserve">Neon serverless PostgreSQL</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Test Database</w:t>
            </w:r>
          </w:p>
        </w:tc>
        <w:tc>
          <w:tcPr>
            <w:tcW w:type="dxa" w:w="3116"/>
            <w:tcMar>
              <w:top w:type="dxa" w:w="100"/>
              <w:left w:type="dxa" w:w="120"/>
              <w:bottom w:type="dxa" w:w="100"/>
              <w:right w:type="dxa" w:w="120"/>
            </w:tcMar>
          </w:tcPr>
          <w:p>
            <w:r>
              <w:rPr>
                <w:rFonts w:ascii="Calibri" w:cs="Calibri" w:eastAsia="Calibri" w:hAnsi="Calibri"/>
                <w:sz w:val="22"/>
                <w:szCs w:val="22"/>
              </w:rPr>
              <w:t xml:space="preserve">Isolated, disposable database used only during automated tests</w:t>
            </w:r>
          </w:p>
        </w:tc>
        <w:tc>
          <w:tcPr>
            <w:tcW w:type="dxa" w:w="3116"/>
            <w:tcMar>
              <w:top w:type="dxa" w:w="100"/>
              <w:left w:type="dxa" w:w="120"/>
              <w:bottom w:type="dxa" w:w="100"/>
              <w:right w:type="dxa" w:w="120"/>
            </w:tcMar>
          </w:tcPr>
          <w:p>
            <w:r>
              <w:rPr>
                <w:rFonts w:ascii="Calibri" w:cs="Calibri" w:eastAsia="Calibri" w:hAnsi="Calibri"/>
                <w:sz w:val="22"/>
                <w:szCs w:val="22"/>
              </w:rPr>
              <w:t xml:space="preserve">SQLite</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Authentication</w:t>
            </w:r>
          </w:p>
        </w:tc>
        <w:tc>
          <w:tcPr>
            <w:tcW w:type="dxa" w:w="3116"/>
            <w:tcMar>
              <w:top w:type="dxa" w:w="100"/>
              <w:left w:type="dxa" w:w="120"/>
              <w:bottom w:type="dxa" w:w="100"/>
              <w:right w:type="dxa" w:w="120"/>
            </w:tcMar>
          </w:tcPr>
          <w:p>
            <w:r>
              <w:rPr>
                <w:rFonts w:ascii="Calibri" w:cs="Calibri" w:eastAsia="Calibri" w:hAnsi="Calibri"/>
                <w:sz w:val="22"/>
                <w:szCs w:val="22"/>
              </w:rPr>
              <w:t xml:space="preserve">Token issuance and verification</w:t>
            </w:r>
          </w:p>
        </w:tc>
        <w:tc>
          <w:tcPr>
            <w:tcW w:type="dxa" w:w="3116"/>
            <w:tcMar>
              <w:top w:type="dxa" w:w="100"/>
              <w:left w:type="dxa" w:w="120"/>
              <w:bottom w:type="dxa" w:w="100"/>
              <w:right w:type="dxa" w:w="120"/>
            </w:tcMar>
          </w:tcPr>
          <w:p>
            <w:r>
              <w:rPr>
                <w:rFonts w:ascii="Calibri" w:cs="Calibri" w:eastAsia="Calibri" w:hAnsi="Calibri"/>
                <w:sz w:val="22"/>
                <w:szCs w:val="22"/>
              </w:rPr>
              <w:t xml:space="preserve">JWT (python-jose) + bcrypt password hashing</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Rate Limiting</w:t>
            </w:r>
          </w:p>
        </w:tc>
        <w:tc>
          <w:tcPr>
            <w:tcW w:type="dxa" w:w="3116"/>
            <w:tcMar>
              <w:top w:type="dxa" w:w="100"/>
              <w:left w:type="dxa" w:w="120"/>
              <w:bottom w:type="dxa" w:w="100"/>
              <w:right w:type="dxa" w:w="120"/>
            </w:tcMar>
          </w:tcPr>
          <w:p>
            <w:r>
              <w:rPr>
                <w:rFonts w:ascii="Calibri" w:cs="Calibri" w:eastAsia="Calibri" w:hAnsi="Calibri"/>
                <w:sz w:val="22"/>
                <w:szCs w:val="22"/>
              </w:rPr>
              <w:t xml:space="preserve">Protects API endpoints from abuse</w:t>
            </w:r>
          </w:p>
        </w:tc>
        <w:tc>
          <w:tcPr>
            <w:tcW w:type="dxa" w:w="3116"/>
            <w:tcMar>
              <w:top w:type="dxa" w:w="100"/>
              <w:left w:type="dxa" w:w="120"/>
              <w:bottom w:type="dxa" w:w="100"/>
              <w:right w:type="dxa" w:w="120"/>
            </w:tcMar>
          </w:tcPr>
          <w:p>
            <w:r>
              <w:rPr>
                <w:rFonts w:ascii="Calibri" w:cs="Calibri" w:eastAsia="Calibri" w:hAnsi="Calibri"/>
                <w:sz w:val="22"/>
                <w:szCs w:val="22"/>
              </w:rPr>
              <w:t xml:space="preserve">SlowAPI</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AI Integration</w:t>
            </w:r>
          </w:p>
        </w:tc>
        <w:tc>
          <w:tcPr>
            <w:tcW w:type="dxa" w:w="3116"/>
            <w:tcMar>
              <w:top w:type="dxa" w:w="100"/>
              <w:left w:type="dxa" w:w="120"/>
              <w:bottom w:type="dxa" w:w="100"/>
              <w:right w:type="dxa" w:w="120"/>
            </w:tcMar>
          </w:tcPr>
          <w:p>
            <w:r>
              <w:rPr>
                <w:rFonts w:ascii="Calibri" w:cs="Calibri" w:eastAsia="Calibri" w:hAnsi="Calibri"/>
                <w:sz w:val="22"/>
                <w:szCs w:val="22"/>
              </w:rPr>
              <w:t xml:space="preserve">Drafts the OTS negotiation letter body</w:t>
            </w:r>
          </w:p>
        </w:tc>
        <w:tc>
          <w:tcPr>
            <w:tcW w:type="dxa" w:w="3116"/>
            <w:tcMar>
              <w:top w:type="dxa" w:w="100"/>
              <w:left w:type="dxa" w:w="120"/>
              <w:bottom w:type="dxa" w:w="100"/>
              <w:right w:type="dxa" w:w="120"/>
            </w:tcMar>
          </w:tcPr>
          <w:p>
            <w:r>
              <w:rPr>
                <w:rFonts w:ascii="Calibri" w:cs="Calibri" w:eastAsia="Calibri" w:hAnsi="Calibri"/>
                <w:sz w:val="22"/>
                <w:szCs w:val="22"/>
              </w:rPr>
              <w:t xml:space="preserve">Google Gemini 2.0 Flash</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PDF Generation</w:t>
            </w:r>
          </w:p>
        </w:tc>
        <w:tc>
          <w:tcPr>
            <w:tcW w:type="dxa" w:w="3116"/>
            <w:tcMar>
              <w:top w:type="dxa" w:w="100"/>
              <w:left w:type="dxa" w:w="120"/>
              <w:bottom w:type="dxa" w:w="100"/>
              <w:right w:type="dxa" w:w="120"/>
            </w:tcMar>
          </w:tcPr>
          <w:p>
            <w:r>
              <w:rPr>
                <w:rFonts w:ascii="Calibri" w:cs="Calibri" w:eastAsia="Calibri" w:hAnsi="Calibri"/>
                <w:sz w:val="22"/>
                <w:szCs w:val="22"/>
              </w:rPr>
              <w:t xml:space="preserve">Renders the negotiation letter as a downloadable PDF</w:t>
            </w:r>
          </w:p>
        </w:tc>
        <w:tc>
          <w:tcPr>
            <w:tcW w:type="dxa" w:w="3116"/>
            <w:tcMar>
              <w:top w:type="dxa" w:w="100"/>
              <w:left w:type="dxa" w:w="120"/>
              <w:bottom w:type="dxa" w:w="100"/>
              <w:right w:type="dxa" w:w="120"/>
            </w:tcMar>
          </w:tcPr>
          <w:p>
            <w:r>
              <w:rPr>
                <w:rFonts w:ascii="Calibri" w:cs="Calibri" w:eastAsia="Calibri" w:hAnsi="Calibri"/>
                <w:sz w:val="22"/>
                <w:szCs w:val="22"/>
              </w:rPr>
              <w:t xml:space="preserve">ReportLab</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Frontend Linting</w:t>
            </w:r>
          </w:p>
        </w:tc>
        <w:tc>
          <w:tcPr>
            <w:tcW w:type="dxa" w:w="3116"/>
            <w:tcMar>
              <w:top w:type="dxa" w:w="100"/>
              <w:left w:type="dxa" w:w="120"/>
              <w:bottom w:type="dxa" w:w="100"/>
              <w:right w:type="dxa" w:w="120"/>
            </w:tcMar>
          </w:tcPr>
          <w:p>
            <w:r>
              <w:rPr>
                <w:rFonts w:ascii="Calibri" w:cs="Calibri" w:eastAsia="Calibri" w:hAnsi="Calibri"/>
                <w:sz w:val="22"/>
                <w:szCs w:val="22"/>
              </w:rPr>
              <w:t xml:space="preserve">Enforces code quality on the client</w:t>
            </w:r>
          </w:p>
        </w:tc>
        <w:tc>
          <w:tcPr>
            <w:tcW w:type="dxa" w:w="3116"/>
            <w:tcMar>
              <w:top w:type="dxa" w:w="100"/>
              <w:left w:type="dxa" w:w="120"/>
              <w:bottom w:type="dxa" w:w="100"/>
              <w:right w:type="dxa" w:w="120"/>
            </w:tcMar>
          </w:tcPr>
          <w:p>
            <w:r>
              <w:rPr>
                <w:rFonts w:ascii="Calibri" w:cs="Calibri" w:eastAsia="Calibri" w:hAnsi="Calibri"/>
                <w:sz w:val="22"/>
                <w:szCs w:val="22"/>
              </w:rPr>
              <w:t xml:space="preserve">oxlint</w:t>
            </w:r>
          </w:p>
        </w:tc>
      </w:tr>
      <w:tr>
        <w:trPr>
          <w:tblHeader w:val="false"/>
        </w:trPr>
        <w:tc>
          <w:tcPr>
            <w:tcW w:type="dxa" w:w="3116"/>
            <w:tcMar>
              <w:top w:type="dxa" w:w="100"/>
              <w:left w:type="dxa" w:w="120"/>
              <w:bottom w:type="dxa" w:w="100"/>
              <w:right w:type="dxa" w:w="120"/>
            </w:tcMar>
          </w:tcPr>
          <w:p>
            <w:r>
              <w:rPr>
                <w:rFonts w:ascii="Calibri" w:cs="Calibri" w:eastAsia="Calibri" w:hAnsi="Calibri"/>
                <w:sz w:val="22"/>
                <w:szCs w:val="22"/>
              </w:rPr>
              <w:t xml:space="preserve">Test Framework</w:t>
            </w:r>
          </w:p>
        </w:tc>
        <w:tc>
          <w:tcPr>
            <w:tcW w:type="dxa" w:w="3116"/>
            <w:tcMar>
              <w:top w:type="dxa" w:w="100"/>
              <w:left w:type="dxa" w:w="120"/>
              <w:bottom w:type="dxa" w:w="100"/>
              <w:right w:type="dxa" w:w="120"/>
            </w:tcMar>
          </w:tcPr>
          <w:p>
            <w:r>
              <w:rPr>
                <w:rFonts w:ascii="Calibri" w:cs="Calibri" w:eastAsia="Calibri" w:hAnsi="Calibri"/>
                <w:sz w:val="22"/>
                <w:szCs w:val="22"/>
              </w:rPr>
              <w:t xml:space="preserve">Backend automated test suite</w:t>
            </w:r>
          </w:p>
        </w:tc>
        <w:tc>
          <w:tcPr>
            <w:tcW w:type="dxa" w:w="3116"/>
            <w:tcMar>
              <w:top w:type="dxa" w:w="100"/>
              <w:left w:type="dxa" w:w="120"/>
              <w:bottom w:type="dxa" w:w="100"/>
              <w:right w:type="dxa" w:w="120"/>
            </w:tcMar>
          </w:tcPr>
          <w:p>
            <w:r>
              <w:rPr>
                <w:rFonts w:ascii="Calibri" w:cs="Calibri" w:eastAsia="Calibri" w:hAnsi="Calibri"/>
                <w:sz w:val="22"/>
                <w:szCs w:val="22"/>
              </w:rPr>
              <w:t xml:space="preserve">Pytest + HTTPX</w:t>
            </w:r>
          </w:p>
        </w:tc>
      </w:tr>
    </w:tbl>
    <w:p>
      <w:pPr>
        <w:spacing w:after="160"/>
      </w:pPr>
    </w:p>
    <w:p>
      <w:pPr>
        <w:pBdr>
          <w:bottom w:val="single" w:color="BFBFBF" w:sz="6" w:space="1"/>
        </w:pBdr>
        <w:spacing w:after="200"/>
      </w:pPr>
    </w:p>
    <w:p>
      <w:pPr>
        <w:pStyle w:val="Heading1"/>
        <w:spacing w:after="140" w:before="300"/>
      </w:pPr>
      <w:r>
        <w:t xml:space="preserve">3. Request Lifecycle</w:t>
      </w:r>
    </w:p>
    <w:p>
      <w:pPr>
        <w:spacing w:after="140"/>
        <w:jc w:val="both"/>
      </w:pPr>
      <w:r>
        <w:rPr>
          <w:rFonts w:ascii="Calibri" w:cs="Calibri" w:eastAsia="Calibri" w:hAnsi="Calibri"/>
          <w:sz w:val="22"/>
          <w:szCs w:val="22"/>
        </w:rPr>
        <w:t xml:space="preserve">The following describes what happens end-to-end for a typical feature — generating a negotiation letter:</w:t>
      </w:r>
    </w:p>
    <w:p>
      <w:pPr>
        <w:pStyle w:val="ListParagraph"/>
        <w:numPr>
          <w:ilvl w:val="0"/>
          <w:numId w:val="2"/>
        </w:numPr>
        <w:spacing w:after="60"/>
      </w:pPr>
      <w:r>
        <w:rPr>
          <w:rFonts w:ascii="Calibri" w:cs="Calibri" w:eastAsia="Calibri" w:hAnsi="Calibri"/>
          <w:sz w:val="22"/>
          <w:szCs w:val="22"/>
        </w:rPr>
        <w:t xml:space="preserve">The React frontend sends </w:t>
      </w:r>
      <w:r>
        <w:rPr>
          <w:rFonts w:ascii="Consolas" w:cs="Consolas" w:eastAsia="Consolas" w:hAnsi="Consolas"/>
          <w:sz w:val="20"/>
          <w:szCs w:val="20"/>
        </w:rPr>
        <w:t xml:space="preserve">POST /letters/{loan_id}</w:t>
      </w:r>
      <w:r>
        <w:rPr>
          <w:rFonts w:ascii="Calibri" w:cs="Calibri" w:eastAsia="Calibri" w:hAnsi="Calibri"/>
          <w:sz w:val="22"/>
          <w:szCs w:val="22"/>
        </w:rPr>
        <w:t xml:space="preserve"> via Axios, with the JWT attached in the </w:t>
      </w:r>
      <w:r>
        <w:rPr>
          <w:rFonts w:ascii="Consolas" w:cs="Consolas" w:eastAsia="Consolas" w:hAnsi="Consolas"/>
          <w:sz w:val="20"/>
          <w:szCs w:val="20"/>
        </w:rPr>
        <w:t xml:space="preserve">Authorization</w:t>
      </w:r>
      <w:r>
        <w:rPr>
          <w:rFonts w:ascii="Calibri" w:cs="Calibri" w:eastAsia="Calibri" w:hAnsi="Calibri"/>
          <w:sz w:val="22"/>
          <w:szCs w:val="22"/>
        </w:rPr>
        <w:t xml:space="preserve"> header.</w:t>
      </w:r>
    </w:p>
    <w:p>
      <w:pPr>
        <w:pStyle w:val="ListParagraph"/>
        <w:numPr>
          <w:ilvl w:val="0"/>
          <w:numId w:val="2"/>
        </w:numPr>
        <w:spacing w:after="60"/>
      </w:pPr>
      <w:r>
        <w:rPr>
          <w:rFonts w:ascii="Calibri" w:cs="Calibri" w:eastAsia="Calibri" w:hAnsi="Calibri"/>
          <w:sz w:val="22"/>
          <w:szCs w:val="22"/>
        </w:rPr>
        <w:t xml:space="preserve">FastAPI verifies the JWT and validates the request through Pydantic before any business logic runs.</w:t>
      </w:r>
    </w:p>
    <w:p>
      <w:pPr>
        <w:pStyle w:val="ListParagraph"/>
        <w:numPr>
          <w:ilvl w:val="0"/>
          <w:numId w:val="2"/>
        </w:numPr>
        <w:spacing w:after="60"/>
      </w:pPr>
      <w:r>
        <w:rPr>
          <w:rFonts w:ascii="Calibri" w:cs="Calibri" w:eastAsia="Calibri" w:hAnsi="Calibri"/>
          <w:sz w:val="22"/>
          <w:szCs w:val="22"/>
        </w:rPr>
        <w:t xml:space="preserve">The letters router pulls the loan's stored financial data and calls the Gemini client to draft the letter body.</w:t>
      </w:r>
    </w:p>
    <w:p>
      <w:pPr>
        <w:pStyle w:val="ListParagraph"/>
        <w:numPr>
          <w:ilvl w:val="0"/>
          <w:numId w:val="2"/>
        </w:numPr>
        <w:spacing w:after="60"/>
      </w:pPr>
      <w:r>
        <w:rPr>
          <w:rFonts w:ascii="Calibri" w:cs="Calibri" w:eastAsia="Calibri" w:hAnsi="Calibri"/>
          <w:sz w:val="22"/>
          <w:szCs w:val="22"/>
        </w:rPr>
        <w:t xml:space="preserve">If the Gemini API key is valid and the call succeeds, the letter is generated and tagged as AI-sourced.</w:t>
      </w:r>
    </w:p>
    <w:p>
      <w:pPr>
        <w:pStyle w:val="ListParagraph"/>
        <w:numPr>
          <w:ilvl w:val="0"/>
          <w:numId w:val="2"/>
        </w:numPr>
        <w:spacing w:after="60"/>
      </w:pPr>
      <w:r>
        <w:rPr>
          <w:rFonts w:ascii="Calibri" w:cs="Calibri" w:eastAsia="Calibri" w:hAnsi="Calibri"/>
          <w:sz w:val="22"/>
          <w:szCs w:val="22"/>
        </w:rPr>
        <w:t xml:space="preserve">If the Gemini call fails — timeout, non-2xx response, or an unparseable response — the backend automatically falls back to a static professional template instead, and the letter is tagged accordingly.</w:t>
      </w:r>
    </w:p>
    <w:p>
      <w:pPr>
        <w:pStyle w:val="ListParagraph"/>
        <w:numPr>
          <w:ilvl w:val="0"/>
          <w:numId w:val="2"/>
        </w:numPr>
        <w:spacing w:after="60"/>
      </w:pPr>
      <w:r>
        <w:rPr>
          <w:rFonts w:ascii="Calibri" w:cs="Calibri" w:eastAsia="Calibri" w:hAnsi="Calibri"/>
          <w:sz w:val="22"/>
          <w:szCs w:val="22"/>
        </w:rPr>
        <w:t xml:space="preserve">The letter is saved through SQLAlchemy into Neon PostgreSQL, and the JSON response is returned to the frontend for display or PDF download.</w:t>
      </w:r>
    </w:p>
    <w:p>
      <w:pPr>
        <w:spacing w:after="140"/>
        <w:jc w:val="both"/>
      </w:pPr>
      <w:r>
        <w:rPr>
          <w:rFonts w:ascii="Calibri" w:cs="Calibri" w:eastAsia="Calibri" w:hAnsi="Calibri"/>
          <w:sz w:val="22"/>
          <w:szCs w:val="22"/>
        </w:rPr>
        <w:t xml:space="preserve">This same fallback pattern is what keeps the letter-generation feature functional even when the external AI service is unavailable — a small design decision, but one that matters more than most in a feature that borrowers may be relying on at a stressful moment.</w:t>
      </w:r>
    </w:p>
    <w:p>
      <w:pPr>
        <w:pBdr>
          <w:bottom w:val="single" w:color="BFBFBF" w:sz="6" w:space="1"/>
        </w:pBdr>
        <w:spacing w:after="200"/>
      </w:pPr>
    </w:p>
    <w:p>
      <w:pPr>
        <w:pStyle w:val="Heading1"/>
        <w:spacing w:after="140" w:before="300"/>
      </w:pPr>
      <w:r>
        <w:t xml:space="preserve">4. Database Design</w:t>
      </w:r>
    </w:p>
    <w:p>
      <w:pPr>
        <w:spacing w:after="140"/>
        <w:jc w:val="both"/>
      </w:pPr>
      <w:r>
        <w:rPr>
          <w:rFonts w:ascii="Calibri" w:cs="Calibri" w:eastAsia="Calibri" w:hAnsi="Calibri"/>
          <w:sz w:val="22"/>
          <w:szCs w:val="22"/>
        </w:rPr>
        <w:t xml:space="preserve">The schema is organised around four related entities:</w:t>
      </w:r>
    </w:p>
    <w:p>
      <w:pPr>
        <w:pStyle w:val="ListParagraph"/>
        <w:numPr>
          <w:ilvl w:val="0"/>
          <w:numId w:val="1"/>
        </w:numPr>
        <w:spacing w:after="60"/>
      </w:pPr>
      <w:r>
        <w:rPr>
          <w:rFonts w:ascii="Calibri" w:cs="Calibri" w:eastAsia="Calibri" w:hAnsi="Calibri"/>
          <w:b/>
          <w:bCs/>
          <w:sz w:val="22"/>
          <w:szCs w:val="22"/>
        </w:rPr>
        <w:t xml:space="preserve">Users</w:t>
      </w:r>
      <w:r>
        <w:rPr>
          <w:rFonts w:ascii="Calibri" w:cs="Calibri" w:eastAsia="Calibri" w:hAnsi="Calibri"/>
          <w:sz w:val="22"/>
          <w:szCs w:val="22"/>
        </w:rPr>
        <w:t xml:space="preserve"> — account details, hashed passwords, and authentication metadata</w:t>
      </w:r>
    </w:p>
    <w:p>
      <w:pPr>
        <w:pStyle w:val="ListParagraph"/>
        <w:numPr>
          <w:ilvl w:val="0"/>
          <w:numId w:val="1"/>
        </w:numPr>
        <w:spacing w:after="60"/>
      </w:pPr>
      <w:r>
        <w:rPr>
          <w:rFonts w:ascii="Calibri" w:cs="Calibri" w:eastAsia="Calibri" w:hAnsi="Calibri"/>
          <w:b/>
          <w:bCs/>
          <w:sz w:val="22"/>
          <w:szCs w:val="22"/>
        </w:rPr>
        <w:t xml:space="preserve">Loans</w:t>
      </w:r>
      <w:r>
        <w:rPr>
          <w:rFonts w:ascii="Calibri" w:cs="Calibri" w:eastAsia="Calibri" w:hAnsi="Calibri"/>
          <w:sz w:val="22"/>
          <w:szCs w:val="22"/>
        </w:rPr>
        <w:t xml:space="preserve"> — the borrower's loan details: lender, amount, EMI, overdue days, monthly income</w:t>
      </w:r>
    </w:p>
    <w:p>
      <w:pPr>
        <w:pStyle w:val="ListParagraph"/>
        <w:numPr>
          <w:ilvl w:val="0"/>
          <w:numId w:val="1"/>
        </w:numPr>
        <w:spacing w:after="60"/>
      </w:pPr>
      <w:r>
        <w:rPr>
          <w:rFonts w:ascii="Calibri" w:cs="Calibri" w:eastAsia="Calibri" w:hAnsi="Calibri"/>
          <w:b/>
          <w:bCs/>
          <w:sz w:val="22"/>
          <w:szCs w:val="22"/>
        </w:rPr>
        <w:t xml:space="preserve">Settlement Snapshots</w:t>
      </w:r>
      <w:r>
        <w:rPr>
          <w:rFonts w:ascii="Calibri" w:cs="Calibri" w:eastAsia="Calibri" w:hAnsi="Calibri"/>
          <w:sz w:val="22"/>
          <w:szCs w:val="22"/>
        </w:rPr>
        <w:t xml:space="preserve"> — a record of each settlement calculation run against a loan, including DTI ratio and stress level, used to power the dashboard's trend charts over time</w:t>
      </w:r>
    </w:p>
    <w:p>
      <w:pPr>
        <w:pStyle w:val="ListParagraph"/>
        <w:numPr>
          <w:ilvl w:val="0"/>
          <w:numId w:val="1"/>
        </w:numPr>
        <w:spacing w:after="60"/>
      </w:pPr>
      <w:r>
        <w:rPr>
          <w:rFonts w:ascii="Calibri" w:cs="Calibri" w:eastAsia="Calibri" w:hAnsi="Calibri"/>
          <w:b/>
          <w:bCs/>
          <w:sz w:val="22"/>
          <w:szCs w:val="22"/>
        </w:rPr>
        <w:t xml:space="preserve">Negotiation Letters</w:t>
      </w:r>
      <w:r>
        <w:rPr>
          <w:rFonts w:ascii="Calibri" w:cs="Calibri" w:eastAsia="Calibri" w:hAnsi="Calibri"/>
          <w:sz w:val="22"/>
          <w:szCs w:val="22"/>
        </w:rPr>
        <w:t xml:space="preserve"> — the generated letter body, along with whether it came from Gemini or the fallback template, and a version history per loan</w:t>
      </w:r>
    </w:p>
    <w:p>
      <w:pPr>
        <w:spacing w:after="140"/>
        <w:jc w:val="both"/>
      </w:pPr>
      <w:r>
        <w:rPr>
          <w:rFonts w:ascii="Calibri" w:cs="Calibri" w:eastAsia="Calibri" w:hAnsi="Calibri"/>
          <w:sz w:val="22"/>
          <w:szCs w:val="22"/>
        </w:rPr>
        <w:t xml:space="preserve">Each loan can have multiple settlement snapshots and multiple letters over time, which is what allows the dashboard to show progress rather than a single static number.</w:t>
      </w:r>
    </w:p>
    <w:p>
      <w:pPr>
        <w:pBdr>
          <w:bottom w:val="single" w:color="BFBFBF" w:sz="6" w:space="1"/>
        </w:pBdr>
        <w:spacing w:after="200"/>
      </w:pPr>
    </w:p>
    <w:p>
      <w:pPr>
        <w:pStyle w:val="Heading1"/>
        <w:spacing w:after="140" w:before="300"/>
      </w:pPr>
      <w:r>
        <w:t xml:space="preserve">5. Why Neon PostgreSQL Instead of a Local Database</w:t>
      </w:r>
    </w:p>
    <w:p>
      <w:pPr>
        <w:spacing w:after="140"/>
        <w:jc w:val="both"/>
      </w:pPr>
      <w:r>
        <w:rPr>
          <w:rFonts w:ascii="Calibri" w:cs="Calibri" w:eastAsia="Calibri" w:hAnsi="Calibri"/>
          <w:sz w:val="22"/>
          <w:szCs w:val="22"/>
        </w:rPr>
        <w:t xml:space="preserve">The production database is Neon's serverless PostgreSQL rather than a locally hosted database file, for a reason specific to how the app is deployed. Render and Vercel both use ephemeral filesystems — anything written to local disk is wiped on every redeploy. A file-based database sitting in that environment would lose all user data the next time the app redeploys. Neon, by contrast, is hosted independently of the application's own deploy lifecycle, so the data persists regardless of how often the backend itself is redeployed.</w:t>
      </w:r>
    </w:p>
    <w:p>
      <w:pPr>
        <w:spacing w:after="140"/>
        <w:jc w:val="both"/>
      </w:pPr>
      <w:r>
        <w:rPr>
          <w:rFonts w:ascii="Calibri" w:cs="Calibri" w:eastAsia="Calibri" w:hAnsi="Calibri"/>
          <w:sz w:val="22"/>
          <w:szCs w:val="22"/>
        </w:rPr>
        <w:t xml:space="preserve">SQLite is still used, but only for the isolated automated test suite, where a disposable, file-based database is actually the right tool — each test run gets a clean slate with no risk to real user data.</w:t>
      </w:r>
    </w:p>
    <w:p>
      <w:pPr>
        <w:pBdr>
          <w:bottom w:val="single" w:color="BFBFBF" w:sz="6" w:space="1"/>
        </w:pBdr>
        <w:spacing w:after="200"/>
      </w:pPr>
    </w:p>
    <w:p>
      <w:pPr>
        <w:pStyle w:val="Heading1"/>
        <w:spacing w:after="140" w:before="300"/>
      </w:pPr>
      <w:r>
        <w:t xml:space="preserve">6. Application Characteristics</w:t>
      </w:r>
    </w:p>
    <w:p>
      <w:pPr>
        <w:spacing w:after="140"/>
        <w:jc w:val="both"/>
      </w:pPr>
      <w:r>
        <w:rPr>
          <w:rFonts w:ascii="Calibri" w:cs="Calibri" w:eastAsia="Calibri" w:hAnsi="Calibri"/>
          <w:b/>
          <w:bCs/>
          <w:sz w:val="22"/>
          <w:szCs w:val="22"/>
        </w:rPr>
        <w:t xml:space="preserve">Scalability</w:t>
      </w:r>
      <w:r>
        <w:rPr>
          <w:rFonts w:ascii="Calibri" w:cs="Calibri" w:eastAsia="Calibri" w:hAnsi="Calibri"/>
          <w:sz w:val="22"/>
          <w:szCs w:val="22"/>
        </w:rPr>
        <w:t xml:space="preserve"> — The frontend and backend are deployed as separate services and can be scaled independently. Because the backend is stateless (JWT-based, no server-side session storage), multiple backend instances can run behind a load balancer without any shared session state to coordinate.</w:t>
      </w:r>
    </w:p>
    <w:p>
      <w:pPr>
        <w:spacing w:after="140"/>
        <w:jc w:val="both"/>
      </w:pPr>
      <w:r>
        <w:rPr>
          <w:rFonts w:ascii="Calibri" w:cs="Calibri" w:eastAsia="Calibri" w:hAnsi="Calibri"/>
          <w:b/>
          <w:bCs/>
          <w:sz w:val="22"/>
          <w:szCs w:val="22"/>
        </w:rPr>
        <w:t xml:space="preserve">Security</w:t>
      </w:r>
      <w:r>
        <w:rPr>
          <w:rFonts w:ascii="Calibri" w:cs="Calibri" w:eastAsia="Calibri" w:hAnsi="Calibri"/>
          <w:sz w:val="22"/>
          <w:szCs w:val="22"/>
        </w:rPr>
        <w:t xml:space="preserve"> — Passwords are hashed with bcrypt before storage; sessions are handled through signed JWTs rather than server-side session storage; secrets (database URL, JWT signing key, Gemini API key) are loaded from environment variables and never committed to source control; SlowAPI rate-limits sensitive endpoints against abuse.</w:t>
      </w:r>
    </w:p>
    <w:p>
      <w:pPr>
        <w:spacing w:after="140"/>
        <w:jc w:val="both"/>
      </w:pPr>
      <w:r>
        <w:rPr>
          <w:rFonts w:ascii="Calibri" w:cs="Calibri" w:eastAsia="Calibri" w:hAnsi="Calibri"/>
          <w:b/>
          <w:bCs/>
          <w:sz w:val="22"/>
          <w:szCs w:val="22"/>
        </w:rPr>
        <w:t xml:space="preserve">Availability</w:t>
      </w:r>
      <w:r>
        <w:rPr>
          <w:rFonts w:ascii="Calibri" w:cs="Calibri" w:eastAsia="Calibri" w:hAnsi="Calibri"/>
          <w:sz w:val="22"/>
          <w:szCs w:val="22"/>
        </w:rPr>
        <w:t xml:space="preserve"> — The Gemini-with-fallback pattern described above means the negotiation letter feature keeps working even during an AI service outage, which is the single most availability-relevant design decision in the system.</w:t>
      </w:r>
    </w:p>
    <w:p>
      <w:pPr>
        <w:spacing w:after="140"/>
        <w:jc w:val="both"/>
      </w:pPr>
      <w:r>
        <w:rPr>
          <w:rFonts w:ascii="Calibri" w:cs="Calibri" w:eastAsia="Calibri" w:hAnsi="Calibri"/>
          <w:b/>
          <w:bCs/>
          <w:sz w:val="22"/>
          <w:szCs w:val="22"/>
        </w:rPr>
        <w:t xml:space="preserve">Performance</w:t>
      </w:r>
      <w:r>
        <w:rPr>
          <w:rFonts w:ascii="Calibri" w:cs="Calibri" w:eastAsia="Calibri" w:hAnsi="Calibri"/>
          <w:sz w:val="22"/>
          <w:szCs w:val="22"/>
        </w:rPr>
        <w:t xml:space="preserve"> — The settlement calculation itself is a pure, synchronous function with no external calls, so it returns near-instantly; the only latency-sensitive step in the system is the Gemini call during letter generation, which is time-boxed so a slow or failed AI response cannot hang the request indefinitely.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999999"/>
        <w:sz w:val="16"/>
        <w:szCs w:val="16"/>
      </w:rPr>
      <w:t xml:space="preserve">Confidential — SmartBridge Internship Program</w:t>
    </w:r>
    <w:r>
      <w:rPr>
        <w:rFonts w:ascii="Calibri" w:cs="Calibri" w:eastAsia="Calibri" w:hAnsi="Calibri"/>
      </w:rPr>
      <w:t xml:space="preserv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FinRelief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2026-07-20T08:14:16.675Z</dcterms:created>
  <dcterms:modified xsi:type="dcterms:W3CDTF">2026-07-20T08:14:16.675Z</dcterms:modified>
</cp:coreProperties>
</file>

<file path=docProps/custom.xml><?xml version="1.0" encoding="utf-8"?>
<Properties xmlns="http://schemas.openxmlformats.org/officeDocument/2006/custom-properties" xmlns:vt="http://schemas.openxmlformats.org/officeDocument/2006/docPropsVTypes"/>
</file>