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F1F1F"/>
          <w:sz w:val="40"/>
          <w:szCs w:val="40"/>
        </w:rPr>
        <w:t xml:space="preserve">FinRelief AI — Development Guide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SmartBridge Internship Program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Version 2.0.0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spacing w:after="140" w:before="300"/>
      </w:pPr>
      <w:r>
        <w:t xml:space="preserve">1. 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Python 3.11 or later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Node.js (for the React + Vite frontend)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Neon PostgreSQL connection string (for the production-equivalent database)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Google Gemini API key (optional — the app runs without one, using the fallback letter template)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spacing w:after="140" w:before="300"/>
      </w:pPr>
      <w:r>
        <w:t xml:space="preserve">2. Project Structure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repository is a monorepo split into two independently runnable services: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Fin-track-prototype/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backend/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main.py              # FastAPI entry point, wires up all routers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auth.py               # Registration, login, JWT handling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database.py           # SQLAlchemy engine + session setup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models.py             # Database models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schemas.py             # Pydantic request/response schemas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limiter.py             # SlowAPI rate limiting config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routers/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loans.py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settlement.py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letters.py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└── dashboard.py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utils/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calculations.py    # Debt stress / DTI / settlement logic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gemini_client.py   # Gemini call + fallback template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└── pdf_generator.py   # ReportLab PDF export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tests/                 # Pytest suite (SQLite-backed)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frontend/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src/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api/client.js      # Axios instance, auth header handling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context/           # Auth state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features/           # auth, dashboard, loans, settlement, letters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└── components/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vite.config.js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render.yaml                # Backend deployment config for Render</w:t>
      </w:r>
    </w:p>
    <w:p>
      <w:pPr>
        <w:spacing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frontend's </w:t>
      </w:r>
      <w:r>
        <w:rPr>
          <w:rFonts w:ascii="Consolas" w:cs="Consolas" w:eastAsia="Consolas" w:hAnsi="Consolas"/>
          <w:sz w:val="20"/>
          <w:szCs w:val="20"/>
        </w:rPr>
        <w:t xml:space="preserve">features/</w:t>
      </w:r>
      <w:r>
        <w:rPr>
          <w:rFonts w:ascii="Calibri" w:cs="Calibri" w:eastAsia="Calibri" w:hAnsi="Calibri"/>
          <w:sz w:val="22"/>
          <w:szCs w:val="22"/>
        </w:rPr>
        <w:t xml:space="preserve"> folders map one-to-one with the backend's </w:t>
      </w:r>
      <w:r>
        <w:rPr>
          <w:rFonts w:ascii="Consolas" w:cs="Consolas" w:eastAsia="Consolas" w:hAnsi="Consolas"/>
          <w:sz w:val="20"/>
          <w:szCs w:val="20"/>
        </w:rPr>
        <w:t xml:space="preserve">routers/</w:t>
      </w:r>
      <w:r>
        <w:rPr>
          <w:rFonts w:ascii="Calibri" w:cs="Calibri" w:eastAsia="Calibri" w:hAnsi="Calibri"/>
          <w:sz w:val="22"/>
          <w:szCs w:val="22"/>
        </w:rPr>
        <w:t xml:space="preserve"> — each feature area (loans, settlement, letters, dashboard) has a matching folder on both sides.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spacing w:after="140" w:before="300"/>
      </w:pPr>
      <w:r>
        <w:t xml:space="preserve">3. Environment Variables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Both </w:t>
      </w:r>
      <w:r>
        <w:rPr>
          <w:rFonts w:ascii="Consolas" w:cs="Consolas" w:eastAsia="Consolas" w:hAnsi="Consolas"/>
          <w:sz w:val="20"/>
          <w:szCs w:val="20"/>
        </w:rPr>
        <w:t xml:space="preserve">backend/.env.example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frontend/.env.example</w:t>
      </w:r>
      <w:r>
        <w:rPr>
          <w:rFonts w:ascii="Calibri" w:cs="Calibri" w:eastAsia="Calibri" w:hAnsi="Calibri"/>
          <w:sz w:val="22"/>
          <w:szCs w:val="22"/>
        </w:rPr>
        <w:t xml:space="preserve"> document the required variables. Actual values belong only in a local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file, and should never be committed.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2337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2337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2337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 PostgreSQL connection string (Neon). The app will not start without it.</w:t>
            </w:r>
          </w:p>
        </w:tc>
      </w:tr>
      <w:tr>
        <w:trPr>
          <w:tblHeader w:val="false"/>
        </w:trPr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FINRELIEF_SECRET_KEY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Signs JWT tokens. Should be a long, random string, unique per environment.</w:t>
            </w:r>
          </w:p>
        </w:tc>
      </w:tr>
      <w:tr>
        <w:trPr>
          <w:tblHeader w:val="false"/>
        </w:trPr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Enables AI letter generation. If missing or invalid, the app falls back to the static template automatically.</w:t>
            </w:r>
          </w:p>
        </w:tc>
      </w:tr>
      <w:tr>
        <w:trPr>
          <w:tblHeader w:val="false"/>
        </w:trPr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Used for CORS configuration, so only the deployed frontend origin can call the API.</w:t>
            </w:r>
          </w:p>
        </w:tc>
      </w:tr>
      <w:tr>
        <w:trPr>
          <w:tblHeader w:val="false"/>
        </w:trPr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 URL the frontend uses to reach the backend API.</w:t>
            </w:r>
          </w:p>
        </w:tc>
      </w:tr>
    </w:tbl>
    <w:p>
      <w:pPr>
        <w:spacing w:after="160"/>
      </w:pP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spacing w:after="140" w:before="300"/>
      </w:pPr>
      <w:r>
        <w:t xml:space="preserve">4. Running the Backend Locally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cd backend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uvicorn main:app --reload</w:t>
      </w:r>
    </w:p>
    <w:p>
      <w:pPr>
        <w:spacing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Once running, interactive API documentation is available at </w:t>
      </w:r>
      <w:r>
        <w:rPr>
          <w:rFonts w:ascii="Consolas" w:cs="Consolas" w:eastAsia="Consolas" w:hAnsi="Consolas"/>
          <w:sz w:val="20"/>
          <w:szCs w:val="20"/>
        </w:rPr>
        <w:t xml:space="preserve">http://localhost:8000/docs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spacing w:after="140" w:before="300"/>
      </w:pPr>
      <w:r>
        <w:t xml:space="preserve">5. Running the Frontend Locally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cd frontend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Vite dev server will print the local URL it's running on, typically </w:t>
      </w:r>
      <w:r>
        <w:rPr>
          <w:rFonts w:ascii="Consolas" w:cs="Consolas" w:eastAsia="Consolas" w:hAnsi="Consolas"/>
          <w:sz w:val="20"/>
          <w:szCs w:val="20"/>
        </w:rPr>
        <w:t xml:space="preserve">http://localhost:5173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spacing w:after="140" w:before="300"/>
      </w:pPr>
      <w:r>
        <w:t xml:space="preserve">6. Running the Test Suite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backend's automated tests run against an isolated SQLite database, kept completely separate from the Neon production database, so tests never touch real data.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cd backend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pytest</w:t>
      </w:r>
    </w:p>
    <w:p>
      <w:pPr>
        <w:spacing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suite covers financial calculation logic, authentication flows, and the Gemini fallback path (forcing Gemini to fail to confirm the static template is returned correctly).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spacing w:after="140" w:before="300"/>
      </w:pPr>
      <w:r>
        <w:t xml:space="preserve">7. Code Style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 Python code follows PEP 8.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 JavaScript is linted with oxlint and ESLint.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Commit messages follow the Conventional Commits format (e.g. </w:t>
      </w:r>
      <w:r>
        <w:rPr>
          <w:rFonts w:ascii="Consolas" w:cs="Consolas" w:eastAsia="Consolas" w:hAnsi="Consolas"/>
          <w:sz w:val="20"/>
          <w:szCs w:val="20"/>
        </w:rPr>
        <w:t xml:space="preserve">feat: add settlement snapshot endpoint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fix: correct DTI rounding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spacing w:after="140" w:before="300"/>
      </w:pPr>
      <w:r>
        <w:t xml:space="preserve">8. Deployment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116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3116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Vercel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Serves the Vite production build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Render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uvicorn main:app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; environment variables are configured in the Render dashboard, not committed to the repo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Database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Neon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Already cloud-hosted; no separate migration step is needed for deployment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Because Render and Vercel wipe local disk storage on every redeploy, all persistent data must live in Neon rather than any file-based store — this is also the reason SQLite is used only for tests, never for production.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spacing w:after="140" w:before="300"/>
      </w:pPr>
      <w:r>
        <w:t xml:space="preserve">9. Recommended Local Development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 the backend first and confirm </w:t>
      </w:r>
      <w:r>
        <w:rPr>
          <w:rFonts w:ascii="Consolas" w:cs="Consolas" w:eastAsia="Consolas" w:hAnsi="Consolas"/>
          <w:sz w:val="20"/>
          <w:szCs w:val="20"/>
        </w:rPr>
        <w:t xml:space="preserve">/health</w:t>
      </w:r>
      <w:r>
        <w:rPr>
          <w:rFonts w:ascii="Calibri" w:cs="Calibri" w:eastAsia="Calibri" w:hAnsi="Calibri"/>
          <w:sz w:val="22"/>
          <w:szCs w:val="22"/>
        </w:rPr>
        <w:t xml:space="preserve"> reports the database as connected.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 </w:t>
      </w:r>
      <w:r>
        <w:rPr>
          <w:rFonts w:ascii="Consolas" w:cs="Consolas" w:eastAsia="Consolas" w:hAnsi="Consolas"/>
          <w:sz w:val="20"/>
          <w:szCs w:val="20"/>
        </w:rPr>
        <w:t xml:space="preserve">/docs</w:t>
      </w:r>
      <w:r>
        <w:rPr>
          <w:rFonts w:ascii="Calibri" w:cs="Calibri" w:eastAsia="Calibri" w:hAnsi="Calibri"/>
          <w:sz w:val="22"/>
          <w:szCs w:val="22"/>
        </w:rPr>
        <w:t xml:space="preserve"> loads and manually exercise the auth endpoints via Swagger.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 the frontend and confirm it can register/log in against the local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the </w:t>
      </w:r>
      <w:r>
        <w:rPr>
          <w:rFonts w:ascii="Consolas" w:cs="Consolas" w:eastAsia="Consolas" w:hAnsi="Consolas"/>
          <w:sz w:val="20"/>
          <w:szCs w:val="20"/>
        </w:rPr>
        <w:t xml:space="preserve">/demo/seed</w:t>
      </w:r>
      <w:r>
        <w:rPr>
          <w:rFonts w:ascii="Calibri" w:cs="Calibri" w:eastAsia="Calibri" w:hAnsi="Calibri"/>
          <w:sz w:val="22"/>
          <w:szCs w:val="22"/>
        </w:rPr>
        <w:t xml:space="preserve"> endpoint (or the one-click demo login) to populate sample loans without entering real financial data, and exercise the settlement and letter-generation flows end to end.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— SmartBridge Internship Program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FinRelief AI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2026-07-20T08:14:17.010Z</dcterms:created>
  <dcterms:modified xsi:type="dcterms:W3CDTF">2026-07-20T08:14:17.010Z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