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Calibri" w:cs="Calibri" w:eastAsia="Calibri" w:hAnsi="Calibri"/>
          <w:b/>
          <w:bCs/>
          <w:color w:val="1F1F1F"/>
          <w:sz w:val="40"/>
          <w:szCs w:val="40"/>
        </w:rPr>
        <w:t xml:space="preserve">FinRelief AI — Project Blueprint</w:t>
      </w:r>
    </w:p>
    <w:p>
      <w:pPr>
        <w:spacing w:after="80" w:before="160"/>
      </w:pPr>
      <w:r>
        <w:rPr>
          <w:rFonts w:ascii="Calibri" w:cs="Calibri" w:eastAsia="Calibri" w:hAnsi="Calibri"/>
          <w:b/>
          <w:bCs/>
          <w:i w:val="false"/>
          <w:iCs w:val="false"/>
          <w:sz w:val="22"/>
          <w:szCs w:val="22"/>
        </w:rPr>
        <w:t xml:space="preserve">SmartBridge Internship Program</w:t>
      </w:r>
    </w:p>
    <w:p>
      <w:pPr>
        <w:spacing w:after="140"/>
        <w:jc w:val="both"/>
      </w:pPr>
      <w:r>
        <w:rPr>
          <w:rFonts w:ascii="Calibri" w:cs="Calibri" w:eastAsia="Calibri" w:hAnsi="Calibri"/>
          <w:sz w:val="22"/>
          <w:szCs w:val="22"/>
        </w:rPr>
        <w:t xml:space="preserve">Version 2.0.0</w:t>
      </w:r>
    </w:p>
    <w:p>
      <w:pPr>
        <w:pBdr>
          <w:bottom w:val="single" w:color="BFBFBF" w:sz="6" w:space="1"/>
        </w:pBdr>
        <w:spacing w:after="200"/>
      </w:pPr>
    </w:p>
    <w:p>
      <w:pPr>
        <w:pStyle w:val="Heading1"/>
        <w:spacing w:after="140" w:before="300"/>
      </w:pPr>
      <w:r>
        <w:t xml:space="preserve">Team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E8E8E8" w:val="clear"/>
            <w:tcMar>
              <w:top w:type="dxa" w:w="100"/>
              <w:left w:type="dxa" w:w="120"/>
              <w:bottom w:type="dxa" w:w="100"/>
              <w:right w:type="dxa" w:w="120"/>
            </w:tcMar>
          </w:tcPr>
          <w:p>
            <w:r>
              <w:rPr>
                <w:rFonts w:ascii="Calibri" w:cs="Calibri" w:eastAsia="Calibri" w:hAnsi="Calibri"/>
                <w:b/>
                <w:bCs/>
                <w:sz w:val="20"/>
                <w:szCs w:val="20"/>
              </w:rPr>
              <w:t xml:space="preserve">Name</w:t>
            </w:r>
          </w:p>
        </w:tc>
        <w:tc>
          <w:tcPr>
            <w:tcW w:type="dxa" w:w="4675"/>
            <w:shd w:fill="E8E8E8" w:val="clear"/>
            <w:tcMar>
              <w:top w:type="dxa" w:w="100"/>
              <w:left w:type="dxa" w:w="120"/>
              <w:bottom w:type="dxa" w:w="100"/>
              <w:right w:type="dxa" w:w="120"/>
            </w:tcMar>
          </w:tcPr>
          <w:p>
            <w:r>
              <w:rPr>
                <w:rFonts w:ascii="Calibri" w:cs="Calibri" w:eastAsia="Calibri" w:hAnsi="Calibri"/>
                <w:b/>
                <w:bCs/>
                <w:sz w:val="20"/>
                <w:szCs w:val="20"/>
              </w:rPr>
              <w:t xml:space="preserve">Role</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Sri Datta Sai Vithal Kaligotla</w:t>
            </w:r>
          </w:p>
        </w:tc>
        <w:tc>
          <w:tcPr>
            <w:tcW w:type="dxa" w:w="4675"/>
            <w:tcMar>
              <w:top w:type="dxa" w:w="100"/>
              <w:left w:type="dxa" w:w="120"/>
              <w:bottom w:type="dxa" w:w="100"/>
              <w:right w:type="dxa" w:w="120"/>
            </w:tcMar>
          </w:tcPr>
          <w:p>
            <w:r>
              <w:rPr>
                <w:rFonts w:ascii="Calibri" w:cs="Calibri" w:eastAsia="Calibri" w:hAnsi="Calibri"/>
                <w:sz w:val="22"/>
                <w:szCs w:val="22"/>
              </w:rPr>
              <w:t xml:space="preserve">Team Lead</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Bhoganaduni Manogna</w:t>
            </w:r>
          </w:p>
        </w:tc>
        <w:tc>
          <w:tcPr>
            <w:tcW w:type="dxa" w:w="4675"/>
            <w:tcMar>
              <w:top w:type="dxa" w:w="100"/>
              <w:left w:type="dxa" w:w="120"/>
              <w:bottom w:type="dxa" w:w="100"/>
              <w:right w:type="dxa" w:w="120"/>
            </w:tcMar>
          </w:tcPr>
          <w:p>
            <w:r>
              <w:rPr>
                <w:rFonts w:ascii="Calibri" w:cs="Calibri" w:eastAsia="Calibri" w:hAnsi="Calibri"/>
                <w:sz w:val="22"/>
                <w:szCs w:val="22"/>
              </w:rPr>
              <w:t xml:space="preserve">Team Member</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Jayasree Movva</w:t>
            </w:r>
          </w:p>
        </w:tc>
        <w:tc>
          <w:tcPr>
            <w:tcW w:type="dxa" w:w="4675"/>
            <w:tcMar>
              <w:top w:type="dxa" w:w="100"/>
              <w:left w:type="dxa" w:w="120"/>
              <w:bottom w:type="dxa" w:w="100"/>
              <w:right w:type="dxa" w:w="120"/>
            </w:tcMar>
          </w:tcPr>
          <w:p>
            <w:r>
              <w:rPr>
                <w:rFonts w:ascii="Calibri" w:cs="Calibri" w:eastAsia="Calibri" w:hAnsi="Calibri"/>
                <w:sz w:val="22"/>
                <w:szCs w:val="22"/>
              </w:rPr>
              <w:t xml:space="preserve">Team Member</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Sri Satya Lahari Pragada</w:t>
            </w:r>
          </w:p>
        </w:tc>
        <w:tc>
          <w:tcPr>
            <w:tcW w:type="dxa" w:w="4675"/>
            <w:tcMar>
              <w:top w:type="dxa" w:w="100"/>
              <w:left w:type="dxa" w:w="120"/>
              <w:bottom w:type="dxa" w:w="100"/>
              <w:right w:type="dxa" w:w="120"/>
            </w:tcMar>
          </w:tcPr>
          <w:p>
            <w:r>
              <w:rPr>
                <w:rFonts w:ascii="Calibri" w:cs="Calibri" w:eastAsia="Calibri" w:hAnsi="Calibri"/>
                <w:sz w:val="22"/>
                <w:szCs w:val="22"/>
              </w:rPr>
              <w:t xml:space="preserve">Team Member</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Krishna Sanjay Pemmaraju</w:t>
            </w:r>
          </w:p>
        </w:tc>
        <w:tc>
          <w:tcPr>
            <w:tcW w:type="dxa" w:w="4675"/>
            <w:tcMar>
              <w:top w:type="dxa" w:w="100"/>
              <w:left w:type="dxa" w:w="120"/>
              <w:bottom w:type="dxa" w:w="100"/>
              <w:right w:type="dxa" w:w="120"/>
            </w:tcMar>
          </w:tcPr>
          <w:p>
            <w:r>
              <w:rPr>
                <w:rFonts w:ascii="Calibri" w:cs="Calibri" w:eastAsia="Calibri" w:hAnsi="Calibri"/>
                <w:sz w:val="22"/>
                <w:szCs w:val="22"/>
              </w:rPr>
              <w:t xml:space="preserve">Team Member</w:t>
            </w:r>
          </w:p>
        </w:tc>
      </w:tr>
    </w:tbl>
    <w:p>
      <w:pPr>
        <w:spacing w:after="160"/>
      </w:pPr>
    </w:p>
    <w:p>
      <w:pPr>
        <w:pBdr>
          <w:bottom w:val="single" w:color="BFBFBF" w:sz="6" w:space="1"/>
        </w:pBdr>
        <w:spacing w:after="200"/>
      </w:pPr>
    </w:p>
    <w:p>
      <w:pPr>
        <w:pStyle w:val="Heading1"/>
        <w:spacing w:after="140" w:before="300"/>
      </w:pPr>
      <w:r>
        <w:t xml:space="preserve">1. Overview</w:t>
      </w:r>
    </w:p>
    <w:p>
      <w:pPr>
        <w:spacing w:after="140"/>
        <w:jc w:val="both"/>
      </w:pPr>
      <w:r>
        <w:rPr>
          <w:rFonts w:ascii="Calibri" w:cs="Calibri" w:eastAsia="Calibri" w:hAnsi="Calibri"/>
          <w:sz w:val="22"/>
          <w:szCs w:val="22"/>
        </w:rPr>
        <w:t xml:space="preserve">FinRelief AI is a web application built to help people who are struggling with loan repayments understand where they actually stand financially, and to help them approach their lender with a realistic, well-reasoned settlement request instead of guesswork.</w:t>
      </w:r>
    </w:p>
    <w:p>
      <w:pPr>
        <w:spacing w:after="140"/>
        <w:jc w:val="both"/>
      </w:pPr>
      <w:r>
        <w:rPr>
          <w:rFonts w:ascii="Calibri" w:cs="Calibri" w:eastAsia="Calibri" w:hAnsi="Calibri"/>
          <w:sz w:val="22"/>
          <w:szCs w:val="22"/>
        </w:rPr>
        <w:t xml:space="preserve">Most people in financial distress face two separate problems at once. The first is not knowing what a fair settlement figure even looks like — banks rarely explain how they arrive at a number, and borrowers have no easy way to check whether an offer is reasonable. The second is not knowing how to put that ask into words. A One Time Settlement (OTS) negotiation letter needs a certain tone and structure to be taken seriously, and most people have never had to write one before.</w:t>
      </w:r>
    </w:p>
    <w:p>
      <w:pPr>
        <w:spacing w:after="140"/>
        <w:jc w:val="both"/>
      </w:pPr>
      <w:r>
        <w:rPr>
          <w:rFonts w:ascii="Calibri" w:cs="Calibri" w:eastAsia="Calibri" w:hAnsi="Calibri"/>
          <w:sz w:val="22"/>
          <w:szCs w:val="22"/>
        </w:rPr>
        <w:t xml:space="preserve">FinRelief AI addresses both problems directly. It takes a borrower's real financial numbers — loan amount, EMI, how many days overdue, monthly income — and calculates a debt stress score, a debt-to-income ratio, and a settlement percentage that's grounded in the numbers rather than a guess. It then uses Google Gemini to turn that calculation into a professionally worded negotiation letter, addressed to the specific lender, ready to send.</w:t>
      </w:r>
    </w:p>
    <w:p>
      <w:pPr>
        <w:pBdr>
          <w:bottom w:val="single" w:color="BFBFBF" w:sz="6" w:space="1"/>
        </w:pBdr>
        <w:spacing w:after="200"/>
      </w:pPr>
    </w:p>
    <w:p>
      <w:pPr>
        <w:pStyle w:val="Heading1"/>
        <w:spacing w:after="140" w:before="300"/>
      </w:pPr>
      <w:r>
        <w:t xml:space="preserve">2. Problem Statement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E8E8E8" w:val="clear"/>
            <w:tcMar>
              <w:top w:type="dxa" w:w="100"/>
              <w:left w:type="dxa" w:w="120"/>
              <w:bottom w:type="dxa" w:w="100"/>
              <w:right w:type="dxa" w:w="120"/>
            </w:tcMar>
          </w:tcPr>
          <w:p>
            <w:r>
              <w:rPr>
                <w:rFonts w:ascii="Calibri" w:cs="Calibri" w:eastAsia="Calibri" w:hAnsi="Calibri"/>
                <w:b/>
                <w:bCs/>
                <w:sz w:val="20"/>
                <w:szCs w:val="20"/>
              </w:rPr>
              <w:t xml:space="preserve">Field</w:t>
            </w:r>
          </w:p>
        </w:tc>
        <w:tc>
          <w:tcPr>
            <w:tcW w:type="dxa" w:w="4675"/>
            <w:shd w:fill="E8E8E8" w:val="clear"/>
            <w:tcMar>
              <w:top w:type="dxa" w:w="100"/>
              <w:left w:type="dxa" w:w="120"/>
              <w:bottom w:type="dxa" w:w="100"/>
              <w:right w:type="dxa" w:w="120"/>
            </w:tcMar>
          </w:tcPr>
          <w:p>
            <w:r>
              <w:rPr>
                <w:rFonts w:ascii="Calibri" w:cs="Calibri" w:eastAsia="Calibri" w:hAnsi="Calibri"/>
                <w:b/>
                <w:bCs/>
                <w:sz w:val="20"/>
                <w:szCs w:val="20"/>
              </w:rPr>
              <w:t xml:space="preserve">Description</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I am</w:t>
            </w:r>
          </w:p>
        </w:tc>
        <w:tc>
          <w:tcPr>
            <w:tcW w:type="dxa" w:w="4675"/>
            <w:tcMar>
              <w:top w:type="dxa" w:w="100"/>
              <w:left w:type="dxa" w:w="120"/>
              <w:bottom w:type="dxa" w:w="100"/>
              <w:right w:type="dxa" w:w="120"/>
            </w:tcMar>
          </w:tcPr>
          <w:p>
            <w:r>
              <w:rPr>
                <w:rFonts w:ascii="Calibri" w:cs="Calibri" w:eastAsia="Calibri" w:hAnsi="Calibri"/>
                <w:sz w:val="22"/>
                <w:szCs w:val="22"/>
              </w:rPr>
              <w:t xml:space="preserve">A borrower who has fallen behind on loan or credit card repayments</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I'm trying to</w:t>
            </w:r>
          </w:p>
        </w:tc>
        <w:tc>
          <w:tcPr>
            <w:tcW w:type="dxa" w:w="4675"/>
            <w:tcMar>
              <w:top w:type="dxa" w:w="100"/>
              <w:left w:type="dxa" w:w="120"/>
              <w:bottom w:type="dxa" w:w="100"/>
              <w:right w:type="dxa" w:w="120"/>
            </w:tcMar>
          </w:tcPr>
          <w:p>
            <w:r>
              <w:rPr>
                <w:rFonts w:ascii="Calibri" w:cs="Calibri" w:eastAsia="Calibri" w:hAnsi="Calibri"/>
                <w:sz w:val="22"/>
                <w:szCs w:val="22"/>
              </w:rPr>
              <w:t xml:space="preserve">Reach a settlement with my lender that I can actually afford</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But</w:t>
            </w:r>
          </w:p>
        </w:tc>
        <w:tc>
          <w:tcPr>
            <w:tcW w:type="dxa" w:w="4675"/>
            <w:tcMar>
              <w:top w:type="dxa" w:w="100"/>
              <w:left w:type="dxa" w:w="120"/>
              <w:bottom w:type="dxa" w:w="100"/>
              <w:right w:type="dxa" w:w="120"/>
            </w:tcMar>
          </w:tcPr>
          <w:p>
            <w:r>
              <w:rPr>
                <w:rFonts w:ascii="Calibri" w:cs="Calibri" w:eastAsia="Calibri" w:hAnsi="Calibri"/>
                <w:sz w:val="22"/>
                <w:szCs w:val="22"/>
              </w:rPr>
              <w:t xml:space="preserve">I don't know what a realistic settlement percentage looks like, and I don't know how to write a formal negotiation letter</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Because</w:t>
            </w:r>
          </w:p>
        </w:tc>
        <w:tc>
          <w:tcPr>
            <w:tcW w:type="dxa" w:w="4675"/>
            <w:tcMar>
              <w:top w:type="dxa" w:w="100"/>
              <w:left w:type="dxa" w:w="120"/>
              <w:bottom w:type="dxa" w:w="100"/>
              <w:right w:type="dxa" w:w="120"/>
            </w:tcMar>
          </w:tcPr>
          <w:p>
            <w:r>
              <w:rPr>
                <w:rFonts w:ascii="Calibri" w:cs="Calibri" w:eastAsia="Calibri" w:hAnsi="Calibri"/>
                <w:sz w:val="22"/>
                <w:szCs w:val="22"/>
              </w:rPr>
              <w:t xml:space="preserve">Lenders rarely explain how settlement figures are calculated, and negotiation letters require a tone and structure most people have never had to use</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Which makes me feel</w:t>
            </w:r>
          </w:p>
        </w:tc>
        <w:tc>
          <w:tcPr>
            <w:tcW w:type="dxa" w:w="4675"/>
            <w:tcMar>
              <w:top w:type="dxa" w:w="100"/>
              <w:left w:type="dxa" w:w="120"/>
              <w:bottom w:type="dxa" w:w="100"/>
              <w:right w:type="dxa" w:w="120"/>
            </w:tcMar>
          </w:tcPr>
          <w:p>
            <w:r>
              <w:rPr>
                <w:rFonts w:ascii="Calibri" w:cs="Calibri" w:eastAsia="Calibri" w:hAnsi="Calibri"/>
                <w:sz w:val="22"/>
                <w:szCs w:val="22"/>
              </w:rPr>
              <w:t xml:space="preserve">Overwhelmed, and unsure whether I'm being offered a fair deal or being taken advantage of</w:t>
            </w:r>
          </w:p>
        </w:tc>
      </w:tr>
    </w:tbl>
    <w:p>
      <w:pPr>
        <w:spacing w:after="160"/>
      </w:pPr>
    </w:p>
    <w:p>
      <w:pPr>
        <w:pBdr>
          <w:bottom w:val="single" w:color="BFBFBF" w:sz="6" w:space="1"/>
        </w:pBdr>
        <w:spacing w:after="200"/>
      </w:pPr>
    </w:p>
    <w:p>
      <w:pPr>
        <w:pStyle w:val="Heading1"/>
        <w:spacing w:after="140" w:before="300"/>
      </w:pPr>
      <w:r>
        <w:t xml:space="preserve">3. What the Application Actually Does</w:t>
      </w:r>
    </w:p>
    <w:p>
      <w:pPr>
        <w:spacing w:after="140"/>
        <w:jc w:val="both"/>
      </w:pPr>
      <w:r>
        <w:rPr>
          <w:rFonts w:ascii="Calibri" w:cs="Calibri" w:eastAsia="Calibri" w:hAnsi="Calibri"/>
          <w:sz w:val="22"/>
          <w:szCs w:val="22"/>
        </w:rPr>
        <w:t xml:space="preserve">The platform is organised around three connected scenarios. Understanding these three is the fastest way to explain the whole project.</w:t>
      </w:r>
    </w:p>
    <w:p>
      <w:pPr>
        <w:spacing w:after="80" w:before="160"/>
      </w:pPr>
      <w:r>
        <w:rPr>
          <w:rFonts w:ascii="Calibri" w:cs="Calibri" w:eastAsia="Calibri" w:hAnsi="Calibri"/>
          <w:b/>
          <w:bCs/>
          <w:i w:val="false"/>
          <w:iCs w:val="false"/>
          <w:sz w:val="22"/>
          <w:szCs w:val="22"/>
        </w:rPr>
        <w:t xml:space="preserve">Scenario 1 — Settlement Recommendation</w:t>
      </w:r>
    </w:p>
    <w:p>
      <w:pPr>
        <w:spacing w:after="140"/>
        <w:jc w:val="both"/>
      </w:pPr>
      <w:r>
        <w:rPr>
          <w:rFonts w:ascii="Calibri" w:cs="Calibri" w:eastAsia="Calibri" w:hAnsi="Calibri"/>
          <w:sz w:val="22"/>
          <w:szCs w:val="22"/>
        </w:rPr>
        <w:t xml:space="preserve">The borrower enters their loan details (amount, EMI, overdue days, monthly income). The backend calculates a debt stress score, a DTI ratio, and a recommended settlement percentage — a concrete number to anchor a real conversation with the bank.</w:t>
      </w:r>
    </w:p>
    <w:p>
      <w:pPr>
        <w:spacing w:after="80" w:before="160"/>
      </w:pPr>
      <w:r>
        <w:rPr>
          <w:rFonts w:ascii="Calibri" w:cs="Calibri" w:eastAsia="Calibri" w:hAnsi="Calibri"/>
          <w:b/>
          <w:bCs/>
          <w:i w:val="false"/>
          <w:iCs w:val="false"/>
          <w:sz w:val="22"/>
          <w:szCs w:val="22"/>
        </w:rPr>
        <w:t xml:space="preserve">Scenario 2 — Negotiation Letter Generation</w:t>
      </w:r>
    </w:p>
    <w:p>
      <w:pPr>
        <w:spacing w:after="140"/>
        <w:jc w:val="both"/>
      </w:pPr>
      <w:r>
        <w:rPr>
          <w:rFonts w:ascii="Calibri" w:cs="Calibri" w:eastAsia="Calibri" w:hAnsi="Calibri"/>
          <w:sz w:val="22"/>
          <w:szCs w:val="22"/>
        </w:rPr>
        <w:t xml:space="preserve">Using the same financial profile, the app calls Google Gemini to draft a professional, lender-specific OTS negotiation letter. If Gemini is unreachable or the quota is exhausted, the app automatically falls back to a static but still professional template, so the letter-generation feature never actually breaks for the user.</w:t>
      </w:r>
    </w:p>
    <w:p>
      <w:pPr>
        <w:spacing w:after="80" w:before="160"/>
      </w:pPr>
      <w:r>
        <w:rPr>
          <w:rFonts w:ascii="Calibri" w:cs="Calibri" w:eastAsia="Calibri" w:hAnsi="Calibri"/>
          <w:b/>
          <w:bCs/>
          <w:i w:val="false"/>
          <w:iCs w:val="false"/>
          <w:sz w:val="22"/>
          <w:szCs w:val="22"/>
        </w:rPr>
        <w:t xml:space="preserve">Scenario 3 — Financial Health Dashboard</w:t>
      </w:r>
    </w:p>
    <w:p>
      <w:pPr>
        <w:spacing w:after="140"/>
        <w:jc w:val="both"/>
      </w:pPr>
      <w:r>
        <w:rPr>
          <w:rFonts w:ascii="Calibri" w:cs="Calibri" w:eastAsia="Calibri" w:hAnsi="Calibri"/>
          <w:sz w:val="22"/>
          <w:szCs w:val="22"/>
        </w:rPr>
        <w:t xml:space="preserve">A dashboard tracks the borrower's numbers over time — monthly surplus, DTI ratio, stress level, and settlement percentages across all their loans — along with the full history of generated letters.</w:t>
      </w:r>
    </w:p>
    <w:p>
      <w:pPr>
        <w:spacing w:after="140"/>
        <w:jc w:val="both"/>
      </w:pPr>
      <w:r>
        <w:rPr>
          <w:rFonts w:ascii="Calibri" w:cs="Calibri" w:eastAsia="Calibri" w:hAnsi="Calibri"/>
          <w:sz w:val="22"/>
          <w:szCs w:val="22"/>
        </w:rPr>
        <w:t xml:space="preserve">The dashboard is the home base. From it, a user drills into a specific loan (Scenario 1) and, once they have a settlement figure they're comfortable with, turns it into an actual letter (Scenario 2).</w:t>
      </w:r>
    </w:p>
    <w:p>
      <w:pPr>
        <w:pBdr>
          <w:bottom w:val="single" w:color="BFBFBF" w:sz="6" w:space="1"/>
        </w:pBdr>
        <w:spacing w:after="200"/>
      </w:pPr>
    </w:p>
    <w:p>
      <w:pPr>
        <w:pStyle w:val="Heading1"/>
        <w:spacing w:after="140" w:before="300"/>
      </w:pPr>
      <w:r>
        <w:t xml:space="preserve">4. Who This Is For</w:t>
      </w:r>
    </w:p>
    <w:p>
      <w:pPr>
        <w:spacing w:after="140"/>
        <w:jc w:val="both"/>
      </w:pPr>
      <w:r>
        <w:rPr>
          <w:rFonts w:ascii="Calibri" w:cs="Calibri" w:eastAsia="Calibri" w:hAnsi="Calibri"/>
          <w:sz w:val="22"/>
          <w:szCs w:val="22"/>
        </w:rPr>
        <w:t xml:space="preserve">Individuals in India carrying personal loans, credit card debt, or other consumer lending products who are finding regular repayment difficult, particularly those who are already overdue and are considering approaching their lender to negotiate a settlement.</w:t>
      </w:r>
    </w:p>
    <w:p>
      <w:pPr>
        <w:pBdr>
          <w:bottom w:val="single" w:color="BFBFBF" w:sz="6" w:space="1"/>
        </w:pBdr>
        <w:spacing w:after="200"/>
      </w:pPr>
    </w:p>
    <w:p>
      <w:pPr>
        <w:pStyle w:val="Heading1"/>
        <w:spacing w:after="140" w:before="300"/>
      </w:pPr>
      <w:r>
        <w:t xml:space="preserve">5. Novelty and Why It's Useful</w:t>
      </w:r>
    </w:p>
    <w:p>
      <w:pPr>
        <w:spacing w:after="140"/>
        <w:jc w:val="both"/>
      </w:pPr>
      <w:r>
        <w:rPr>
          <w:rFonts w:ascii="Calibri" w:cs="Calibri" w:eastAsia="Calibri" w:hAnsi="Calibri"/>
          <w:sz w:val="22"/>
          <w:szCs w:val="22"/>
        </w:rPr>
        <w:t xml:space="preserve">Most budgeting tools in this space either give generic advice ("spend less, save more") or require the user to already understand financial terminology like DTI ratio or debt stress scoring. FinRelief AI is deliberately narrower and more useful for its specific audience: it doesn't try to manage a household budget, it focuses on the one moment that matters most — getting a borrower from "I'm behind on payments" to "I have a number and a letter I can actually send."</w:t>
      </w:r>
    </w:p>
    <w:p>
      <w:pPr>
        <w:spacing w:after="140"/>
        <w:jc w:val="both"/>
      </w:pPr>
      <w:r>
        <w:rPr>
          <w:rFonts w:ascii="Calibri" w:cs="Calibri" w:eastAsia="Calibri" w:hAnsi="Calibri"/>
          <w:sz w:val="22"/>
          <w:szCs w:val="22"/>
        </w:rPr>
        <w:t xml:space="preserve">The Gemini-with-fallback design is also worth calling out as a specific engineering decision. Rather than treating the AI call as a single point of failure, the letter-generation feature is built so that it degrades gracefully — the user always gets a usable letter, whether or not the AI service is available at that moment.</w:t>
      </w:r>
    </w:p>
    <w:p>
      <w:pPr>
        <w:pBdr>
          <w:bottom w:val="single" w:color="BFBFBF" w:sz="6" w:space="1"/>
        </w:pBdr>
        <w:spacing w:after="200"/>
      </w:pPr>
    </w:p>
    <w:p>
      <w:pPr>
        <w:pStyle w:val="Heading1"/>
        <w:spacing w:after="140" w:before="300"/>
      </w:pPr>
      <w:r>
        <w:t xml:space="preserve">6. Project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E8E8E8" w:val="clear"/>
            <w:tcMar>
              <w:top w:type="dxa" w:w="100"/>
              <w:left w:type="dxa" w:w="120"/>
              <w:bottom w:type="dxa" w:w="100"/>
              <w:right w:type="dxa" w:w="120"/>
            </w:tcMar>
          </w:tcPr>
          <w:p>
            <w:r>
              <w:rPr>
                <w:rFonts w:ascii="Calibri" w:cs="Calibri" w:eastAsia="Calibri" w:hAnsi="Calibri"/>
                <w:b/>
                <w:bCs/>
                <w:sz w:val="20"/>
                <w:szCs w:val="20"/>
              </w:rPr>
              <w:t xml:space="preserve">Metric</w:t>
            </w:r>
          </w:p>
        </w:tc>
        <w:tc>
          <w:tcPr>
            <w:tcW w:type="dxa" w:w="4675"/>
            <w:shd w:fill="E8E8E8" w:val="clear"/>
            <w:tcMar>
              <w:top w:type="dxa" w:w="100"/>
              <w:left w:type="dxa" w:w="120"/>
              <w:bottom w:type="dxa" w:w="100"/>
              <w:right w:type="dxa" w:w="120"/>
            </w:tcMar>
          </w:tcPr>
          <w:p>
            <w:r>
              <w:rPr>
                <w:rFonts w:ascii="Calibri" w:cs="Calibri" w:eastAsia="Calibri" w:hAnsi="Calibri"/>
                <w:b/>
                <w:bCs/>
                <w:sz w:val="20"/>
                <w:szCs w:val="20"/>
              </w:rPr>
              <w:t xml:space="preserve">Value</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Epics</w:t>
            </w:r>
          </w:p>
        </w:tc>
        <w:tc>
          <w:tcPr>
            <w:tcW w:type="dxa" w:w="4675"/>
            <w:tcMar>
              <w:top w:type="dxa" w:w="100"/>
              <w:left w:type="dxa" w:w="120"/>
              <w:bottom w:type="dxa" w:w="100"/>
              <w:right w:type="dxa" w:w="120"/>
            </w:tcMar>
          </w:tcPr>
          <w:p>
            <w:r>
              <w:rPr>
                <w:rFonts w:ascii="Calibri" w:cs="Calibri" w:eastAsia="Calibri" w:hAnsi="Calibri"/>
                <w:sz w:val="22"/>
                <w:szCs w:val="22"/>
              </w:rPr>
              <w:t xml:space="preserve">10</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Stories</w:t>
            </w:r>
          </w:p>
        </w:tc>
        <w:tc>
          <w:tcPr>
            <w:tcW w:type="dxa" w:w="4675"/>
            <w:tcMar>
              <w:top w:type="dxa" w:w="100"/>
              <w:left w:type="dxa" w:w="120"/>
              <w:bottom w:type="dxa" w:w="100"/>
              <w:right w:type="dxa" w:w="120"/>
            </w:tcMar>
          </w:tcPr>
          <w:p>
            <w:r>
              <w:rPr>
                <w:rFonts w:ascii="Calibri" w:cs="Calibri" w:eastAsia="Calibri" w:hAnsi="Calibri"/>
                <w:sz w:val="22"/>
                <w:szCs w:val="22"/>
              </w:rPr>
              <w:t xml:space="preserve">26</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Tech stack layers</w:t>
            </w:r>
          </w:p>
        </w:tc>
        <w:tc>
          <w:tcPr>
            <w:tcW w:type="dxa" w:w="4675"/>
            <w:tcMar>
              <w:top w:type="dxa" w:w="100"/>
              <w:left w:type="dxa" w:w="120"/>
              <w:bottom w:type="dxa" w:w="100"/>
              <w:right w:type="dxa" w:w="120"/>
            </w:tcMar>
          </w:tcPr>
          <w:p>
            <w:r>
              <w:rPr>
                <w:rFonts w:ascii="Calibri" w:cs="Calibri" w:eastAsia="Calibri" w:hAnsi="Calibri"/>
                <w:sz w:val="22"/>
                <w:szCs w:val="22"/>
              </w:rPr>
              <w:t xml:space="preserve">6</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API endpoints</w:t>
            </w:r>
          </w:p>
        </w:tc>
        <w:tc>
          <w:tcPr>
            <w:tcW w:type="dxa" w:w="4675"/>
            <w:tcMar>
              <w:top w:type="dxa" w:w="100"/>
              <w:left w:type="dxa" w:w="120"/>
              <w:bottom w:type="dxa" w:w="100"/>
              <w:right w:type="dxa" w:w="120"/>
            </w:tcMar>
          </w:tcPr>
          <w:p>
            <w:r>
              <w:rPr>
                <w:rFonts w:ascii="Calibri" w:cs="Calibri" w:eastAsia="Calibri" w:hAnsi="Calibri"/>
                <w:sz w:val="22"/>
                <w:szCs w:val="22"/>
              </w:rPr>
              <w:t xml:space="preserve">21</w:t>
            </w:r>
          </w:p>
        </w:tc>
      </w:tr>
      <w:tr>
        <w:trPr>
          <w:tblHeader w:val="false"/>
        </w:trPr>
        <w:tc>
          <w:tcPr>
            <w:tcW w:type="dxa" w:w="4675"/>
            <w:tcMar>
              <w:top w:type="dxa" w:w="100"/>
              <w:left w:type="dxa" w:w="120"/>
              <w:bottom w:type="dxa" w:w="100"/>
              <w:right w:type="dxa" w:w="120"/>
            </w:tcMar>
          </w:tcPr>
          <w:p>
            <w:r>
              <w:rPr>
                <w:rFonts w:ascii="Calibri" w:cs="Calibri" w:eastAsia="Calibri" w:hAnsi="Calibri"/>
                <w:sz w:val="22"/>
                <w:szCs w:val="22"/>
              </w:rPr>
              <w:t xml:space="preserve">Test cases</w:t>
            </w:r>
          </w:p>
        </w:tc>
        <w:tc>
          <w:tcPr>
            <w:tcW w:type="dxa" w:w="4675"/>
            <w:tcMar>
              <w:top w:type="dxa" w:w="100"/>
              <w:left w:type="dxa" w:w="120"/>
              <w:bottom w:type="dxa" w:w="100"/>
              <w:right w:type="dxa" w:w="120"/>
            </w:tcMar>
          </w:tcPr>
          <w:p>
            <w:r>
              <w:rPr>
                <w:rFonts w:ascii="Calibri" w:cs="Calibri" w:eastAsia="Calibri" w:hAnsi="Calibri"/>
                <w:sz w:val="22"/>
                <w:szCs w:val="22"/>
              </w:rPr>
              <w:t xml:space="preserve">68</w:t>
            </w:r>
          </w:p>
        </w:tc>
      </w:tr>
    </w:tbl>
    <w:p>
      <w:pPr>
        <w:spacing w:after="160"/>
      </w:pPr>
    </w:p>
    <w:p>
      <w:pPr>
        <w:pBdr>
          <w:bottom w:val="single" w:color="BFBFBF" w:sz="6" w:space="1"/>
        </w:pBdr>
        <w:spacing w:after="200"/>
      </w:pPr>
    </w:p>
    <w:p>
      <w:pPr>
        <w:pStyle w:val="Heading1"/>
        <w:spacing w:after="140" w:before="300"/>
      </w:pPr>
      <w:r>
        <w:t xml:space="preserve">7. Disclaimer</w:t>
      </w:r>
    </w:p>
    <w:p>
      <w:pPr>
        <w:spacing w:after="140"/>
        <w:jc w:val="both"/>
      </w:pPr>
      <w:r>
        <w:rPr>
          <w:rFonts w:ascii="Calibri" w:cs="Calibri" w:eastAsia="Calibri" w:hAnsi="Calibri"/>
          <w:sz w:val="22"/>
          <w:szCs w:val="22"/>
        </w:rPr>
        <w:t xml:space="preserve">FinRelief AI was built for educational and informational purposes as part of the SmartBridge Internship Program. The calculations and recommendations it produces do not constitute professional financial or legal advice. Anyone using it in a real negotiation should still consult a qualified financial advisor.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999999"/>
        <w:sz w:val="16"/>
        <w:szCs w:val="16"/>
      </w:rPr>
      <w:t xml:space="preserve">Confidential — SmartBridge Internship Program</w:t>
    </w:r>
    <w:r>
      <w:rPr>
        <w:rFonts w:ascii="Calibri" w:cs="Calibri" w:eastAsia="Calibri" w:hAnsi="Calibri"/>
      </w:rPr>
      <w:t xml:space="preserv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FinRelief AI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2026-07-20T08:14:16.433Z</dcterms:created>
  <dcterms:modified xsi:type="dcterms:W3CDTF">2026-07-20T08:14:16.447Z</dcterms:modified>
</cp:coreProperties>
</file>

<file path=docProps/custom.xml><?xml version="1.0" encoding="utf-8"?>
<Properties xmlns="http://schemas.openxmlformats.org/officeDocument/2006/custom-properties" xmlns:vt="http://schemas.openxmlformats.org/officeDocument/2006/docPropsVTypes"/>
</file>