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2F047" w14:textId="77777777" w:rsidR="00852824" w:rsidRDefault="00852824">
      <w:pPr>
        <w:spacing w:line="259" w:lineRule="auto"/>
        <w:rPr>
          <w:rFonts w:ascii="Cambria" w:eastAsia="Cambria" w:hAnsi="Cambria" w:cs="Cambria"/>
          <w:b/>
          <w:color w:val="000000"/>
          <w:sz w:val="32"/>
          <w:shd w:val="clear" w:color="auto" w:fill="FFFFFF"/>
        </w:rPr>
      </w:pPr>
    </w:p>
    <w:p w14:paraId="1428B73A" w14:textId="77777777" w:rsidR="00852824" w:rsidRPr="0047365E" w:rsidRDefault="00000000">
      <w:pPr>
        <w:spacing w:line="259" w:lineRule="auto"/>
        <w:rPr>
          <w:rFonts w:ascii="Cambria" w:eastAsia="Cambria" w:hAnsi="Cambria" w:cs="Cambria"/>
          <w:b/>
          <w:color w:val="2F5496" w:themeColor="accent1" w:themeShade="BF"/>
          <w:sz w:val="32"/>
          <w:shd w:val="clear" w:color="auto" w:fill="FFFFFF"/>
        </w:rPr>
      </w:pPr>
      <w:r>
        <w:rPr>
          <w:rFonts w:ascii="Cambria" w:eastAsia="Cambria" w:hAnsi="Cambria" w:cs="Cambria"/>
          <w:b/>
          <w:color w:val="000000"/>
          <w:sz w:val="32"/>
          <w:shd w:val="clear" w:color="auto" w:fill="FFFFFF"/>
        </w:rPr>
        <w:t xml:space="preserve">                                 </w:t>
      </w:r>
      <w:r w:rsidRPr="0047365E">
        <w:rPr>
          <w:rFonts w:ascii="Cambria" w:eastAsia="Cambria" w:hAnsi="Cambria" w:cs="Cambria"/>
          <w:b/>
          <w:color w:val="2F5496" w:themeColor="accent1" w:themeShade="BF"/>
          <w:sz w:val="32"/>
          <w:shd w:val="clear" w:color="auto" w:fill="FFFFFF"/>
        </w:rPr>
        <w:t>Dashboard Design</w:t>
      </w:r>
    </w:p>
    <w:p w14:paraId="7909E0F7" w14:textId="77777777" w:rsidR="00852824" w:rsidRDefault="00852824">
      <w:pPr>
        <w:spacing w:line="259" w:lineRule="auto"/>
        <w:rPr>
          <w:rFonts w:ascii="Cambria" w:eastAsia="Cambria" w:hAnsi="Cambria" w:cs="Cambria"/>
          <w:b/>
          <w:sz w:val="32"/>
          <w:shd w:val="clear" w:color="auto" w:fill="FFFFFF"/>
        </w:rPr>
      </w:pPr>
    </w:p>
    <w:tbl>
      <w:tblPr>
        <w:tblW w:w="0" w:type="auto"/>
        <w:tblInd w:w="10" w:type="dxa"/>
        <w:tblCellMar>
          <w:left w:w="10" w:type="dxa"/>
          <w:right w:w="10" w:type="dxa"/>
        </w:tblCellMar>
        <w:tblLook w:val="0000" w:firstRow="0" w:lastRow="0" w:firstColumn="0" w:lastColumn="0" w:noHBand="0" w:noVBand="0"/>
      </w:tblPr>
      <w:tblGrid>
        <w:gridCol w:w="2009"/>
        <w:gridCol w:w="7027"/>
      </w:tblGrid>
      <w:tr w:rsidR="00852824" w14:paraId="7914CD0E" w14:textId="77777777">
        <w:trPr>
          <w:trHeight w:val="1"/>
        </w:trPr>
        <w:tc>
          <w:tcPr>
            <w:tcW w:w="3000"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vAlign w:val="center"/>
          </w:tcPr>
          <w:p w14:paraId="0B086D14" w14:textId="77777777" w:rsidR="00852824" w:rsidRDefault="00000000">
            <w:pPr>
              <w:spacing w:after="0" w:line="240" w:lineRule="auto"/>
              <w:rPr>
                <w:sz w:val="22"/>
              </w:rPr>
            </w:pPr>
            <w:r>
              <w:rPr>
                <w:rFonts w:ascii="Times New Roman" w:eastAsia="Times New Roman" w:hAnsi="Times New Roman" w:cs="Times New Roman"/>
                <w:sz w:val="22"/>
              </w:rPr>
              <w:t>Date</w:t>
            </w:r>
          </w:p>
        </w:tc>
        <w:tc>
          <w:tcPr>
            <w:tcW w:w="12456"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vAlign w:val="center"/>
          </w:tcPr>
          <w:p w14:paraId="5D4D49CB" w14:textId="77777777" w:rsidR="00852824" w:rsidRDefault="00000000">
            <w:pPr>
              <w:spacing w:after="0" w:line="240" w:lineRule="auto"/>
              <w:rPr>
                <w:rFonts w:ascii="Calibri" w:eastAsia="Calibri" w:hAnsi="Calibri" w:cs="Calibri"/>
                <w:sz w:val="22"/>
              </w:rPr>
            </w:pPr>
            <w:r>
              <w:rPr>
                <w:rFonts w:ascii="Calibri" w:eastAsia="Calibri" w:hAnsi="Calibri" w:cs="Calibri"/>
                <w:sz w:val="22"/>
              </w:rPr>
              <w:t xml:space="preserve"> 21-sep-2026</w:t>
            </w:r>
          </w:p>
        </w:tc>
      </w:tr>
      <w:tr w:rsidR="00852824" w14:paraId="60559717" w14:textId="77777777">
        <w:trPr>
          <w:trHeight w:val="1"/>
        </w:trPr>
        <w:tc>
          <w:tcPr>
            <w:tcW w:w="3000"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vAlign w:val="center"/>
          </w:tcPr>
          <w:p w14:paraId="2E0B89E6" w14:textId="77777777" w:rsidR="00852824" w:rsidRDefault="00000000">
            <w:pPr>
              <w:spacing w:after="0" w:line="240" w:lineRule="auto"/>
              <w:rPr>
                <w:sz w:val="22"/>
              </w:rPr>
            </w:pPr>
            <w:r>
              <w:rPr>
                <w:rFonts w:ascii="Times New Roman" w:eastAsia="Times New Roman" w:hAnsi="Times New Roman" w:cs="Times New Roman"/>
                <w:sz w:val="22"/>
              </w:rPr>
              <w:t>Team ID</w:t>
            </w:r>
          </w:p>
        </w:tc>
        <w:tc>
          <w:tcPr>
            <w:tcW w:w="12456"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vAlign w:val="center"/>
          </w:tcPr>
          <w:p w14:paraId="0BB6011E" w14:textId="77777777" w:rsidR="00852824" w:rsidRDefault="00000000">
            <w:pPr>
              <w:spacing w:after="0" w:line="240" w:lineRule="auto"/>
              <w:ind w:right="-54"/>
              <w:rPr>
                <w:sz w:val="22"/>
              </w:rPr>
            </w:pPr>
            <w:proofErr w:type="gramStart"/>
            <w:r>
              <w:rPr>
                <w:rFonts w:ascii="Times New Roman" w:eastAsia="Times New Roman" w:hAnsi="Times New Roman" w:cs="Times New Roman"/>
                <w:sz w:val="22"/>
              </w:rPr>
              <w:t>MCA(</w:t>
            </w:r>
            <w:proofErr w:type="gramEnd"/>
            <w:r>
              <w:rPr>
                <w:rFonts w:ascii="Times New Roman" w:eastAsia="Times New Roman" w:hAnsi="Times New Roman" w:cs="Times New Roman"/>
                <w:sz w:val="22"/>
              </w:rPr>
              <w:t>Master of Computer Application)</w:t>
            </w:r>
          </w:p>
        </w:tc>
      </w:tr>
      <w:tr w:rsidR="00852824" w14:paraId="0FB04D5D" w14:textId="77777777">
        <w:trPr>
          <w:trHeight w:val="1"/>
        </w:trPr>
        <w:tc>
          <w:tcPr>
            <w:tcW w:w="3000"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vAlign w:val="center"/>
          </w:tcPr>
          <w:p w14:paraId="4E923A3A" w14:textId="77777777" w:rsidR="00852824" w:rsidRDefault="00000000">
            <w:pPr>
              <w:spacing w:after="0" w:line="240" w:lineRule="auto"/>
              <w:rPr>
                <w:sz w:val="22"/>
              </w:rPr>
            </w:pPr>
            <w:r>
              <w:rPr>
                <w:rFonts w:ascii="Times New Roman" w:eastAsia="Times New Roman" w:hAnsi="Times New Roman" w:cs="Times New Roman"/>
                <w:sz w:val="22"/>
              </w:rPr>
              <w:t>Project Name</w:t>
            </w:r>
          </w:p>
        </w:tc>
        <w:tc>
          <w:tcPr>
            <w:tcW w:w="12456"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vAlign w:val="center"/>
          </w:tcPr>
          <w:p w14:paraId="5AD099FC" w14:textId="77777777" w:rsidR="00852824" w:rsidRDefault="00000000">
            <w:pPr>
              <w:spacing w:after="0" w:line="240" w:lineRule="auto"/>
              <w:rPr>
                <w:sz w:val="22"/>
              </w:rPr>
            </w:pPr>
            <w:r>
              <w:rPr>
                <w:rFonts w:ascii="Times New Roman" w:eastAsia="Times New Roman" w:hAnsi="Times New Roman" w:cs="Times New Roman"/>
                <w:sz w:val="22"/>
              </w:rPr>
              <w:t>Online Learning Engagement and Student Performance Analysis</w:t>
            </w:r>
          </w:p>
        </w:tc>
      </w:tr>
      <w:tr w:rsidR="00852824" w14:paraId="1AE5589B" w14:textId="77777777">
        <w:trPr>
          <w:trHeight w:val="1"/>
        </w:trPr>
        <w:tc>
          <w:tcPr>
            <w:tcW w:w="3000"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vAlign w:val="center"/>
          </w:tcPr>
          <w:p w14:paraId="7994A314" w14:textId="77777777" w:rsidR="00852824" w:rsidRDefault="00000000">
            <w:pPr>
              <w:spacing w:after="0" w:line="240" w:lineRule="auto"/>
              <w:rPr>
                <w:sz w:val="22"/>
              </w:rPr>
            </w:pPr>
            <w:r>
              <w:rPr>
                <w:rFonts w:ascii="Times New Roman" w:eastAsia="Times New Roman" w:hAnsi="Times New Roman" w:cs="Times New Roman"/>
                <w:sz w:val="22"/>
              </w:rPr>
              <w:t>Maximum Marks</w:t>
            </w:r>
          </w:p>
        </w:tc>
        <w:tc>
          <w:tcPr>
            <w:tcW w:w="12456"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vAlign w:val="center"/>
          </w:tcPr>
          <w:p w14:paraId="56411C3E" w14:textId="77777777" w:rsidR="00852824" w:rsidRDefault="00000000">
            <w:pPr>
              <w:spacing w:after="0" w:line="240" w:lineRule="auto"/>
              <w:rPr>
                <w:sz w:val="22"/>
              </w:rPr>
            </w:pPr>
            <w:r>
              <w:rPr>
                <w:rFonts w:ascii="Times New Roman" w:eastAsia="Times New Roman" w:hAnsi="Times New Roman" w:cs="Times New Roman"/>
                <w:sz w:val="22"/>
              </w:rPr>
              <w:t>4 Marks</w:t>
            </w:r>
          </w:p>
        </w:tc>
      </w:tr>
    </w:tbl>
    <w:p w14:paraId="6B85033B" w14:textId="77777777" w:rsidR="00852824" w:rsidRDefault="00852824">
      <w:pPr>
        <w:spacing w:after="0" w:line="276" w:lineRule="auto"/>
        <w:rPr>
          <w:rFonts w:ascii="Cambria" w:eastAsia="Cambria" w:hAnsi="Cambria" w:cs="Cambria"/>
          <w:b/>
          <w:sz w:val="32"/>
          <w:shd w:val="clear" w:color="auto" w:fill="FFFFFF"/>
        </w:rPr>
      </w:pPr>
    </w:p>
    <w:p w14:paraId="68D9CEDD" w14:textId="77777777" w:rsidR="00852824" w:rsidRDefault="00000000">
      <w:pPr>
        <w:spacing w:line="259" w:lineRule="auto"/>
        <w:rPr>
          <w:rFonts w:ascii="Cambria" w:eastAsia="Cambria" w:hAnsi="Cambria" w:cs="Cambria"/>
          <w:color w:val="000000"/>
          <w:shd w:val="clear" w:color="auto" w:fill="FFFFFF"/>
        </w:rPr>
      </w:pPr>
      <w:r>
        <w:rPr>
          <w:rFonts w:ascii="Cambria" w:eastAsia="Cambria" w:hAnsi="Cambria" w:cs="Cambria"/>
          <w:color w:val="000000"/>
          <w:shd w:val="clear" w:color="auto" w:fill="FFFFFF"/>
        </w:rPr>
        <w:t>Creating an effective dashboard involves thoughtful design to ensure that the presented information is clear, relevant, and easily understandable for the intended audience. Here are some key principles and best practices for dashboard design</w:t>
      </w:r>
    </w:p>
    <w:p w14:paraId="06E1EBCD" w14:textId="77777777" w:rsidR="00852824" w:rsidRDefault="00000000">
      <w:pPr>
        <w:spacing w:line="259" w:lineRule="auto"/>
        <w:rPr>
          <w:rFonts w:ascii="Cambria" w:eastAsia="Cambria" w:hAnsi="Cambria" w:cs="Cambria"/>
          <w:b/>
          <w:color w:val="000000"/>
          <w:shd w:val="clear" w:color="auto" w:fill="FFFFFF"/>
        </w:rPr>
      </w:pPr>
      <w:r>
        <w:rPr>
          <w:rFonts w:ascii="Cambria" w:eastAsia="Cambria" w:hAnsi="Cambria" w:cs="Cambria"/>
          <w:b/>
          <w:color w:val="000000"/>
          <w:sz w:val="32"/>
          <w:shd w:val="clear" w:color="auto" w:fill="FFFFFF"/>
        </w:rPr>
        <w:tab/>
      </w:r>
      <w:r>
        <w:rPr>
          <w:rFonts w:ascii="Cambria" w:eastAsia="Cambria" w:hAnsi="Cambria" w:cs="Cambria"/>
          <w:b/>
          <w:color w:val="000000"/>
          <w:shd w:val="clear" w:color="auto" w:fill="FFFFFF"/>
        </w:rPr>
        <w:t xml:space="preserve">Activity 1: Interactive and visually appealing dashboards </w:t>
      </w:r>
    </w:p>
    <w:p w14:paraId="241FC016" w14:textId="77777777" w:rsidR="00852824" w:rsidRDefault="00000000">
      <w:pPr>
        <w:spacing w:line="259" w:lineRule="auto"/>
        <w:ind w:left="720"/>
        <w:rPr>
          <w:rFonts w:ascii="Cambria" w:eastAsia="Cambria" w:hAnsi="Cambria" w:cs="Cambria"/>
          <w:color w:val="000000"/>
          <w:shd w:val="clear" w:color="auto" w:fill="FFFFFF"/>
        </w:rPr>
      </w:pPr>
      <w:r>
        <w:rPr>
          <w:rFonts w:ascii="Cambria" w:eastAsia="Cambria" w:hAnsi="Cambria" w:cs="Cambria"/>
          <w:color w:val="000000"/>
          <w:shd w:val="clear" w:color="auto" w:fill="FFFFFF"/>
        </w:rPr>
        <w:t xml:space="preserve">Creating interactive and visually appealing dashboards involves a combination of thoughtful design, effective use of visual elements, and the incorporation of interactive features. Here are some tips to help you design dashboards that are both visually appealing and engaging for </w:t>
      </w:r>
      <w:proofErr w:type="gramStart"/>
      <w:r>
        <w:rPr>
          <w:rFonts w:ascii="Cambria" w:eastAsia="Cambria" w:hAnsi="Cambria" w:cs="Cambria"/>
          <w:color w:val="000000"/>
          <w:shd w:val="clear" w:color="auto" w:fill="FFFFFF"/>
        </w:rPr>
        <w:t>users  so</w:t>
      </w:r>
      <w:proofErr w:type="gramEnd"/>
      <w:r>
        <w:rPr>
          <w:rFonts w:ascii="Cambria" w:eastAsia="Cambria" w:hAnsi="Cambria" w:cs="Cambria"/>
          <w:color w:val="000000"/>
          <w:shd w:val="clear" w:color="auto" w:fill="FFFFFF"/>
        </w:rPr>
        <w:t xml:space="preserve"> take care of below points</w:t>
      </w:r>
    </w:p>
    <w:p w14:paraId="7118D0B3" w14:textId="77777777" w:rsidR="00852824" w:rsidRDefault="00000000">
      <w:pPr>
        <w:numPr>
          <w:ilvl w:val="0"/>
          <w:numId w:val="1"/>
        </w:numPr>
        <w:spacing w:after="0" w:line="259" w:lineRule="auto"/>
        <w:ind w:left="1440" w:hanging="360"/>
        <w:rPr>
          <w:rFonts w:ascii="Cambria" w:eastAsia="Cambria" w:hAnsi="Cambria" w:cs="Cambria"/>
          <w:color w:val="000000"/>
          <w:shd w:val="clear" w:color="auto" w:fill="FFFFFF"/>
        </w:rPr>
      </w:pPr>
      <w:r>
        <w:rPr>
          <w:rFonts w:ascii="Cambria" w:eastAsia="Cambria" w:hAnsi="Cambria" w:cs="Cambria"/>
          <w:color w:val="000000"/>
          <w:shd w:val="clear" w:color="auto" w:fill="FFFFFF"/>
        </w:rPr>
        <w:t>Clear and Intuitive Layout — KPI cards (Total Students, Dropout Rate, Average Score, Average Clicks, Pass Rate) sit at the top of the page, with supporting charts and the decomposition tree below, guiding the eye from headline metrics to detailed analysis.</w:t>
      </w:r>
    </w:p>
    <w:p w14:paraId="600B5285" w14:textId="77777777" w:rsidR="00852824" w:rsidRDefault="00000000">
      <w:pPr>
        <w:numPr>
          <w:ilvl w:val="0"/>
          <w:numId w:val="1"/>
        </w:numPr>
        <w:spacing w:after="0" w:line="259" w:lineRule="auto"/>
        <w:ind w:left="1440" w:hanging="360"/>
        <w:rPr>
          <w:rFonts w:ascii="Cambria" w:eastAsia="Cambria" w:hAnsi="Cambria" w:cs="Cambria"/>
          <w:color w:val="000000"/>
          <w:shd w:val="clear" w:color="auto" w:fill="FFFFFF"/>
        </w:rPr>
      </w:pPr>
      <w:r>
        <w:rPr>
          <w:rFonts w:ascii="Cambria" w:eastAsia="Cambria" w:hAnsi="Cambria" w:cs="Cambria"/>
          <w:color w:val="000000"/>
          <w:shd w:val="clear" w:color="auto" w:fill="FFFFFF"/>
        </w:rPr>
        <w:t>Use Appropriate Visualizations — bar charts compare metrics across region and education level, a donut/pie chart shows proportional breakdowns of risk level and final result, a line chart tracks score trends across click bands, and a decomposition tree supports root-cause drill-down into dropout.</w:t>
      </w:r>
    </w:p>
    <w:p w14:paraId="2D699CF2" w14:textId="77777777" w:rsidR="00852824" w:rsidRDefault="00000000">
      <w:pPr>
        <w:numPr>
          <w:ilvl w:val="0"/>
          <w:numId w:val="1"/>
        </w:numPr>
        <w:spacing w:after="0" w:line="259" w:lineRule="auto"/>
        <w:ind w:left="1440" w:hanging="360"/>
        <w:rPr>
          <w:rFonts w:ascii="Cambria" w:eastAsia="Cambria" w:hAnsi="Cambria" w:cs="Cambria"/>
          <w:color w:val="000000"/>
          <w:shd w:val="clear" w:color="auto" w:fill="FFFFFF"/>
        </w:rPr>
      </w:pPr>
      <w:r>
        <w:rPr>
          <w:rFonts w:ascii="Cambria" w:eastAsia="Cambria" w:hAnsi="Cambria" w:cs="Cambria"/>
          <w:color w:val="000000"/>
          <w:shd w:val="clear" w:color="auto" w:fill="FFFFFF"/>
        </w:rPr>
        <w:t>Colour and Theming — a consistent palette distinguishes positive outcomes (Pass, Low Risk) from negative ones (Dropout, High Risk), against a neutral background that keeps the KPI cards and chart data the visual focus.</w:t>
      </w:r>
    </w:p>
    <w:p w14:paraId="47B6C794" w14:textId="77777777" w:rsidR="00852824" w:rsidRDefault="00000000">
      <w:pPr>
        <w:numPr>
          <w:ilvl w:val="0"/>
          <w:numId w:val="1"/>
        </w:numPr>
        <w:spacing w:after="0" w:line="259" w:lineRule="auto"/>
        <w:ind w:left="1440" w:hanging="360"/>
        <w:rPr>
          <w:rFonts w:ascii="Cambria" w:eastAsia="Cambria" w:hAnsi="Cambria" w:cs="Cambria"/>
          <w:color w:val="000000"/>
          <w:shd w:val="clear" w:color="auto" w:fill="FFFFFF"/>
        </w:rPr>
      </w:pPr>
      <w:r>
        <w:rPr>
          <w:rFonts w:ascii="Cambria" w:eastAsia="Cambria" w:hAnsi="Cambria" w:cs="Cambria"/>
          <w:color w:val="000000"/>
          <w:shd w:val="clear" w:color="auto" w:fill="FFFFFF"/>
        </w:rPr>
        <w:t>Interactive Filters and Slicers — six slicers (Gender, Engagement Level, Region, Performance Level, Risk Level, Final Result) let users cross-filter every KPI and chart on the page in real time.</w:t>
      </w:r>
    </w:p>
    <w:p w14:paraId="4A136689" w14:textId="77777777" w:rsidR="00852824" w:rsidRDefault="00000000">
      <w:pPr>
        <w:numPr>
          <w:ilvl w:val="0"/>
          <w:numId w:val="1"/>
        </w:numPr>
        <w:spacing w:after="0" w:line="259" w:lineRule="auto"/>
        <w:ind w:left="1440" w:hanging="360"/>
        <w:rPr>
          <w:rFonts w:ascii="Cambria" w:eastAsia="Cambria" w:hAnsi="Cambria" w:cs="Cambria"/>
          <w:color w:val="000000"/>
          <w:shd w:val="clear" w:color="auto" w:fill="FFFFFF"/>
        </w:rPr>
      </w:pPr>
      <w:r>
        <w:rPr>
          <w:rFonts w:ascii="Cambria" w:eastAsia="Cambria" w:hAnsi="Cambria" w:cs="Cambria"/>
          <w:color w:val="000000"/>
          <w:shd w:val="clear" w:color="auto" w:fill="FFFFFF"/>
        </w:rPr>
        <w:t>Drill-Down Capabilities — the AI-powered decomposition tree lets users expand Dropout Rate by engagement level, performance level, and region to explore root causes interactively.</w:t>
      </w:r>
    </w:p>
    <w:p w14:paraId="65517394" w14:textId="77777777" w:rsidR="00852824" w:rsidRDefault="00000000">
      <w:pPr>
        <w:numPr>
          <w:ilvl w:val="0"/>
          <w:numId w:val="1"/>
        </w:numPr>
        <w:spacing w:after="0" w:line="259" w:lineRule="auto"/>
        <w:ind w:left="1440" w:hanging="360"/>
        <w:rPr>
          <w:rFonts w:ascii="Cambria" w:eastAsia="Cambria" w:hAnsi="Cambria" w:cs="Cambria"/>
          <w:color w:val="000000"/>
          <w:shd w:val="clear" w:color="auto" w:fill="FFFFFF"/>
        </w:rPr>
      </w:pPr>
      <w:r>
        <w:rPr>
          <w:rFonts w:ascii="Cambria" w:eastAsia="Cambria" w:hAnsi="Cambria" w:cs="Cambria"/>
          <w:color w:val="000000"/>
          <w:shd w:val="clear" w:color="auto" w:fill="FFFFFF"/>
        </w:rPr>
        <w:t>Responsive Design — visuals and cards are sized and aligned in a grid layout that remains readable across different screen sizes when the report is viewed in Power BI Service.</w:t>
      </w:r>
    </w:p>
    <w:p w14:paraId="00CBDE7E" w14:textId="77777777" w:rsidR="00852824" w:rsidRDefault="00000000">
      <w:pPr>
        <w:numPr>
          <w:ilvl w:val="0"/>
          <w:numId w:val="1"/>
        </w:numPr>
        <w:spacing w:after="0" w:line="259" w:lineRule="auto"/>
        <w:ind w:left="1440" w:hanging="360"/>
        <w:rPr>
          <w:rFonts w:ascii="Cambria" w:eastAsia="Cambria" w:hAnsi="Cambria" w:cs="Cambria"/>
          <w:color w:val="000000"/>
          <w:shd w:val="clear" w:color="auto" w:fill="FFFFFF"/>
        </w:rPr>
      </w:pPr>
      <w:r>
        <w:rPr>
          <w:rFonts w:ascii="Cambria" w:eastAsia="Cambria" w:hAnsi="Cambria" w:cs="Cambria"/>
          <w:color w:val="000000"/>
          <w:shd w:val="clear" w:color="auto" w:fill="FFFFFF"/>
        </w:rPr>
        <w:t>Custom Visuals and Icons — the decomposition tree is used as an AI-powered custom visual, and KPI cards use concise labels to keep the header row scannable at a glance.</w:t>
      </w:r>
    </w:p>
    <w:p w14:paraId="28234691" w14:textId="77777777" w:rsidR="00852824" w:rsidRDefault="00000000">
      <w:pPr>
        <w:numPr>
          <w:ilvl w:val="0"/>
          <w:numId w:val="1"/>
        </w:numPr>
        <w:spacing w:line="259" w:lineRule="auto"/>
        <w:ind w:left="1440" w:hanging="360"/>
        <w:rPr>
          <w:rFonts w:ascii="Cambria" w:eastAsia="Cambria" w:hAnsi="Cambria" w:cs="Cambria"/>
          <w:color w:val="000000"/>
          <w:shd w:val="clear" w:color="auto" w:fill="FFFFFF"/>
        </w:rPr>
      </w:pPr>
      <w:r>
        <w:rPr>
          <w:rFonts w:ascii="Cambria" w:eastAsia="Cambria" w:hAnsi="Cambria" w:cs="Cambria"/>
          <w:color w:val="000000"/>
          <w:shd w:val="clear" w:color="auto" w:fill="FFFFFF"/>
        </w:rPr>
        <w:lastRenderedPageBreak/>
        <w:t>Use of Infographics — KPI cards act as at-a-glance infographic elements, condensing Total Students, Dropout Rate, Average Score, Average Clicks, and Pass Rate into single-number visuals.</w:t>
      </w:r>
    </w:p>
    <w:p w14:paraId="6C56E464" w14:textId="77777777" w:rsidR="00852824" w:rsidRDefault="00852824">
      <w:pPr>
        <w:spacing w:line="240" w:lineRule="auto"/>
        <w:ind w:left="1080"/>
        <w:rPr>
          <w:rFonts w:ascii="Arial" w:eastAsia="Arial" w:hAnsi="Arial" w:cs="Arial"/>
          <w:color w:val="333333"/>
          <w:sz w:val="20"/>
        </w:rPr>
      </w:pPr>
    </w:p>
    <w:p w14:paraId="5C84D31D" w14:textId="7E3BE5E0" w:rsidR="00852824" w:rsidRDefault="00DE3193">
      <w:pPr>
        <w:spacing w:after="200" w:line="240" w:lineRule="auto"/>
        <w:rPr>
          <w:rFonts w:ascii="Calibri" w:eastAsia="Calibri" w:hAnsi="Calibri" w:cs="Calibri"/>
          <w:sz w:val="22"/>
        </w:rPr>
      </w:pPr>
      <w:r>
        <w:rPr>
          <w:noProof/>
        </w:rPr>
        <w:drawing>
          <wp:inline distT="0" distB="0" distL="0" distR="0" wp14:anchorId="63F5F236" wp14:editId="2D42D7FC">
            <wp:extent cx="5731510" cy="3137535"/>
            <wp:effectExtent l="0" t="0" r="0" b="0"/>
            <wp:docPr id="1993932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137535"/>
                    </a:xfrm>
                    <a:prstGeom prst="rect">
                      <a:avLst/>
                    </a:prstGeom>
                    <a:noFill/>
                    <a:ln>
                      <a:noFill/>
                    </a:ln>
                  </pic:spPr>
                </pic:pic>
              </a:graphicData>
            </a:graphic>
          </wp:inline>
        </w:drawing>
      </w:r>
    </w:p>
    <w:p w14:paraId="10B3925A" w14:textId="3D163A9A" w:rsidR="00852824" w:rsidRPr="00DE3193" w:rsidRDefault="00852824">
      <w:pPr>
        <w:spacing w:after="200" w:line="240" w:lineRule="auto"/>
        <w:rPr>
          <w:rFonts w:ascii="Arial" w:eastAsia="Arial" w:hAnsi="Arial" w:cs="Arial"/>
          <w:sz w:val="20"/>
        </w:rPr>
      </w:pPr>
    </w:p>
    <w:p w14:paraId="540233CD" w14:textId="77777777" w:rsidR="00852824" w:rsidRPr="00DE3193" w:rsidRDefault="00000000">
      <w:pPr>
        <w:spacing w:after="200" w:line="240" w:lineRule="auto"/>
        <w:rPr>
          <w:rFonts w:ascii="Calibri" w:eastAsia="Calibri" w:hAnsi="Calibri" w:cs="Calibri"/>
        </w:rPr>
      </w:pPr>
      <w:r w:rsidRPr="00DE3193">
        <w:rPr>
          <w:rFonts w:ascii="Calibri" w:eastAsia="Calibri" w:hAnsi="Calibri" w:cs="Calibri"/>
        </w:rPr>
        <w:t xml:space="preserve">Here are </w:t>
      </w:r>
      <w:r w:rsidRPr="00DE3193">
        <w:rPr>
          <w:rFonts w:ascii="Calibri" w:eastAsia="Calibri" w:hAnsi="Calibri" w:cs="Calibri"/>
          <w:b/>
          <w:bCs/>
          <w:highlight w:val="yellow"/>
        </w:rPr>
        <w:t>five key outcomes</w:t>
      </w:r>
      <w:r w:rsidRPr="00DE3193">
        <w:rPr>
          <w:rFonts w:ascii="Calibri" w:eastAsia="Calibri" w:hAnsi="Calibri" w:cs="Calibri"/>
        </w:rPr>
        <w:t xml:space="preserve"> derived from the Online Learning Engagement and Student Performance Analysis dashboard:</w:t>
      </w:r>
    </w:p>
    <w:p w14:paraId="738A26A5" w14:textId="37B1A599" w:rsidR="00852824" w:rsidRPr="00DE3193" w:rsidRDefault="00000000">
      <w:pPr>
        <w:numPr>
          <w:ilvl w:val="0"/>
          <w:numId w:val="2"/>
        </w:numPr>
        <w:spacing w:after="200" w:line="240" w:lineRule="auto"/>
        <w:ind w:left="720" w:hanging="360"/>
        <w:rPr>
          <w:rFonts w:ascii="Calibri" w:eastAsia="Calibri" w:hAnsi="Calibri" w:cs="Calibri"/>
        </w:rPr>
      </w:pPr>
      <w:r w:rsidRPr="00DE3193">
        <w:rPr>
          <w:rFonts w:ascii="Calibri" w:eastAsia="Calibri" w:hAnsi="Calibri" w:cs="Calibri"/>
          <w:b/>
          <w:color w:val="7030A0"/>
        </w:rPr>
        <w:t xml:space="preserve">Total Student </w:t>
      </w:r>
      <w:proofErr w:type="spellStart"/>
      <w:r w:rsidRPr="00DE3193">
        <w:rPr>
          <w:rFonts w:ascii="Calibri" w:eastAsia="Calibri" w:hAnsi="Calibri" w:cs="Calibri"/>
          <w:b/>
          <w:color w:val="7030A0"/>
        </w:rPr>
        <w:t>Enrollment</w:t>
      </w:r>
      <w:proofErr w:type="spellEnd"/>
      <w:r w:rsidRPr="00DE3193">
        <w:rPr>
          <w:rFonts w:ascii="Calibri" w:eastAsia="Calibri" w:hAnsi="Calibri" w:cs="Calibri"/>
        </w:rPr>
        <w:t>:</w:t>
      </w:r>
      <w:r w:rsidR="00DE3193" w:rsidRPr="00DE3193">
        <w:rPr>
          <w:rFonts w:ascii="Calibri" w:eastAsia="Calibri" w:hAnsi="Calibri" w:cs="Calibri"/>
        </w:rPr>
        <w:t xml:space="preserve"> </w:t>
      </w:r>
      <w:r w:rsidRPr="00DE3193">
        <w:rPr>
          <w:rFonts w:ascii="Calibri" w:eastAsia="Calibri" w:hAnsi="Calibri" w:cs="Calibri"/>
        </w:rPr>
        <w:t xml:space="preserve"> The dataset covers </w:t>
      </w:r>
      <w:r w:rsidRPr="00DE3193">
        <w:rPr>
          <w:rFonts w:ascii="Calibri" w:eastAsia="Calibri" w:hAnsi="Calibri" w:cs="Calibri"/>
          <w:b/>
        </w:rPr>
        <w:t xml:space="preserve">28,785 unique students (32,593 total </w:t>
      </w:r>
      <w:proofErr w:type="spellStart"/>
      <w:r w:rsidRPr="00DE3193">
        <w:rPr>
          <w:rFonts w:ascii="Calibri" w:eastAsia="Calibri" w:hAnsi="Calibri" w:cs="Calibri"/>
          <w:b/>
        </w:rPr>
        <w:t>enrollment</w:t>
      </w:r>
      <w:proofErr w:type="spellEnd"/>
      <w:r w:rsidRPr="00DE3193">
        <w:rPr>
          <w:rFonts w:ascii="Calibri" w:eastAsia="Calibri" w:hAnsi="Calibri" w:cs="Calibri"/>
          <w:b/>
        </w:rPr>
        <w:t xml:space="preserve"> records)</w:t>
      </w:r>
      <w:r w:rsidRPr="00DE3193">
        <w:rPr>
          <w:rFonts w:ascii="Calibri" w:eastAsia="Calibri" w:hAnsi="Calibri" w:cs="Calibri"/>
        </w:rPr>
        <w:t>, reflecting the scale of activity captured on the platform.</w:t>
      </w:r>
    </w:p>
    <w:p w14:paraId="15F98CB8" w14:textId="77777777" w:rsidR="00852824" w:rsidRPr="00DE3193" w:rsidRDefault="00000000">
      <w:pPr>
        <w:numPr>
          <w:ilvl w:val="0"/>
          <w:numId w:val="2"/>
        </w:numPr>
        <w:spacing w:after="200" w:line="240" w:lineRule="auto"/>
        <w:ind w:left="720" w:hanging="360"/>
        <w:rPr>
          <w:rFonts w:ascii="Calibri" w:eastAsia="Calibri" w:hAnsi="Calibri" w:cs="Calibri"/>
        </w:rPr>
      </w:pPr>
      <w:r w:rsidRPr="00DE3193">
        <w:rPr>
          <w:rFonts w:ascii="Calibri" w:eastAsia="Calibri" w:hAnsi="Calibri" w:cs="Calibri"/>
          <w:b/>
          <w:color w:val="7030A0"/>
        </w:rPr>
        <w:t>Dropout and Pass Rates</w:t>
      </w:r>
      <w:r w:rsidRPr="00DE3193">
        <w:rPr>
          <w:rFonts w:ascii="Calibri" w:eastAsia="Calibri" w:hAnsi="Calibri" w:cs="Calibri"/>
        </w:rPr>
        <w:t xml:space="preserve">: Overall, </w:t>
      </w:r>
      <w:r w:rsidRPr="00DE3193">
        <w:rPr>
          <w:rFonts w:ascii="Calibri" w:eastAsia="Calibri" w:hAnsi="Calibri" w:cs="Calibri"/>
          <w:b/>
        </w:rPr>
        <w:t>31.16% of students dropped out, while 47.20% passed the course</w:t>
      </w:r>
      <w:r w:rsidRPr="00DE3193">
        <w:rPr>
          <w:rFonts w:ascii="Calibri" w:eastAsia="Calibri" w:hAnsi="Calibri" w:cs="Calibri"/>
        </w:rPr>
        <w:t>, highlighting a substantial at-risk population that needs earlier intervention.</w:t>
      </w:r>
    </w:p>
    <w:p w14:paraId="21981D3A" w14:textId="77777777" w:rsidR="00852824" w:rsidRPr="00DE3193" w:rsidRDefault="00000000">
      <w:pPr>
        <w:numPr>
          <w:ilvl w:val="0"/>
          <w:numId w:val="2"/>
        </w:numPr>
        <w:spacing w:after="200" w:line="240" w:lineRule="auto"/>
        <w:ind w:left="720" w:hanging="360"/>
        <w:rPr>
          <w:rFonts w:ascii="Calibri" w:eastAsia="Calibri" w:hAnsi="Calibri" w:cs="Calibri"/>
        </w:rPr>
      </w:pPr>
      <w:r w:rsidRPr="00DE3193">
        <w:rPr>
          <w:rFonts w:ascii="Calibri" w:eastAsia="Calibri" w:hAnsi="Calibri" w:cs="Calibri"/>
          <w:b/>
          <w:color w:val="7030A0"/>
        </w:rPr>
        <w:t>Engagement Drives Performance</w:t>
      </w:r>
      <w:r w:rsidRPr="00DE3193">
        <w:rPr>
          <w:rFonts w:ascii="Calibri" w:eastAsia="Calibri" w:hAnsi="Calibri" w:cs="Calibri"/>
        </w:rPr>
        <w:t xml:space="preserve">: Students with High engagement scored an average of </w:t>
      </w:r>
      <w:r w:rsidRPr="00DE3193">
        <w:rPr>
          <w:rFonts w:ascii="Calibri" w:eastAsia="Calibri" w:hAnsi="Calibri" w:cs="Calibri"/>
          <w:b/>
        </w:rPr>
        <w:t>78.10, versus just 66.05 for Low-engagement students</w:t>
      </w:r>
      <w:r w:rsidRPr="00DE3193">
        <w:rPr>
          <w:rFonts w:ascii="Calibri" w:eastAsia="Calibri" w:hAnsi="Calibri" w:cs="Calibri"/>
        </w:rPr>
        <w:t xml:space="preserve"> — a gap of more than 12 points on average score.</w:t>
      </w:r>
    </w:p>
    <w:p w14:paraId="63A5FE41" w14:textId="77777777" w:rsidR="00852824" w:rsidRPr="00DE3193" w:rsidRDefault="00000000">
      <w:pPr>
        <w:numPr>
          <w:ilvl w:val="0"/>
          <w:numId w:val="2"/>
        </w:numPr>
        <w:spacing w:after="200" w:line="240" w:lineRule="auto"/>
        <w:ind w:left="720" w:hanging="360"/>
        <w:rPr>
          <w:rFonts w:ascii="Calibri" w:eastAsia="Calibri" w:hAnsi="Calibri" w:cs="Calibri"/>
        </w:rPr>
      </w:pPr>
      <w:r w:rsidRPr="00DE3193">
        <w:rPr>
          <w:rFonts w:ascii="Calibri" w:eastAsia="Calibri" w:hAnsi="Calibri" w:cs="Calibri"/>
          <w:b/>
          <w:color w:val="7030A0"/>
        </w:rPr>
        <w:t>Engagement Reduces Dropout</w:t>
      </w:r>
      <w:r w:rsidRPr="00DE3193">
        <w:rPr>
          <w:rFonts w:ascii="Calibri" w:eastAsia="Calibri" w:hAnsi="Calibri" w:cs="Calibri"/>
        </w:rPr>
        <w:t xml:space="preserve">: Dropout rate falls sharply as engagement rises — </w:t>
      </w:r>
      <w:r w:rsidRPr="00DE3193">
        <w:rPr>
          <w:rFonts w:ascii="Calibri" w:eastAsia="Calibri" w:hAnsi="Calibri" w:cs="Calibri"/>
          <w:b/>
        </w:rPr>
        <w:t>43.61% for Low-engagement students</w:t>
      </w:r>
      <w:r w:rsidRPr="00DE3193">
        <w:rPr>
          <w:rFonts w:ascii="Calibri" w:eastAsia="Calibri" w:hAnsi="Calibri" w:cs="Calibri"/>
        </w:rPr>
        <w:t xml:space="preserve"> compared with only </w:t>
      </w:r>
      <w:r w:rsidRPr="00DE3193">
        <w:rPr>
          <w:rFonts w:ascii="Calibri" w:eastAsia="Calibri" w:hAnsi="Calibri" w:cs="Calibri"/>
          <w:b/>
        </w:rPr>
        <w:t>11.90% for High-engagement students</w:t>
      </w:r>
      <w:r w:rsidRPr="00DE3193">
        <w:rPr>
          <w:rFonts w:ascii="Calibri" w:eastAsia="Calibri" w:hAnsi="Calibri" w:cs="Calibri"/>
        </w:rPr>
        <w:t>.</w:t>
      </w:r>
    </w:p>
    <w:p w14:paraId="7217E8B0" w14:textId="77777777" w:rsidR="00852824" w:rsidRPr="00DE3193" w:rsidRDefault="00000000">
      <w:pPr>
        <w:numPr>
          <w:ilvl w:val="0"/>
          <w:numId w:val="2"/>
        </w:numPr>
        <w:spacing w:after="200" w:line="240" w:lineRule="auto"/>
        <w:ind w:left="720" w:hanging="360"/>
        <w:rPr>
          <w:rFonts w:ascii="Calibri" w:eastAsia="Calibri" w:hAnsi="Calibri" w:cs="Calibri"/>
        </w:rPr>
      </w:pPr>
      <w:r w:rsidRPr="00DE3193">
        <w:rPr>
          <w:rFonts w:ascii="Calibri" w:eastAsia="Calibri" w:hAnsi="Calibri" w:cs="Calibri"/>
          <w:b/>
          <w:color w:val="7030A0"/>
        </w:rPr>
        <w:t>Risk Level Spread</w:t>
      </w:r>
      <w:r w:rsidRPr="00DE3193">
        <w:rPr>
          <w:rFonts w:ascii="Calibri" w:eastAsia="Calibri" w:hAnsi="Calibri" w:cs="Calibri"/>
        </w:rPr>
        <w:t xml:space="preserve">: Students are spread almost evenly across risk bands, with Very </w:t>
      </w:r>
      <w:proofErr w:type="gramStart"/>
      <w:r w:rsidRPr="00DE3193">
        <w:rPr>
          <w:rFonts w:ascii="Calibri" w:eastAsia="Calibri" w:hAnsi="Calibri" w:cs="Calibri"/>
        </w:rPr>
        <w:t>High Risk</w:t>
      </w:r>
      <w:proofErr w:type="gramEnd"/>
      <w:r w:rsidRPr="00DE3193">
        <w:rPr>
          <w:rFonts w:ascii="Calibri" w:eastAsia="Calibri" w:hAnsi="Calibri" w:cs="Calibri"/>
        </w:rPr>
        <w:t xml:space="preserve"> students making up 25.04% of the population — underscoring the need for proactive, dashboard-driven intervention.</w:t>
      </w:r>
    </w:p>
    <w:p w14:paraId="1A46A96B" w14:textId="77777777" w:rsidR="00852824" w:rsidRPr="00DE3193" w:rsidRDefault="00852824">
      <w:pPr>
        <w:spacing w:after="200" w:line="240" w:lineRule="auto"/>
        <w:rPr>
          <w:rFonts w:ascii="Calibri" w:eastAsia="Calibri" w:hAnsi="Calibri" w:cs="Calibri"/>
        </w:rPr>
      </w:pPr>
    </w:p>
    <w:sectPr w:rsidR="00852824" w:rsidRPr="00DE31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50A0E"/>
    <w:multiLevelType w:val="multilevel"/>
    <w:tmpl w:val="CD780BB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4065BCC"/>
    <w:multiLevelType w:val="multilevel"/>
    <w:tmpl w:val="B2F4E70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807502636">
    <w:abstractNumId w:val="1"/>
  </w:num>
  <w:num w:numId="2" w16cid:durableId="19358920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852824"/>
    <w:rsid w:val="0047365E"/>
    <w:rsid w:val="00560EBB"/>
    <w:rsid w:val="00852824"/>
    <w:rsid w:val="009B5CA0"/>
    <w:rsid w:val="00C56DA2"/>
    <w:rsid w:val="00DE31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9900E"/>
  <w15:docId w15:val="{69A30DDD-2614-4D49-AD44-50F8D1D6B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526</Words>
  <Characters>3004</Characters>
  <Application>Microsoft Office Word</Application>
  <DocSecurity>0</DocSecurity>
  <Lines>25</Lines>
  <Paragraphs>7</Paragraphs>
  <ScaleCrop>false</ScaleCrop>
  <Company/>
  <LinksUpToDate>false</LinksUpToDate>
  <CharactersWithSpaces>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Bhagya sri</cp:lastModifiedBy>
  <cp:revision>5</cp:revision>
  <dcterms:created xsi:type="dcterms:W3CDTF">2026-09-20T15:29:00Z</dcterms:created>
  <dcterms:modified xsi:type="dcterms:W3CDTF">2026-09-21T10:00:00Z</dcterms:modified>
</cp:coreProperties>
</file>