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392B"/>
          <w:sz w:val="40"/>
        </w:rPr>
        <w:t>Employee Attrition — Executive Findings Summary</w:t>
      </w:r>
    </w:p>
    <w:p>
      <w:pPr>
        <w:spacing w:after="80"/>
        <w:jc w:val="center"/>
      </w:pPr>
      <w:r>
        <w:rPr>
          <w:color w:val="7F8C8D"/>
          <w:sz w:val="20"/>
        </w:rPr>
        <w:t>Presented by: SRIDHAR S     |     Date: 30 June 2026     |     Prepared for: HR Director</w:t>
      </w:r>
    </w:p>
    <w:tbl>
      <w:tblPr>
        <w:tblW w:type="auto" w:w="0"/>
        <w:jc w:val="center"/>
        <w:tblLook w:firstColumn="1" w:firstRow="1" w:lastColumn="0" w:lastRow="0" w:noHBand="0" w:noVBand="1" w:val="04A0"/>
      </w:tblPr>
      <w:tblGrid>
        <w:gridCol w:w="9746"/>
      </w:tblGrid>
      <w:tr>
        <w:trPr>
          <w:trHeight w:val="80" w:hRule="exact"/>
        </w:trPr>
        <w:tc>
          <w:tcPr>
            <w:tcW w:type="dxa" w:w="9746"/>
            <w:shd w:val="clear" w:color="auto" w:fill="C0392B"/>
          </w:tcPr>
          <w:p>
            <w:pPr>
              <w:spacing w:before="0" w:after="0"/>
            </w:pPr>
          </w:p>
        </w:tc>
      </w:tr>
    </w:tbl>
    <w:p/>
    <w:p>
      <w:pPr>
        <w:spacing w:before="160" w:after="40"/>
        <w:shd w:val="clear" w:color="auto" w:fill="F0F3F4"/>
      </w:pPr>
      <w:r>
        <w:rPr>
          <w:b/>
          <w:color w:val="2C3E50"/>
          <w:sz w:val="24"/>
        </w:rPr>
        <w:t xml:space="preserve">  📌  Why We Did This Study</w:t>
      </w:r>
    </w:p>
    <w:p>
      <w:pPr>
        <w:spacing w:before="20" w:after="60"/>
      </w:pPr>
      <w:r>
        <w:rPr>
          <w:sz w:val="21"/>
        </w:rPr>
        <w:t>We analyzed data from 1,470 employees to understand why people are leaving the company — and more importantly, to help HR identify who is at risk of leaving before they actually resign. Using proven data analysis techniques, we built a system that can flag at-risk employees early, giving HR the time and information needed to act.</w:t>
      </w:r>
    </w:p>
    <w:p>
      <w:pPr>
        <w:spacing w:before="160" w:after="40"/>
        <w:shd w:val="clear" w:color="auto" w:fill="F0F3F4"/>
      </w:pPr>
      <w:r>
        <w:rPr>
          <w:b/>
          <w:color w:val="2C3E50"/>
          <w:sz w:val="24"/>
        </w:rPr>
        <w:t xml:space="preserve">  📊  The Big Picture</w:t>
      </w:r>
    </w:p>
    <w:p>
      <w:pPr>
        <w:spacing w:before="80" w:after="120"/>
        <w:ind w:left="227"/>
        <w:shd w:val="clear" w:color="auto" w:fill="FDEDEC"/>
      </w:pPr>
      <w:r>
        <w:rPr>
          <w:i/>
          <w:color w:val="922B21"/>
          <w:sz w:val="21"/>
        </w:rPr>
        <w:t xml:space="preserve">  Out of every 10 employees, roughly 3 have left the company. That is a 29.7% attrition rate — significantly higher than the healthy industry benchmark of 10–15%.</w:t>
      </w:r>
    </w:p>
    <w:p>
      <w:pPr>
        <w:spacing w:before="20" w:after="60"/>
      </w:pPr>
      <w:r>
        <w:rPr>
          <w:sz w:val="21"/>
        </w:rPr>
        <w:t>This means the company is losing nearly 1 in 3 people it hires, which carries a direct cost in recruitment, onboarding, and lost institutional knowledge.</w:t>
      </w:r>
    </w:p>
    <w:p>
      <w:pPr>
        <w:spacing w:before="160" w:after="40"/>
        <w:shd w:val="clear" w:color="auto" w:fill="F0F3F4"/>
      </w:pPr>
      <w:r>
        <w:rPr>
          <w:b/>
          <w:color w:val="2C3E50"/>
          <w:sz w:val="24"/>
        </w:rPr>
        <w:t xml:space="preserve">  🔍  The Three Biggest Reasons Employees Leave</w:t>
      </w:r>
    </w:p>
    <w:p>
      <w:pPr>
        <w:spacing w:before="100" w:after="20"/>
        <w:ind w:left="227"/>
      </w:pPr>
      <w:r>
        <w:rPr>
          <w:b/>
          <w:color w:val="C0392B"/>
          <w:sz w:val="21"/>
        </w:rPr>
        <w:t>😞  Low Job Satisfaction — The #1 Driver</w:t>
      </w:r>
    </w:p>
    <w:p>
      <w:pPr>
        <w:spacing w:before="20" w:after="60"/>
        <w:ind w:left="340"/>
      </w:pPr>
      <w:r>
        <w:rPr>
          <w:sz w:val="21"/>
        </w:rPr>
        <w:t>Employees who rate their job satisfaction as low (1 or 2 out of 4) are dramatically more likely to resign. This is the single strongest signal our analysis found. An unhappy employee is not just unproductive — they are already planning their exit.</w:t>
      </w:r>
    </w:p>
    <w:p>
      <w:pPr>
        <w:spacing w:before="100" w:after="20"/>
        <w:ind w:left="227"/>
      </w:pPr>
      <w:r>
        <w:rPr>
          <w:b/>
          <w:color w:val="C0392B"/>
          <w:sz w:val="21"/>
        </w:rPr>
        <w:t>⏰  Overwork &amp; Burnout — The #2 Driver</w:t>
      </w:r>
    </w:p>
    <w:p>
      <w:pPr>
        <w:spacing w:before="20" w:after="60"/>
        <w:ind w:left="340"/>
      </w:pPr>
      <w:r>
        <w:rPr>
          <w:sz w:val="21"/>
        </w:rPr>
        <w:t>Employees who regularly work overtime are significantly more likely to leave. Burnout is a quiet crisis — employees rarely announce it, they simply submit a resignation letter. Our data confirms this pattern clearly.</w:t>
      </w:r>
    </w:p>
    <w:p>
      <w:pPr>
        <w:spacing w:before="100" w:after="20"/>
        <w:ind w:left="227"/>
      </w:pPr>
      <w:r>
        <w:rPr>
          <w:b/>
          <w:color w:val="C0392B"/>
          <w:sz w:val="21"/>
        </w:rPr>
        <w:t>🧭  Role &amp; Department Fit — The #3 Driver</w:t>
      </w:r>
    </w:p>
    <w:p>
      <w:pPr>
        <w:spacing w:before="20" w:after="60"/>
        <w:ind w:left="340"/>
      </w:pPr>
      <w:r>
        <w:rPr>
          <w:sz w:val="21"/>
        </w:rPr>
        <w:t>Certain roles and departments carry a disproportionately high exit rate. Sales Executives and Human Resources staff are the highest-risk groups, with attrition rates exceeding 37% in those roles.</w:t>
      </w:r>
    </w:p>
    <w:p>
      <w:pPr>
        <w:spacing w:before="160" w:after="40"/>
        <w:shd w:val="clear" w:color="auto" w:fill="F0F3F4"/>
      </w:pPr>
      <w:r>
        <w:rPr>
          <w:b/>
          <w:color w:val="2C3E50"/>
          <w:sz w:val="24"/>
        </w:rPr>
        <w:t xml:space="preserve">  🏢  Which Teams Need Immediate Attention?</w:t>
      </w:r>
    </w:p>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2C3E50"/>
          </w:tcPr>
          <w:p>
            <w:pPr>
              <w:jc w:val="center"/>
            </w:pPr>
            <w:r>
              <w:rPr>
                <w:b/>
                <w:color w:val="FFFFFF"/>
                <w:sz w:val="20"/>
              </w:rPr>
              <w:t>Department</w:t>
            </w:r>
          </w:p>
        </w:tc>
        <w:tc>
          <w:tcPr>
            <w:tcW w:type="dxa" w:w="3249"/>
            <w:shd w:val="clear" w:color="auto" w:fill="2C3E50"/>
          </w:tcPr>
          <w:p>
            <w:pPr>
              <w:jc w:val="center"/>
            </w:pPr>
            <w:r>
              <w:rPr>
                <w:b/>
                <w:color w:val="FFFFFF"/>
                <w:sz w:val="20"/>
              </w:rPr>
              <w:t>Attrition Rate</w:t>
            </w:r>
          </w:p>
        </w:tc>
        <w:tc>
          <w:tcPr>
            <w:tcW w:type="dxa" w:w="3249"/>
            <w:shd w:val="clear" w:color="auto" w:fill="2C3E50"/>
          </w:tcPr>
          <w:p>
            <w:pPr>
              <w:jc w:val="center"/>
            </w:pPr>
            <w:r>
              <w:rPr>
                <w:b/>
                <w:color w:val="FFFFFF"/>
                <w:sz w:val="20"/>
              </w:rPr>
              <w:t>Status</w:t>
            </w:r>
          </w:p>
        </w:tc>
      </w:tr>
      <w:tr>
        <w:tc>
          <w:tcPr>
            <w:tcW w:type="dxa" w:w="3249"/>
            <w:shd w:val="clear" w:color="auto" w:fill="FADBD8"/>
          </w:tcPr>
          <w:p>
            <w:pPr>
              <w:jc w:val="center"/>
            </w:pPr>
            <w:r>
              <w:rPr>
                <w:color w:val="C0392B"/>
                <w:sz w:val="20"/>
              </w:rPr>
              <w:t>🔴  Sales</w:t>
            </w:r>
          </w:p>
        </w:tc>
        <w:tc>
          <w:tcPr>
            <w:tcW w:type="dxa" w:w="3249"/>
            <w:shd w:val="clear" w:color="auto" w:fill="FADBD8"/>
          </w:tcPr>
          <w:p>
            <w:pPr>
              <w:jc w:val="center"/>
            </w:pPr>
            <w:r>
              <w:rPr>
                <w:b/>
                <w:color w:val="C0392B"/>
                <w:sz w:val="20"/>
              </w:rPr>
              <w:t>34.9%</w:t>
            </w:r>
          </w:p>
        </w:tc>
        <w:tc>
          <w:tcPr>
            <w:tcW w:type="dxa" w:w="3249"/>
            <w:shd w:val="clear" w:color="auto" w:fill="FADBD8"/>
          </w:tcPr>
          <w:p>
            <w:pPr>
              <w:jc w:val="center"/>
            </w:pPr>
            <w:r>
              <w:rPr>
                <w:b/>
                <w:color w:val="C0392B"/>
                <w:sz w:val="20"/>
              </w:rPr>
              <w:t>Critical — Act Now</w:t>
            </w:r>
          </w:p>
        </w:tc>
      </w:tr>
      <w:tr>
        <w:tc>
          <w:tcPr>
            <w:tcW w:type="dxa" w:w="3249"/>
            <w:shd w:val="clear" w:color="auto" w:fill="FDEBD0"/>
          </w:tcPr>
          <w:p>
            <w:pPr>
              <w:jc w:val="center"/>
            </w:pPr>
            <w:r>
              <w:rPr>
                <w:color w:val="D35400"/>
                <w:sz w:val="20"/>
              </w:rPr>
              <w:t>🟠  Human Resources</w:t>
            </w:r>
          </w:p>
        </w:tc>
        <w:tc>
          <w:tcPr>
            <w:tcW w:type="dxa" w:w="3249"/>
            <w:shd w:val="clear" w:color="auto" w:fill="FDEBD0"/>
          </w:tcPr>
          <w:p>
            <w:pPr>
              <w:jc w:val="center"/>
            </w:pPr>
            <w:r>
              <w:rPr>
                <w:b/>
                <w:color w:val="D35400"/>
                <w:sz w:val="20"/>
              </w:rPr>
              <w:t>34.4%</w:t>
            </w:r>
          </w:p>
        </w:tc>
        <w:tc>
          <w:tcPr>
            <w:tcW w:type="dxa" w:w="3249"/>
            <w:shd w:val="clear" w:color="auto" w:fill="FDEBD0"/>
          </w:tcPr>
          <w:p>
            <w:pPr>
              <w:jc w:val="center"/>
            </w:pPr>
            <w:r>
              <w:rPr>
                <w:b/>
                <w:color w:val="D35400"/>
                <w:sz w:val="20"/>
              </w:rPr>
              <w:t>Critical — Act Now</w:t>
            </w:r>
          </w:p>
        </w:tc>
      </w:tr>
      <w:tr>
        <w:tc>
          <w:tcPr>
            <w:tcW w:type="dxa" w:w="3249"/>
            <w:shd w:val="clear" w:color="auto" w:fill="FEF9E7"/>
          </w:tcPr>
          <w:p>
            <w:pPr>
              <w:jc w:val="center"/>
            </w:pPr>
            <w:r>
              <w:rPr>
                <w:color w:val="9A7D0A"/>
                <w:sz w:val="20"/>
              </w:rPr>
              <w:t>🟡  Research &amp; Development</w:t>
            </w:r>
          </w:p>
        </w:tc>
        <w:tc>
          <w:tcPr>
            <w:tcW w:type="dxa" w:w="3249"/>
            <w:shd w:val="clear" w:color="auto" w:fill="FEF9E7"/>
          </w:tcPr>
          <w:p>
            <w:pPr>
              <w:jc w:val="center"/>
            </w:pPr>
            <w:r>
              <w:rPr>
                <w:b/>
                <w:color w:val="9A7D0A"/>
                <w:sz w:val="20"/>
              </w:rPr>
              <w:t>26.3%</w:t>
            </w:r>
          </w:p>
        </w:tc>
        <w:tc>
          <w:tcPr>
            <w:tcW w:type="dxa" w:w="3249"/>
            <w:shd w:val="clear" w:color="auto" w:fill="FEF9E7"/>
          </w:tcPr>
          <w:p>
            <w:pPr>
              <w:jc w:val="center"/>
            </w:pPr>
            <w:r>
              <w:rPr>
                <w:b/>
                <w:color w:val="9A7D0A"/>
                <w:sz w:val="20"/>
              </w:rPr>
              <w:t>Monitor Closely</w:t>
            </w:r>
          </w:p>
        </w:tc>
      </w:tr>
    </w:tbl>
    <w:p/>
    <w:p>
      <w:pPr>
        <w:spacing w:before="160" w:after="40"/>
        <w:shd w:val="clear" w:color="auto" w:fill="F0F3F4"/>
      </w:pPr>
      <w:r>
        <w:rPr>
          <w:b/>
          <w:color w:val="2C3E50"/>
          <w:sz w:val="24"/>
        </w:rPr>
        <w:t xml:space="preserve">  💰  Is Low Pay the Problem?</w:t>
      </w:r>
    </w:p>
    <w:p>
      <w:pPr>
        <w:spacing w:before="20" w:after="60"/>
      </w:pPr>
      <w:r>
        <w:rPr>
          <w:sz w:val="21"/>
        </w:rPr>
        <w:t>Partially — but it is not the main story. Employees who left do earn slightly less on average, but our analysis shows that salary alone cannot explain or fix the attrition problem. An employee who is satisfied, respected, and not burned out is unlikely to leave — even if a competitor offers marginally more pay. Throwing money at the problem without addressing satisfaction and workload will not deliver lasting results.</w:t>
      </w:r>
    </w:p>
    <w:p>
      <w:pPr>
        <w:spacing w:before="160" w:after="40"/>
        <w:shd w:val="clear" w:color="auto" w:fill="EAF7EE"/>
      </w:pPr>
      <w:r>
        <w:rPr>
          <w:b/>
          <w:color w:val="1E8449"/>
          <w:sz w:val="24"/>
        </w:rPr>
        <w:t xml:space="preserve">  ✅  What HR Should Do — Two Concrete Actions</w:t>
      </w:r>
    </w:p>
    <w:p>
      <w:pPr>
        <w:spacing w:before="100" w:after="20"/>
        <w:ind w:left="227"/>
      </w:pPr>
      <w:r>
        <w:rPr>
          <w:b/>
          <w:color w:val="1E8449"/>
          <w:sz w:val="21"/>
        </w:rPr>
        <w:t>✅  Action 1: Launch "Stay Interviews" in Sales &amp; HR</w:t>
      </w:r>
    </w:p>
    <w:p>
      <w:pPr>
        <w:spacing w:before="20" w:after="60"/>
        <w:ind w:left="340"/>
      </w:pPr>
      <w:r>
        <w:rPr>
          <w:sz w:val="21"/>
        </w:rPr>
        <w:t>Starting next quarter, schedule short, informal 1-on-1 conversations with employees in Sales and HR — especially those who have rated their job satisfaction as low. Ask them what would make them want to stay, before they decide to leave. This is far cheaper than replacing them.</w:t>
      </w:r>
    </w:p>
    <w:p>
      <w:pPr>
        <w:spacing w:before="100" w:after="20"/>
        <w:ind w:left="227"/>
      </w:pPr>
      <w:r>
        <w:rPr>
          <w:b/>
          <w:color w:val="1E8449"/>
          <w:sz w:val="21"/>
        </w:rPr>
        <w:t>✅  Action 2: Create an Overtime Monitoring Alert</w:t>
      </w:r>
    </w:p>
    <w:p>
      <w:pPr>
        <w:spacing w:before="20" w:after="60"/>
        <w:ind w:left="340"/>
      </w:pPr>
      <w:r>
        <w:rPr>
          <w:sz w:val="21"/>
        </w:rPr>
        <w:t>Ask your HRIS team to flag any employee logging more than 20% overtime in a rolling month. HR should proactively reach out to these individuals with practical support — workload redistribution, flexible arrangements, or recognition — before burnout turns into a resignation.</w:t>
      </w:r>
    </w:p>
    <w:p>
      <w:pPr>
        <w:spacing w:before="160" w:after="40"/>
        <w:shd w:val="clear" w:color="auto" w:fill="FEF5E7"/>
      </w:pPr>
      <w:r>
        <w:rPr>
          <w:b/>
          <w:color w:val="9A7D0A"/>
          <w:sz w:val="24"/>
        </w:rPr>
        <w:t xml:space="preserve">  ⚠️  One Important Caveat</w:t>
      </w:r>
    </w:p>
    <w:p>
      <w:pPr>
        <w:spacing w:before="20" w:after="60"/>
      </w:pPr>
      <w:r>
        <w:rPr>
          <w:sz w:val="21"/>
        </w:rPr>
        <w:t>This analysis is a powerful early warning tool, not a crystal ball. It identifies patterns from historical data, but it cannot predict sudden personal life events — a spouse's relocation, a family illness, or an unexpected market opportunity. The output should always be followed up with a human conversation. Use it to know who to talk to, not as a final verdict.</w:t>
      </w:r>
    </w:p>
    <w:tbl>
      <w:tblPr>
        <w:tblW w:type="auto" w:w="0"/>
        <w:jc w:val="center"/>
        <w:tblLook w:firstColumn="1" w:firstRow="1" w:lastColumn="0" w:lastRow="0" w:noHBand="0" w:noVBand="1" w:val="04A0"/>
      </w:tblPr>
      <w:tblGrid>
        <w:gridCol w:w="9746"/>
      </w:tblGrid>
      <w:tr>
        <w:trPr>
          <w:trHeight w:val="60" w:hRule="exact"/>
        </w:trPr>
        <w:tc>
          <w:tcPr>
            <w:tcW w:type="dxa" w:w="9746"/>
            <w:shd w:val="clear" w:color="auto" w:fill="C0392B"/>
          </w:tcPr>
          <w:p>
            <w:pPr>
              <w:spacing w:before="0" w:after="0"/>
            </w:pPr>
          </w:p>
        </w:tc>
      </w:tr>
    </w:tbl>
    <w:p/>
    <w:p>
      <w:pPr>
        <w:spacing w:before="80"/>
        <w:jc w:val="center"/>
      </w:pPr>
      <w:r>
        <w:rPr>
          <w:b/>
          <w:color w:val="C0392B"/>
          <w:sz w:val="22"/>
        </w:rPr>
        <w:t xml:space="preserve">Bottom Line:  </w:t>
      </w:r>
      <w:r>
        <w:rPr>
          <w:sz w:val="21"/>
        </w:rPr>
        <w:t>The company's attrition problem is real, measurable, and — most importantly — preventable. The data points clearly to job satisfaction and overwork as the root causes. With targeted interventions in Sales and HR, the company has a strong opportunity to meaningfully reduce turnover within the next two quarters.</w:t>
      </w:r>
    </w:p>
    <w:p>
      <w:pPr>
        <w:spacing w:before="120"/>
        <w:jc w:val="center"/>
      </w:pPr>
      <w:r>
        <w:rPr>
          <w:i/>
          <w:color w:val="999999"/>
          <w:sz w:val="17"/>
        </w:rPr>
        <w:t>Analysis conducted on IBM HR Analytics dataset (1,470 records) using Logistic Regression, Random Forest, and Gradient Boosting models. Best model ROC-AUC: 0.620.</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