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  <w:shd w:val="clear" w:color="auto" w:fill="2C3E50"/>
      </w:pPr>
      <w:r>
        <w:rPr>
          <w:b/>
          <w:color w:val="FFFFFF"/>
          <w:sz w:val="28"/>
        </w:rPr>
        <w:t xml:space="preserve">  EMPLOYEE ATTRITION — EXECUTIVE FINDINGS SUMMARY  </w:t>
      </w:r>
    </w:p>
    <w:p>
      <w:pPr>
        <w:spacing w:before="0" w:after="80"/>
        <w:jc w:val="center"/>
        <w:shd w:val="clear" w:color="auto" w:fill="D5D8DC"/>
      </w:pPr>
      <w:r>
        <w:rPr>
          <w:color w:val="2C3E50"/>
          <w:sz w:val="17"/>
        </w:rPr>
        <w:t xml:space="preserve">  Presented by: SRIDHAR S   |   Date: 30 June 2026   |   Prepared for: HR Director  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216"/>
        <w:gridCol w:w="4706"/>
      </w:tblGrid>
      <w:tr>
        <w:tc>
          <w:tcPr>
            <w:tcW w:type="dxa" w:w="5270"/>
          </w:tcPr>
          <w:p>
            <w:pPr>
              <w:spacing w:before="0" w:after="0"/>
            </w:pPr>
          </w:p>
          <w:p>
            <w:pPr>
              <w:spacing w:before="100" w:after="20"/>
              <w:shd w:val="clear" w:color="auto" w:fill="2C3E50"/>
            </w:pPr>
            <w:r>
              <w:rPr>
                <w:b/>
                <w:color w:val="FFFFFF"/>
                <w:sz w:val="17"/>
              </w:rPr>
              <w:t xml:space="preserve"> 📌 WHY WE DID THIS STUDY </w:t>
            </w:r>
          </w:p>
          <w:p>
            <w:pPr>
              <w:spacing w:before="20" w:after="40"/>
            </w:pPr>
            <w:r>
              <w:rPr>
                <w:sz w:val="17"/>
              </w:rPr>
              <w:t>We analyzed data from 1,470 employees to understand why people leave and to help HR identify at-risk employees before they resign — giving HR time to act early.</w:t>
            </w:r>
          </w:p>
          <w:p>
            <w:pPr>
              <w:spacing w:before="100" w:after="20"/>
              <w:shd w:val="clear" w:color="auto" w:fill="2C3E50"/>
            </w:pPr>
            <w:r>
              <w:rPr>
                <w:b/>
                <w:color w:val="FFFFFF"/>
                <w:sz w:val="17"/>
              </w:rPr>
              <w:t xml:space="preserve"> 📊 THE BIG PICTURE </w:t>
            </w:r>
          </w:p>
          <w:p>
            <w:pPr>
              <w:spacing w:before="40" w:after="40"/>
              <w:shd w:val="clear" w:color="auto" w:fill="FDEDEC"/>
            </w:pPr>
            <w:r>
              <w:rPr>
                <w:i/>
                <w:color w:val="922B21"/>
                <w:sz w:val="16"/>
              </w:rPr>
              <w:t xml:space="preserve"> Nearly 1 in 3 employees has left — a 29.7% attrition rate, far above the healthy benchmark of 10–15%. </w:t>
            </w:r>
          </w:p>
          <w:p>
            <w:pPr>
              <w:spacing w:before="20" w:after="40"/>
            </w:pPr>
            <w:r>
              <w:rPr>
                <w:sz w:val="17"/>
              </w:rPr>
              <w:t>This results in significant costs in recruitment, onboarding, and lost institutional knowledge.</w:t>
            </w:r>
          </w:p>
          <w:p>
            <w:pPr>
              <w:spacing w:before="100" w:after="20"/>
              <w:shd w:val="clear" w:color="auto" w:fill="2C3E50"/>
            </w:pPr>
            <w:r>
              <w:rPr>
                <w:b/>
                <w:color w:val="FFFFFF"/>
                <w:sz w:val="17"/>
              </w:rPr>
              <w:t xml:space="preserve"> 🔍 TOP 3 REASONS EMPLOYEES LEAVE </w:t>
            </w:r>
          </w:p>
          <w:p>
            <w:pPr>
              <w:spacing w:before="60" w:after="0"/>
            </w:pPr>
            <w:r>
              <w:rPr>
                <w:b/>
                <w:color w:val="C0392B"/>
                <w:sz w:val="17"/>
              </w:rPr>
              <w:t>1. Low Job Satisfaction — #1 Driver</w:t>
            </w:r>
          </w:p>
          <w:p>
            <w:pPr>
              <w:spacing w:before="0" w:after="40"/>
              <w:ind w:left="170"/>
            </w:pPr>
            <w:r>
              <w:rPr>
                <w:sz w:val="17"/>
              </w:rPr>
              <w:t>Employees rating satisfaction 1–2 out of 4 are dramatically more likely to resign. An unhappy employee is already planning their exit.</w:t>
            </w:r>
          </w:p>
          <w:p>
            <w:pPr>
              <w:spacing w:before="60" w:after="0"/>
            </w:pPr>
            <w:r>
              <w:rPr>
                <w:b/>
                <w:color w:val="C0392B"/>
                <w:sz w:val="17"/>
              </w:rPr>
              <w:t>2. Overwork &amp; Burnout — #2 Driver</w:t>
            </w:r>
          </w:p>
          <w:p>
            <w:pPr>
              <w:spacing w:before="0" w:after="40"/>
              <w:ind w:left="170"/>
            </w:pPr>
            <w:r>
              <w:rPr>
                <w:sz w:val="17"/>
              </w:rPr>
              <w:t>Employees working regular overtime leave significantly more often. Burnout is silent — they skip the warning and go straight to resignation.</w:t>
            </w:r>
          </w:p>
          <w:p>
            <w:pPr>
              <w:spacing w:before="60" w:after="0"/>
            </w:pPr>
            <w:r>
              <w:rPr>
                <w:b/>
                <w:color w:val="C0392B"/>
                <w:sz w:val="17"/>
              </w:rPr>
              <w:t>3. Role &amp; Department Fit — #3 Driver</w:t>
            </w:r>
          </w:p>
          <w:p>
            <w:pPr>
              <w:spacing w:before="0" w:after="40"/>
              <w:ind w:left="170"/>
            </w:pPr>
            <w:r>
              <w:rPr>
                <w:sz w:val="17"/>
              </w:rPr>
              <w:t>Sales Executives and HR staff are the highest-risk roles, with attrition rates exceeding 37%.</w:t>
            </w:r>
          </w:p>
          <w:p>
            <w:pPr>
              <w:spacing w:before="100" w:after="20"/>
              <w:shd w:val="clear" w:color="auto" w:fill="2C3E50"/>
            </w:pPr>
            <w:r>
              <w:rPr>
                <w:b/>
                <w:color w:val="FFFFFF"/>
                <w:sz w:val="17"/>
              </w:rPr>
              <w:t xml:space="preserve"> 💰 IS LOW PAY THE PROBLEM? </w:t>
            </w:r>
          </w:p>
          <w:p>
            <w:pPr>
              <w:spacing w:before="20" w:after="40"/>
            </w:pPr>
            <w:r>
              <w:rPr>
                <w:sz w:val="17"/>
              </w:rPr>
              <w:t>Partially — but not the main story. Salary alone cannot fix attrition. Employees who are satisfied and respected rarely leave for marginally better pay elsewhere. Addressing satisfaction matters more.</w:t>
            </w:r>
          </w:p>
        </w:tc>
        <w:tc>
          <w:tcPr>
            <w:tcW w:type="dxa" w:w="5270"/>
          </w:tcPr>
          <w:p>
            <w:pPr>
              <w:spacing w:before="0" w:after="0"/>
            </w:pPr>
          </w:p>
          <w:p>
            <w:pPr>
              <w:spacing w:before="100" w:after="20"/>
              <w:shd w:val="clear" w:color="auto" w:fill="1A5276"/>
            </w:pPr>
            <w:r>
              <w:rPr>
                <w:b/>
                <w:color w:val="FFFFFF"/>
                <w:sz w:val="17"/>
              </w:rPr>
              <w:t xml:space="preserve"> 🏢 WHICH TEAMS NEED ATTENTION? </w:t>
            </w:r>
          </w:p>
          <w:p>
            <w:pPr>
              <w:spacing w:before="60" w:after="60"/>
            </w:pPr>
          </w:p>
          <w:tbl>
            <w:tblPr>
              <w:tblStyle w:val="TableGrid"/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3513"/>
              <w:gridCol w:w="3513"/>
              <w:gridCol w:w="3513"/>
            </w:tblGrid>
            <w:tr>
              <w:tc>
                <w:tcPr>
                  <w:tcW w:type="dxa" w:w="3513"/>
                  <w:shd w:val="clear" w:color="auto" w:fill="1A5276"/>
                </w:tcPr>
                <w:p>
                  <w:pPr>
                    <w:jc w:val="center"/>
                  </w:pPr>
                  <w:r>
                    <w:rPr>
                      <w:b/>
                      <w:color w:val="FFFFFF"/>
                      <w:sz w:val="16"/>
                    </w:rPr>
                    <w:t>Department</w:t>
                  </w:r>
                </w:p>
              </w:tc>
              <w:tc>
                <w:tcPr>
                  <w:tcW w:type="dxa" w:w="3513"/>
                  <w:shd w:val="clear" w:color="auto" w:fill="1A5276"/>
                </w:tcPr>
                <w:p>
                  <w:pPr>
                    <w:jc w:val="center"/>
                  </w:pPr>
                  <w:r>
                    <w:rPr>
                      <w:b/>
                      <w:color w:val="FFFFFF"/>
                      <w:sz w:val="16"/>
                    </w:rPr>
                    <w:t>Rate</w:t>
                  </w:r>
                </w:p>
              </w:tc>
              <w:tc>
                <w:tcPr>
                  <w:tcW w:type="dxa" w:w="3513"/>
                  <w:shd w:val="clear" w:color="auto" w:fill="1A5276"/>
                </w:tcPr>
                <w:p>
                  <w:pPr>
                    <w:jc w:val="center"/>
                  </w:pPr>
                  <w:r>
                    <w:rPr>
                      <w:b/>
                      <w:color w:val="FFFFFF"/>
                      <w:sz w:val="16"/>
                    </w:rPr>
                    <w:t>Status</w:t>
                  </w:r>
                </w:p>
              </w:tc>
            </w:tr>
            <w:tr>
              <w:tc>
                <w:tcPr>
                  <w:tcW w:type="dxa" w:w="3513"/>
                  <w:shd w:val="clear" w:color="auto" w:fill="FADBD8"/>
                </w:tcPr>
                <w:p>
                  <w:pPr>
                    <w:jc w:val="center"/>
                  </w:pPr>
                  <w:r>
                    <w:rPr>
                      <w:color w:val="C0392B"/>
                      <w:sz w:val="16"/>
                    </w:rPr>
                    <w:t>Sales</w:t>
                  </w:r>
                </w:p>
              </w:tc>
              <w:tc>
                <w:tcPr>
                  <w:tcW w:type="dxa" w:w="3513"/>
                  <w:shd w:val="clear" w:color="auto" w:fill="FADBD8"/>
                </w:tcPr>
                <w:p>
                  <w:pPr>
                    <w:jc w:val="center"/>
                  </w:pPr>
                  <w:r>
                    <w:rPr>
                      <w:b/>
                      <w:color w:val="C0392B"/>
                      <w:sz w:val="16"/>
                    </w:rPr>
                    <w:t>34.9%</w:t>
                  </w:r>
                </w:p>
              </w:tc>
              <w:tc>
                <w:tcPr>
                  <w:tcW w:type="dxa" w:w="3513"/>
                  <w:shd w:val="clear" w:color="auto" w:fill="FADBD8"/>
                </w:tcPr>
                <w:p>
                  <w:pPr>
                    <w:jc w:val="center"/>
                  </w:pPr>
                  <w:r>
                    <w:rPr>
                      <w:b/>
                      <w:color w:val="C0392B"/>
                      <w:sz w:val="16"/>
                    </w:rPr>
                    <w:t>Critical</w:t>
                  </w:r>
                </w:p>
              </w:tc>
            </w:tr>
            <w:tr>
              <w:tc>
                <w:tcPr>
                  <w:tcW w:type="dxa" w:w="3513"/>
                  <w:shd w:val="clear" w:color="auto" w:fill="FDEBD0"/>
                </w:tcPr>
                <w:p>
                  <w:pPr>
                    <w:jc w:val="center"/>
                  </w:pPr>
                  <w:r>
                    <w:rPr>
                      <w:color w:val="D35400"/>
                      <w:sz w:val="16"/>
                    </w:rPr>
                    <w:t>Human Resources</w:t>
                  </w:r>
                </w:p>
              </w:tc>
              <w:tc>
                <w:tcPr>
                  <w:tcW w:type="dxa" w:w="3513"/>
                  <w:shd w:val="clear" w:color="auto" w:fill="FDEBD0"/>
                </w:tcPr>
                <w:p>
                  <w:pPr>
                    <w:jc w:val="center"/>
                  </w:pPr>
                  <w:r>
                    <w:rPr>
                      <w:b/>
                      <w:color w:val="D35400"/>
                      <w:sz w:val="16"/>
                    </w:rPr>
                    <w:t>34.4%</w:t>
                  </w:r>
                </w:p>
              </w:tc>
              <w:tc>
                <w:tcPr>
                  <w:tcW w:type="dxa" w:w="3513"/>
                  <w:shd w:val="clear" w:color="auto" w:fill="FDEBD0"/>
                </w:tcPr>
                <w:p>
                  <w:pPr>
                    <w:jc w:val="center"/>
                  </w:pPr>
                  <w:r>
                    <w:rPr>
                      <w:b/>
                      <w:color w:val="D35400"/>
                      <w:sz w:val="16"/>
                    </w:rPr>
                    <w:t>Critical</w:t>
                  </w:r>
                </w:p>
              </w:tc>
            </w:tr>
            <w:tr>
              <w:tc>
                <w:tcPr>
                  <w:tcW w:type="dxa" w:w="3513"/>
                  <w:shd w:val="clear" w:color="auto" w:fill="FEF9E7"/>
                </w:tcPr>
                <w:p>
                  <w:pPr>
                    <w:jc w:val="center"/>
                  </w:pPr>
                  <w:r>
                    <w:rPr>
                      <w:color w:val="9A7D0A"/>
                      <w:sz w:val="16"/>
                    </w:rPr>
                    <w:t>R &amp; Development</w:t>
                  </w:r>
                </w:p>
              </w:tc>
              <w:tc>
                <w:tcPr>
                  <w:tcW w:type="dxa" w:w="3513"/>
                  <w:shd w:val="clear" w:color="auto" w:fill="FEF9E7"/>
                </w:tcPr>
                <w:p>
                  <w:pPr>
                    <w:jc w:val="center"/>
                  </w:pPr>
                  <w:r>
                    <w:rPr>
                      <w:b/>
                      <w:color w:val="9A7D0A"/>
                      <w:sz w:val="16"/>
                    </w:rPr>
                    <w:t>26.3%</w:t>
                  </w:r>
                </w:p>
              </w:tc>
              <w:tc>
                <w:tcPr>
                  <w:tcW w:type="dxa" w:w="3513"/>
                  <w:shd w:val="clear" w:color="auto" w:fill="FEF9E7"/>
                </w:tcPr>
                <w:p>
                  <w:pPr>
                    <w:jc w:val="center"/>
                  </w:pPr>
                  <w:r>
                    <w:rPr>
                      <w:b/>
                      <w:color w:val="9A7D0A"/>
                      <w:sz w:val="16"/>
                    </w:rPr>
                    <w:t>Monitor</w:t>
                  </w:r>
                </w:p>
              </w:tc>
            </w:tr>
          </w:tbl>
          <w:p>
            <w:pPr>
              <w:spacing w:before="100" w:after="20"/>
              <w:shd w:val="clear" w:color="auto" w:fill="1E8449"/>
            </w:pPr>
            <w:r>
              <w:rPr>
                <w:b/>
                <w:color w:val="FFFFFF"/>
                <w:sz w:val="17"/>
              </w:rPr>
              <w:t xml:space="preserve"> ✅ TWO CONCRETE HR ACTIONS </w:t>
            </w:r>
          </w:p>
          <w:p>
            <w:pPr>
              <w:spacing w:before="80" w:after="0"/>
            </w:pPr>
            <w:r>
              <w:rPr>
                <w:b/>
                <w:color w:val="1E8449"/>
                <w:sz w:val="17"/>
              </w:rPr>
              <w:t>Action 1 — "Stay Interviews"</w:t>
            </w:r>
          </w:p>
          <w:p>
            <w:pPr>
              <w:spacing w:before="0" w:after="40"/>
              <w:ind w:left="170"/>
            </w:pPr>
            <w:r>
              <w:rPr>
                <w:sz w:val="17"/>
              </w:rPr>
              <w:t>From next quarter, hold short 1-on-1 conversations with Sales &amp; HR employees who rated satisfaction low. Ask what would make them stay — before they resign.</w:t>
            </w:r>
          </w:p>
          <w:p>
            <w:pPr>
              <w:spacing w:before="80" w:after="0"/>
            </w:pPr>
            <w:r>
              <w:rPr>
                <w:b/>
                <w:color w:val="1E8449"/>
                <w:sz w:val="17"/>
              </w:rPr>
              <w:t>Action 2 — Overtime Monitoring</w:t>
            </w:r>
          </w:p>
          <w:p>
            <w:pPr>
              <w:spacing w:before="0" w:after="40"/>
              <w:ind w:left="170"/>
            </w:pPr>
            <w:r>
              <w:rPr>
                <w:sz w:val="17"/>
              </w:rPr>
              <w:t>Flag employees logging &gt;20% overtime in a rolling month. HR proactively reaches out with workload redistribution or recognition before burnout leads to resignation.</w:t>
            </w:r>
          </w:p>
          <w:p>
            <w:pPr>
              <w:spacing w:before="100" w:after="20"/>
              <w:shd w:val="clear" w:color="auto" w:fill="9A7D0A"/>
            </w:pPr>
            <w:r>
              <w:rPr>
                <w:b/>
                <w:color w:val="FFFFFF"/>
                <w:sz w:val="17"/>
              </w:rPr>
              <w:t xml:space="preserve"> ⚠️ IMPORTANT CAVEAT </w:t>
            </w:r>
          </w:p>
          <w:p>
            <w:pPr>
              <w:spacing w:before="20" w:after="40"/>
            </w:pPr>
            <w:r>
              <w:rPr>
                <w:sz w:val="17"/>
              </w:rPr>
              <w:t>This model is an early warning tool, not a crystal ball. It cannot predict sudden personal events. Always follow up model output with a human HR conversation — use it to know who to talk to, not as a final verdict.</w:t>
            </w:r>
          </w:p>
        </w:tc>
      </w:tr>
    </w:tbl>
    <w:p>
      <w:pPr>
        <w:spacing w:before="100" w:after="0"/>
        <w:shd w:val="clear" w:color="auto" w:fill="2C3E50"/>
        <w:jc w:val="center"/>
      </w:pPr>
      <w:r>
        <w:rPr>
          <w:b/>
          <w:color w:val="FFD700"/>
          <w:sz w:val="18"/>
        </w:rPr>
        <w:t xml:space="preserve">  BOTTOM LINE: </w:t>
      </w:r>
      <w:r>
        <w:rPr>
          <w:color w:val="FFFFFF"/>
          <w:sz w:val="18"/>
        </w:rPr>
        <w:t xml:space="preserve">Attrition is real, measurable, and preventable. Fix job satisfaction and overwork in Sales &amp; HR to meaningfully reduce turnover within the next two quarters.  </w:t>
      </w:r>
    </w:p>
    <w:p>
      <w:pPr>
        <w:spacing w:before="40" w:after="0"/>
        <w:jc w:val="center"/>
      </w:pPr>
      <w:r>
        <w:rPr>
          <w:i/>
          <w:color w:val="999999"/>
          <w:sz w:val="15"/>
        </w:rPr>
        <w:t>Analysis: IBM HR Analytics dataset (1,470 records) | Models: Logistic Regression, Random Forest, Gradient Boosting | Best ROC-AUC: 0.620</w:t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